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69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Borg Deborah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INTERNATIONAL FLAVORS &amp;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  <w:bottom w:val="single" w:sz="8" w:color="0000EE"/>
            </w:tcBorders>
            <w:gridSpan w:val="7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FRAGRANCES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  <w:w w:val="99"/>
                </w:rPr>
                <w:t>IFF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]</w:t>
              </w:r>
            </w:hyperlink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Ppl&amp;Culture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 WEST 57TH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1,768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2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38,638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5"/>
              </w:rPr>
              <w:t>713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70.09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1,768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7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70.09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19,003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("RSUs") convert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withheld for taxes payable upon the vesting of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3, 2023, the reporting person was granted 5,304 restricted stock units, vesting in three equal installments beginning on the first anniversary of the grant date.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Chrystalla Potamitou,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02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 in fact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3373" TargetMode="External"/><Relationship Id="rId14" Type="http://schemas.openxmlformats.org/officeDocument/2006/relationships/hyperlink" Target="http://www.sec.gov/cgi-bin/browse-edgar?action=getcompany&amp;CIK=0000051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2026-05-06T15:28:30Z</dcterms:created>
  <dcterms:modified xsi:type="dcterms:W3CDTF">2026-05-06T15:28:30Z</dcterms:modified>
</cp:coreProperties>
</file>