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ANNUAL REPORT PURSUANT TO SECTION 13 OF</w:t>
      </w:r>
    </w:p>
    <w:p>
      <w:pPr>
        <w:spacing w:after="0" w:line="27"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45"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342"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COMMISSION FILE NUMBER 1-4858</w:t>
      </w:r>
    </w:p>
    <w:p>
      <w:pPr>
        <w:spacing w:after="0" w:line="342"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2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jc w:val="center"/>
              <w:ind w:right="949"/>
              <w:spacing w:after="0"/>
              <w:rPr>
                <w:sz w:val="20"/>
                <w:szCs w:val="20"/>
                <w:color w:val="auto"/>
              </w:rPr>
            </w:pPr>
            <w:r>
              <w:rPr>
                <w:rFonts w:ascii="Courier New" w:cs="Courier New" w:eastAsia="Courier New" w:hAnsi="Courier New"/>
                <w:sz w:val="15"/>
                <w:szCs w:val="15"/>
                <w:color w:val="auto"/>
                <w:w w:val="97"/>
              </w:rPr>
              <w:t>NEW YORK</w:t>
            </w:r>
          </w:p>
        </w:tc>
        <w:tc>
          <w:tcPr>
            <w:tcW w:w="2540" w:type="dxa"/>
            <w:vAlign w:val="bottom"/>
          </w:tcPr>
          <w:p>
            <w:pPr>
              <w:ind w:left="1280"/>
              <w:spacing w:after="0"/>
              <w:rPr>
                <w:sz w:val="20"/>
                <w:szCs w:val="20"/>
                <w:color w:val="auto"/>
              </w:rPr>
            </w:pPr>
            <w:r>
              <w:rPr>
                <w:rFonts w:ascii="Courier New" w:cs="Courier New" w:eastAsia="Courier New" w:hAnsi="Courier New"/>
                <w:sz w:val="15"/>
                <w:szCs w:val="15"/>
                <w:color w:val="auto"/>
              </w:rPr>
              <w:t>13-1432060</w:t>
            </w:r>
          </w:p>
        </w:tc>
        <w:tc>
          <w:tcPr>
            <w:tcW w:w="0" w:type="dxa"/>
            <w:vAlign w:val="bottom"/>
          </w:tcPr>
          <w:p>
            <w:pPr>
              <w:spacing w:after="0"/>
              <w:rPr>
                <w:sz w:val="1"/>
                <w:szCs w:val="1"/>
                <w:color w:val="auto"/>
              </w:rPr>
            </w:pPr>
          </w:p>
        </w:tc>
      </w:tr>
      <w:tr>
        <w:trPr>
          <w:trHeight w:val="171"/>
        </w:trPr>
        <w:tc>
          <w:tcPr>
            <w:tcW w:w="4560" w:type="dxa"/>
            <w:vAlign w:val="bottom"/>
            <w:vMerge w:val="restart"/>
          </w:tcPr>
          <w:p>
            <w:pPr>
              <w:ind w:left="340"/>
              <w:spacing w:after="0"/>
              <w:rPr>
                <w:sz w:val="20"/>
                <w:szCs w:val="20"/>
                <w:color w:val="auto"/>
              </w:rPr>
            </w:pPr>
            <w:r>
              <w:rPr>
                <w:rFonts w:ascii="Courier New" w:cs="Courier New" w:eastAsia="Courier New" w:hAnsi="Courier New"/>
                <w:sz w:val="29"/>
                <w:szCs w:val="29"/>
                <w:color w:val="auto"/>
                <w:w w:val="70"/>
                <w:vertAlign w:val="subscript"/>
              </w:rPr>
              <w:t>(State</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orotherjurisdictionof</w:t>
            </w:r>
          </w:p>
        </w:tc>
        <w:tc>
          <w:tcPr>
            <w:tcW w:w="254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254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7"/>
              </w:rPr>
              <w:t>(IRS Employer</w:t>
            </w:r>
          </w:p>
        </w:tc>
        <w:tc>
          <w:tcPr>
            <w:tcW w:w="0" w:type="dxa"/>
            <w:vAlign w:val="bottom"/>
          </w:tcPr>
          <w:p>
            <w:pPr>
              <w:spacing w:after="0"/>
              <w:rPr>
                <w:sz w:val="1"/>
                <w:szCs w:val="1"/>
                <w:color w:val="auto"/>
              </w:rPr>
            </w:pPr>
          </w:p>
        </w:tc>
      </w:tr>
      <w:tr>
        <w:trPr>
          <w:trHeight w:val="249"/>
        </w:trPr>
        <w:tc>
          <w:tcPr>
            <w:tcW w:w="4560" w:type="dxa"/>
            <w:vAlign w:val="bottom"/>
          </w:tcPr>
          <w:p>
            <w:pPr>
              <w:jc w:val="center"/>
              <w:ind w:right="949"/>
              <w:spacing w:after="0"/>
              <w:rPr>
                <w:sz w:val="20"/>
                <w:szCs w:val="20"/>
                <w:color w:val="auto"/>
              </w:rPr>
            </w:pPr>
            <w:r>
              <w:rPr>
                <w:rFonts w:ascii="Courier New" w:cs="Courier New" w:eastAsia="Courier New" w:hAnsi="Courier New"/>
                <w:sz w:val="15"/>
                <w:szCs w:val="15"/>
                <w:color w:val="auto"/>
                <w:w w:val="98"/>
              </w:rPr>
              <w:t>incorporation or organization)</w:t>
            </w:r>
          </w:p>
        </w:tc>
        <w:tc>
          <w:tcPr>
            <w:tcW w:w="254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433"/>
        </w:trPr>
        <w:tc>
          <w:tcPr>
            <w:tcW w:w="4560" w:type="dxa"/>
            <w:vAlign w:val="bottom"/>
          </w:tcPr>
          <w:p>
            <w:pPr>
              <w:jc w:val="center"/>
              <w:ind w:right="969"/>
              <w:spacing w:after="0"/>
              <w:rPr>
                <w:sz w:val="20"/>
                <w:szCs w:val="20"/>
                <w:color w:val="auto"/>
              </w:rPr>
            </w:pPr>
            <w:r>
              <w:rPr>
                <w:rFonts w:ascii="Courier New" w:cs="Courier New" w:eastAsia="Courier New" w:hAnsi="Courier New"/>
                <w:sz w:val="15"/>
                <w:szCs w:val="15"/>
                <w:color w:val="auto"/>
                <w:w w:val="98"/>
              </w:rPr>
              <w:t>521 WEST 57TH STREET, NEW YORK, N.Y.</w:t>
            </w:r>
          </w:p>
        </w:tc>
        <w:tc>
          <w:tcPr>
            <w:tcW w:w="2540" w:type="dxa"/>
            <w:vAlign w:val="bottom"/>
          </w:tcPr>
          <w:p>
            <w:pPr>
              <w:ind w:left="1460"/>
              <w:spacing w:after="0"/>
              <w:rPr>
                <w:sz w:val="20"/>
                <w:szCs w:val="20"/>
                <w:color w:val="auto"/>
              </w:rPr>
            </w:pPr>
            <w:r>
              <w:rPr>
                <w:rFonts w:ascii="Courier New" w:cs="Courier New" w:eastAsia="Courier New" w:hAnsi="Courier New"/>
                <w:sz w:val="15"/>
                <w:szCs w:val="15"/>
                <w:color w:val="auto"/>
              </w:rPr>
              <w:t>10019</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Courier New" w:cs="Courier New" w:eastAsia="Courier New" w:hAnsi="Courier New"/>
                <w:sz w:val="22"/>
                <w:szCs w:val="22"/>
                <w:color w:val="auto"/>
                <w:w w:val="74"/>
                <w:vertAlign w:val="subscript"/>
              </w:rPr>
              <w:t>(Address</w:t>
            </w: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ofprincipalexecutiveoffices)</w:t>
            </w:r>
          </w:p>
        </w:tc>
        <w:tc>
          <w:tcPr>
            <w:tcW w:w="254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560" w:type="dxa"/>
            <w:vAlign w:val="bottom"/>
            <w:vMerge w:val="continue"/>
          </w:tcPr>
          <w:p>
            <w:pPr>
              <w:spacing w:after="0"/>
              <w:rPr>
                <w:sz w:val="22"/>
                <w:szCs w:val="22"/>
                <w:color w:val="auto"/>
              </w:rPr>
            </w:pPr>
          </w:p>
        </w:tc>
        <w:tc>
          <w:tcPr>
            <w:tcW w:w="2540" w:type="dxa"/>
            <w:vAlign w:val="bottom"/>
          </w:tcPr>
          <w:p>
            <w:pPr>
              <w:ind w:left="12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REGISTRANT'S TELEPHONE NUMBER, INCLUDING AREA CODE (212) 765-5500</w:t>
      </w:r>
    </w:p>
    <w:p>
      <w:pPr>
        <w:spacing w:after="0" w:line="17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7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Title of each class</w:t>
            </w:r>
          </w:p>
        </w:tc>
        <w:tc>
          <w:tcPr>
            <w:tcW w:w="1240" w:type="dxa"/>
            <w:vAlign w:val="bottom"/>
          </w:tcPr>
          <w:p>
            <w:pPr>
              <w:spacing w:after="0"/>
              <w:rPr>
                <w:sz w:val="14"/>
                <w:szCs w:val="14"/>
                <w:color w:val="auto"/>
              </w:rPr>
            </w:pP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Name of each exchange</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on which registered</w:t>
            </w:r>
          </w:p>
        </w:tc>
        <w:tc>
          <w:tcPr>
            <w:tcW w:w="0" w:type="dxa"/>
            <w:vAlign w:val="bottom"/>
          </w:tcPr>
          <w:p>
            <w:pPr>
              <w:spacing w:after="0"/>
              <w:rPr>
                <w:sz w:val="1"/>
                <w:szCs w:val="1"/>
                <w:color w:val="auto"/>
              </w:rPr>
            </w:pPr>
          </w:p>
        </w:tc>
      </w:tr>
      <w:tr>
        <w:trPr>
          <w:trHeight w:val="249"/>
        </w:trPr>
        <w:tc>
          <w:tcPr>
            <w:tcW w:w="3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41"/>
        </w:trPr>
        <w:tc>
          <w:tcPr>
            <w:tcW w:w="3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Common Stock, par value 12 1/2 (cent) per</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share .......</w:t>
            </w: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New York Stock Exchange</w:t>
            </w:r>
          </w:p>
        </w:tc>
        <w:tc>
          <w:tcPr>
            <w:tcW w:w="0" w:type="dxa"/>
            <w:vAlign w:val="bottom"/>
          </w:tcPr>
          <w:p>
            <w:pPr>
              <w:spacing w:after="0"/>
              <w:rPr>
                <w:sz w:val="1"/>
                <w:szCs w:val="1"/>
                <w:color w:val="auto"/>
              </w:rPr>
            </w:pPr>
          </w:p>
        </w:tc>
      </w:tr>
      <w:tr>
        <w:trPr>
          <w:trHeight w:val="512"/>
        </w:trPr>
        <w:tc>
          <w:tcPr>
            <w:tcW w:w="3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SECURITIES REGISTERED PURSUANT</w:t>
            </w:r>
          </w:p>
        </w:tc>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TO SECTION 12(g) OF THE ACT:</w:t>
            </w:r>
          </w:p>
        </w:tc>
        <w:tc>
          <w:tcPr>
            <w:tcW w:w="0" w:type="dxa"/>
            <w:vAlign w:val="bottom"/>
          </w:tcPr>
          <w:p>
            <w:pPr>
              <w:spacing w:after="0"/>
              <w:rPr>
                <w:sz w:val="1"/>
                <w:szCs w:val="1"/>
                <w:color w:val="auto"/>
              </w:rPr>
            </w:pPr>
          </w:p>
        </w:tc>
      </w:tr>
      <w:tr>
        <w:trPr>
          <w:trHeight w:val="263"/>
        </w:trPr>
        <w:tc>
          <w:tcPr>
            <w:tcW w:w="3720" w:type="dxa"/>
            <w:vAlign w:val="bottom"/>
          </w:tcPr>
          <w:p>
            <w:pPr>
              <w:jc w:val="center"/>
              <w:ind w:left="3286"/>
              <w:spacing w:after="0"/>
              <w:rPr>
                <w:sz w:val="20"/>
                <w:szCs w:val="20"/>
                <w:color w:val="auto"/>
              </w:rPr>
            </w:pPr>
            <w:r>
              <w:rPr>
                <w:rFonts w:ascii="Courier New" w:cs="Courier New" w:eastAsia="Courier New" w:hAnsi="Courier New"/>
                <w:sz w:val="15"/>
                <w:szCs w:val="15"/>
                <w:color w:val="auto"/>
                <w:w w:val="99"/>
              </w:rPr>
              <w:t>NONE</w:t>
            </w:r>
          </w:p>
        </w:tc>
        <w:tc>
          <w:tcPr>
            <w:tcW w:w="1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9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(Title of</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4"/>
          <w:szCs w:val="24"/>
          <w:color w:val="auto"/>
        </w:rPr>
      </w:pPr>
    </w:p>
    <w:p>
      <w:pPr>
        <w:jc w:val="both"/>
        <w:ind w:right="3399" w:firstLine="444"/>
        <w:spacing w:after="0" w:line="27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Yes X</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1020" w:type="dxa"/>
            <w:vAlign w:val="bottom"/>
            <w:vMerge w:val="restart"/>
          </w:tcPr>
          <w:p>
            <w:pPr>
              <w:jc w:val="right"/>
              <w:ind w:right="68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filers</w:t>
            </w:r>
          </w:p>
        </w:tc>
        <w:tc>
          <w:tcPr>
            <w:tcW w:w="1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pursuant to Item</w:t>
            </w:r>
          </w:p>
        </w:tc>
        <w:tc>
          <w:tcPr>
            <w:tcW w:w="0" w:type="dxa"/>
            <w:vAlign w:val="bottom"/>
          </w:tcPr>
          <w:p>
            <w:pPr>
              <w:spacing w:after="0"/>
              <w:rPr>
                <w:sz w:val="1"/>
                <w:szCs w:val="1"/>
                <w:color w:val="auto"/>
              </w:rPr>
            </w:pPr>
          </w:p>
        </w:tc>
      </w:tr>
      <w:tr>
        <w:trPr>
          <w:trHeight w:val="171"/>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 if disclosure of</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delinquent</w:t>
            </w:r>
          </w:p>
        </w:tc>
        <w:tc>
          <w:tcPr>
            <w:tcW w:w="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405 of Regulation S-K is not contained herein, and will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not be</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contained, to the</w:t>
            </w:r>
          </w:p>
        </w:tc>
        <w:tc>
          <w:tcPr>
            <w:tcW w:w="0" w:type="dxa"/>
            <w:vAlign w:val="bottom"/>
          </w:tcPr>
          <w:p>
            <w:pPr>
              <w:spacing w:after="0"/>
              <w:rPr>
                <w:sz w:val="1"/>
                <w:szCs w:val="1"/>
                <w:color w:val="auto"/>
              </w:rPr>
            </w:pPr>
          </w:p>
        </w:tc>
      </w:tr>
    </w:tbl>
    <w:p>
      <w:pPr>
        <w:jc w:val="both"/>
        <w:ind w:right="3399"/>
        <w:spacing w:after="0" w:line="278" w:lineRule="auto"/>
        <w:rPr>
          <w:sz w:val="20"/>
          <w:szCs w:val="20"/>
          <w:color w:val="auto"/>
        </w:rPr>
      </w:pPr>
      <w:r>
        <w:rPr>
          <w:rFonts w:ascii="Courier New" w:cs="Courier New" w:eastAsia="Courier New" w:hAnsi="Courier New"/>
          <w:sz w:val="15"/>
          <w:szCs w:val="15"/>
          <w:color w:val="auto"/>
        </w:rPr>
        <w:t>best of Registrant's knowledge, in definitive proxy or information statements incorporated by reference in Part III of this Form 10-K or any amendments to this Form 10-K. [ ]</w:t>
      </w:r>
    </w:p>
    <w:p>
      <w:pPr>
        <w:spacing w:after="0" w:line="66" w:lineRule="exact"/>
        <w:rPr>
          <w:sz w:val="24"/>
          <w:szCs w:val="24"/>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Registrant denies that any of its common stock is held by an "affiliate" of the Registrant within the meaning of Rule 405 of the Securities and Exchange Commission. See "Stock Ownership" in proxy statement incorporated by reference herein. The aggregate market value of all of the outstanding voting stock of Registrant as of March 19, 1999 was $4,016,446,724.</w:t>
      </w:r>
    </w:p>
    <w:p>
      <w:pPr>
        <w:spacing w:after="0" w:line="72" w:lineRule="exact"/>
        <w:rPr>
          <w:sz w:val="24"/>
          <w:szCs w:val="24"/>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March 19, 1999.</w:t>
      </w:r>
    </w:p>
    <w:p>
      <w:pPr>
        <w:spacing w:after="0" w:line="18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106,044,798 SHARES OF COMMON STOCK, PAR VALUE 12 1/2 (CENT) PER SHARE</w:t>
      </w:r>
    </w:p>
    <w:p>
      <w:pPr>
        <w:spacing w:after="0" w:line="34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1" w:lineRule="exact"/>
        <w:rPr>
          <w:sz w:val="24"/>
          <w:szCs w:val="24"/>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The information called for by Part III [Items 10, 11, 12 and 13] is hereby incorporated by reference from the Registrant's definitive proxy statement for the 1999 Annual Meeting of Shareholders to be filed pursuant to Regulation 14A.</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48" w:right="1440" w:bottom="89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International Flavors &amp; Fragrances Inc., incorporated in New York in 1909, is a leading creator and manufacturer of flavor and fragrance products used by other manufacturers to impart or improve flavor or fragrance in a wide variety of consumer products. Fragrance products are sold principally to manufacturers of perfumes, cosmetics, soaps and detergents, and flavor products to manufacturers of prepared foods, beverages, dairy foods, pharmaceuticals and confectionery products.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ind w:left="440"/>
              <w:spacing w:after="0"/>
              <w:rPr>
                <w:sz w:val="20"/>
                <w:szCs w:val="20"/>
                <w:color w:val="auto"/>
              </w:rPr>
            </w:pPr>
            <w:r>
              <w:rPr>
                <w:rFonts w:ascii="Courier New" w:cs="Courier New" w:eastAsia="Courier New" w:hAnsi="Courier New"/>
                <w:sz w:val="15"/>
                <w:szCs w:val="15"/>
                <w:color w:val="auto"/>
              </w:rPr>
              <w:t>The present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world-wide scope</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Company's business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is in part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result of the combination</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December</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1958 of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business theretofore</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conducted</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primarily in the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United States by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w:t>
            </w:r>
          </w:p>
        </w:tc>
        <w:tc>
          <w:tcPr>
            <w:tcW w:w="2220" w:type="dxa"/>
            <w:vAlign w:val="bottom"/>
            <w:gridSpan w:val="3"/>
          </w:tcPr>
          <w:p>
            <w:pPr>
              <w:jc w:val="right"/>
              <w:ind w:right="486"/>
              <w:spacing w:after="0"/>
              <w:rPr>
                <w:sz w:val="20"/>
                <w:szCs w:val="20"/>
                <w:color w:val="auto"/>
              </w:rPr>
            </w:pPr>
            <w:r>
              <w:rPr>
                <w:rFonts w:ascii="Courier New" w:cs="Courier New" w:eastAsia="Courier New" w:hAnsi="Courier New"/>
                <w:sz w:val="15"/>
                <w:szCs w:val="15"/>
                <w:color w:val="auto"/>
              </w:rPr>
              <w:t>under the name van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gridSpan w:val="4"/>
          </w:tcPr>
          <w:p>
            <w:pPr>
              <w:spacing w:after="0"/>
              <w:rPr>
                <w:sz w:val="20"/>
                <w:szCs w:val="20"/>
                <w:color w:val="auto"/>
              </w:rPr>
            </w:pPr>
            <w:r>
              <w:rPr>
                <w:rFonts w:ascii="Courier New" w:cs="Courier New" w:eastAsia="Courier New" w:hAnsi="Courier New"/>
                <w:sz w:val="15"/>
                <w:szCs w:val="15"/>
                <w:color w:val="auto"/>
              </w:rPr>
              <w:t>Ameringen-Haebler, Inc. ("VAH") with</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business</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conducted</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primarily in Europe</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by N. V. Polak &amp;</w:t>
            </w:r>
          </w:p>
        </w:tc>
        <w:tc>
          <w:tcPr>
            <w:tcW w:w="47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Schwarz's Essencefabrieken, a Dutch corporation ("P &amp;</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S"). The</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99"/>
              </w:rPr>
              <w:t>P &amp; S enterprise, founded</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in Holland</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 1889,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was</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also engaged in the</w:t>
            </w:r>
          </w:p>
        </w:tc>
        <w:tc>
          <w:tcPr>
            <w:tcW w:w="8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in a</w:t>
            </w:r>
          </w:p>
        </w:tc>
        <w:tc>
          <w:tcPr>
            <w:tcW w:w="0" w:type="dxa"/>
            <w:vAlign w:val="bottom"/>
          </w:tcPr>
          <w:p>
            <w:pPr>
              <w:spacing w:after="0"/>
              <w:rPr>
                <w:sz w:val="1"/>
                <w:szCs w:val="1"/>
                <w:color w:val="auto"/>
              </w:rPr>
            </w:pPr>
          </w:p>
        </w:tc>
      </w:tr>
      <w:tr>
        <w:trPr>
          <w:trHeight w:val="171"/>
        </w:trPr>
        <w:tc>
          <w:tcPr>
            <w:tcW w:w="5280" w:type="dxa"/>
            <w:vAlign w:val="bottom"/>
            <w:gridSpan w:val="8"/>
          </w:tcPr>
          <w:p>
            <w:pPr>
              <w:spacing w:after="0"/>
              <w:rPr>
                <w:sz w:val="20"/>
                <w:szCs w:val="20"/>
                <w:color w:val="auto"/>
              </w:rPr>
            </w:pPr>
            <w:r>
              <w:rPr>
                <w:rFonts w:ascii="Courier New" w:cs="Courier New" w:eastAsia="Courier New" w:hAnsi="Courier New"/>
                <w:sz w:val="15"/>
                <w:szCs w:val="15"/>
                <w:color w:val="auto"/>
                <w:w w:val="99"/>
              </w:rPr>
              <w:t>manufacture and sale of flavor and fragrance products, with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operations</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99"/>
              </w:rPr>
              <w:t>number of countries where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VAH was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not</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an</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important factor.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The major manufacturing facilities of the Company are located in the United States, Holland, France, Germany, Great Britain, Ireland, Spain, Switzerland, Argentina, Brazil, Mexico, Australia, China, Hong Kong, Indonesia and Japan. Manufacturing facilities are also located in six other countries. The Company maintains its own sales and distribution facilities in 35 countries and is represented by sales agents in additional countries. The Company's principal executive offices are located at 521 West 57th Street, New York, New York 10019 (Tel. No. 212-765-5500). Except as the context otherwise indicates, the term "the Company" as used herein refers to the Registrant and its subsidiaries.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Fragrance products are used by customers in the manufacture of such consumer products as soaps, detergents, cosmetic creams, lotions and powders, lipsticks, after-shave lotions, deodorants, hair preparations and air fresheners, as well as in other consumer products designed solely to appeal to the sense of smell, such as perfumes and colognes. The cosmetics industry, including perfumes and toiletries, is one of the Company's two largest customer groups. Most of the major United States companies in this industry are customers of the Company, and five of the largest United States cosmetics companies are among its principal customers. The household products industry, including soaps and detergents, is the other important customer group. Four of the largest United States household product manufacturers are major customers of the Company. In the five years ended December 31, 1998, sales of fragrance products accounted for approximately 59%, 57%, 57%, 58% and 58%, respectively, of the Company's total sales.</w:t>
      </w:r>
    </w:p>
    <w:p>
      <w:pPr>
        <w:spacing w:after="0" w:line="9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Flavor products are sold principally to the food and beverage industries for use in such consumer products as soft drinks, candies, baked goods, desserts, prepared foods, dietary foods, dairy products, drink powders, pharmaceuticals and alcoholic beverages. Two of the Company's largest customers for flavor products are major producers of prepared foods and beverages in the United States. In the five years ended December 31, 1998, sales of flavor products accounted for approximately 41%, 43%, 43%, 42% and 42%, respectively, of the Company's total sales.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The Company's principal fragrance and flavor products consist of compounds of large numbers of ingredients blended by it under formulas created by its perfumers and flavorists. Most of these compounds contribute the total fragrance or flavor to the consumer products in which they are used. This fragrance or flavor characteristic is often a major factor in the public selection and acceptance of the consumer end product. A smaller amount of compounds is sold to manufacturers who further blend them to achieve the finished fragrance or flavor in their consumer products. Thousands of compounds are produced by the Company, and new compounds are constantly being created in order to meet the many and changing characteristics of its customers' end products. Most of the fragrance compounds and many of the flavor compounds are created and produced for the exclusive use of particular customers. The Company's flavor products also include extractives, concentrated juices and concentrates derived from various fruits, vegetables, nuts, herbs and spices as well as microbiologically derived ingredients. The Company's products are sold in solid and liquid forms and in amounts ranging from a few pounds to many tons, depending upon the nature of the product.</w:t>
      </w:r>
    </w:p>
    <w:p>
      <w:pPr>
        <w:spacing w:after="0" w:line="87" w:lineRule="exact"/>
        <w:rPr>
          <w:sz w:val="20"/>
          <w:szCs w:val="20"/>
          <w:color w:val="auto"/>
        </w:rPr>
      </w:pPr>
    </w:p>
    <w:p>
      <w:pPr>
        <w:ind w:right="3119" w:firstLine="444"/>
        <w:spacing w:after="0" w:line="326" w:lineRule="auto"/>
        <w:rPr>
          <w:sz w:val="20"/>
          <w:szCs w:val="20"/>
          <w:color w:val="auto"/>
        </w:rPr>
      </w:pPr>
      <w:r>
        <w:rPr>
          <w:rFonts w:ascii="Courier New" w:cs="Courier New" w:eastAsia="Courier New" w:hAnsi="Courier New"/>
          <w:sz w:val="14"/>
          <w:szCs w:val="14"/>
          <w:color w:val="auto"/>
        </w:rPr>
        <w:t>The ingredients used by the Company in its compounds are both synthetic and natural. Most of the synthetic ingredients are manufactured by the Company. While the major part of the Company's production of synthetic ingredients</w:t>
      </w:r>
    </w:p>
    <w:p>
      <w:pPr>
        <w:spacing w:after="0" w:line="3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6" w:right="1440" w:bottom="1440" w:gutter="0" w:footer="0" w:header="0"/>
        </w:sectPr>
      </w:pPr>
    </w:p>
    <w:bookmarkStart w:id="2" w:name="page3"/>
    <w:bookmarkEnd w:id="2"/>
    <w:p>
      <w:pPr>
        <w:ind w:right="3219"/>
        <w:spacing w:after="0" w:line="255" w:lineRule="auto"/>
        <w:rPr>
          <w:sz w:val="20"/>
          <w:szCs w:val="20"/>
          <w:color w:val="auto"/>
        </w:rPr>
      </w:pPr>
      <w:r>
        <w:rPr>
          <w:rFonts w:ascii="Courier New" w:cs="Courier New" w:eastAsia="Courier New" w:hAnsi="Courier New"/>
          <w:sz w:val="15"/>
          <w:szCs w:val="15"/>
          <w:color w:val="auto"/>
        </w:rPr>
        <w:t>is used by it in its compounds, a substantial portion is sold to others. The natural ingredients are derived from flowers, fruits and other botanical products as well as from animal products. They contain varying numbers of organic chemicals, which are responsible for the fragrance or flavor of the natural product. The natural products are purchased for the larger part in processed or semi-processed form. Some are used in compounds in the state in which they are purchased and others after further processing. Natural products, together with various chemicals, are also used as raw materials for the manufacture of synthetic ingredients by chemical processes.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DEVELOPMENTS</w:t>
      </w:r>
    </w:p>
    <w:p>
      <w:pPr>
        <w:spacing w:after="0" w:line="171"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The demand for consumer products utilizing flavors and fragrances has been stimulated and broadened by changing social habits resulting from such factors as increases in personal income, employment of women, teen-age population, leisure time, health concerns and urbanization and by the continued growth in world population. In the fragrance field, these developments have expanded the market for colognes, toilet waters, deodorants, soaps with finer fragrance quality, men's toiletries and other products beyond traditional luxury items such as perfumes. In the flavor field, similar market characteristics have stimulated the demand for such products as convenience foods, soft drinks and low-cholesterol and low-fat food products that must conform to expected tastes. New and improved methods of packaging, application and dispensing have been developed for many consumer products which utilize some of the Company's flavor or fragrance products. These developments have called for the creation by the Company of many new compounds and ingredients compatible with the newly introduced materials and methods of application used in consumer end products.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AND RESEARCH</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development of new fragrance and flavor compounds is a complex artistic and technical process calling upon the combined knowledge and talents of the Company's creative perfumers and flavorists and its application chemists and research chemists. Through long experience the perfumers and flavorists develop and refine their skill for creating fragrances or flavors best suited to the market requirements of the customers' products.</w:t>
      </w:r>
    </w:p>
    <w:p>
      <w:pPr>
        <w:spacing w:after="0" w:line="77"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An important contribution to the creation of new fragrance and flavor products is the development in the Company's research laboratories of new ingredients having fragrance or flavor value. The principal functions of the fragrance research program are to isolate and synthesize fragrance components found in natural substances and through chemical synthesis to develop new materials and better techniques for utilization of such materials. The principal functions of the flavor research program are to isolate and produce natural flavor ingredients utilizing improved processes.</w:t>
      </w:r>
    </w:p>
    <w:p>
      <w:pPr>
        <w:spacing w:after="0" w:line="80"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The work of the perfumers and flavorists is conducted in 29 fragrance and flavor laboratories in 23 countries. The Company maintains a research center at Union Beach, New Jersey. The Company spent $98,438,000 in 1998, $94,411,000 in 1997 and $93,545,000 in 1996 on its research and development activities, all of which were financed by the Company. These expenditures are expected to increase in 1999 to approximately $106,000,000. Of the amount expended in 1998 on such activities, 60% was for fragrances and the balance was for flavors. The Company employed 820 persons in 1998 and 811 persons in 1997 in such activities.</w:t>
      </w:r>
    </w:p>
    <w:p>
      <w:pPr>
        <w:spacing w:after="0" w:line="7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business of the Company is not materially dependent upon any patents, trademarks or licenses.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Most of the Company's sales are made through its own sales force, operating from eight sales offices in the United States and 45 sales offices in 34 foreign countries. Sales in other countries are made through sales agencies. For the year ended December 31, 1998, 32% of the Company's sales were to customers in North America, 40% in Europe, Africa and the Middle East, 17% in Latin America and 11% in the Far East. See Note 10 of the Notes to the Consolidated Financial Statements for other information with respect to the Company's segment operations.</w:t>
      </w:r>
    </w:p>
    <w:p>
      <w:pPr>
        <w:spacing w:after="0" w:line="80"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estimates that during 1998 its 30 largest customers accounted for about 54% of its sales, its four largest customers and their affiliates accounted for about 11%, 7%, 6% and 4%, respectively, of its sales, and no other single customer accounted for more than 3% of sales.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Manufacture and sale of the Company's products are subject to regulation in the United States by the Food and Drug Administration, the Agriculture Department, the Alcohol, Tobacco and Firearms Bureau of the Treasury</w:t>
      </w:r>
    </w:p>
    <w:p>
      <w:pPr>
        <w:spacing w:after="0" w:line="2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75" w:right="1440" w:bottom="1440" w:gutter="0" w:footer="0" w:header="0"/>
        </w:sectPr>
      </w:pPr>
    </w:p>
    <w:bookmarkStart w:id="3" w:name="page4"/>
    <w:bookmarkEnd w:id="3"/>
    <w:p>
      <w:pPr>
        <w:ind w:right="3119"/>
        <w:spacing w:after="0" w:line="253" w:lineRule="auto"/>
        <w:rPr>
          <w:sz w:val="20"/>
          <w:szCs w:val="20"/>
          <w:color w:val="auto"/>
        </w:rPr>
      </w:pPr>
      <w:r>
        <w:rPr>
          <w:rFonts w:ascii="Courier New" w:cs="Courier New" w:eastAsia="Courier New" w:hAnsi="Courier New"/>
          <w:sz w:val="15"/>
          <w:szCs w:val="15"/>
          <w:color w:val="auto"/>
        </w:rPr>
        <w:t>Department, the Environmental Protection Agency, the Occupational Safety and Health Administration and state authorities. The foreign subsidiaries are subject to similar regulation in a number of countries. Compliance with existing governmental requirements regulating the discharge of materials into the environment has not materially affected the Company's operations, earnings or competitive position. The Company expects to spend in 1999 approximately $2,600,000 in capital projects and $10,500,000 in operating expenses and governmental charges for the purpose of complying with such requirements. The Company expects that in 2000 capital expenditures, operating expenses and governmental charges for such purpose will not be materially different.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 PURCHASES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Some 5,000 different raw materials are purchased from many sources all over the world. The principal natural raw material purchases consist of essential oils, extracts and concentrates derived from fruits, vegetables, flowers, woods and other botanicals, animal products and raw fruits. The principal synthetic raw material purchases consist of organic chemicals. The Company believes that alternate sources of materials are available to enable it to maintain its competitive position in the event of any interruption in the supply of raw materials from present sources.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The Company has more than 50 competitors in the United States and world markets. While no single factor is responsible, the Company's competitive position is based principally on the creative skills of its perfumers</w:t>
      </w:r>
    </w:p>
    <w:p>
      <w:pPr>
        <w:spacing w:after="0" w:line="1" w:lineRule="exact"/>
        <w:rPr>
          <w:sz w:val="20"/>
          <w:szCs w:val="20"/>
          <w:color w:val="auto"/>
        </w:rPr>
      </w:pPr>
    </w:p>
    <w:p>
      <w:pPr>
        <w:ind w:right="3119"/>
        <w:spacing w:after="0" w:line="267" w:lineRule="auto"/>
        <w:rPr>
          <w:sz w:val="20"/>
          <w:szCs w:val="20"/>
          <w:color w:val="auto"/>
        </w:rPr>
      </w:pPr>
      <w:r>
        <w:rPr>
          <w:rFonts w:ascii="Courier New" w:cs="Courier New" w:eastAsia="Courier New" w:hAnsi="Courier New"/>
          <w:sz w:val="14"/>
          <w:szCs w:val="14"/>
          <w:color w:val="auto"/>
        </w:rPr>
        <w:t>and flavorists, the technological advances resulting from its research and development and the customer service and support provided by its marketing and application groups. Although statistics are not available, the Company believes that it is one of the four largest companies producing and marketing on an international basis a wide range of fragrance and flavor products of the types manufactured by it for sale to manufacturers of consumer products. In particular countries and localities, the Company faces the competition of numerous companies specializing in certain product lines, among which are some larger than the Company and some more important in a particular product line or lines. Most of the Company's customers do not buy all their fragrance or flavor products from the same supplier, and some customers make their own fragrance or flavor compounds with ingredients supplied by the Company or others.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RELATIONS</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Company at December 31, 1998 employed approximately 4,670 persons, of whom about 1,440 were employed in the United States. The Company has never experienced a work stoppage or strike and it considers that its employee relations are satisfactory.</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75" w:right="1440" w:bottom="1440" w:gutter="0" w:footer="0" w:header="0"/>
        </w:sectPr>
      </w:pPr>
    </w:p>
    <w:bookmarkStart w:id="4" w:name="page5"/>
    <w:bookmarkEnd w:id="4"/>
    <w:p>
      <w:pPr>
        <w:spacing w:after="0" w:line="8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principal manufacturing and research properties of the Company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ind w:left="1060"/>
              <w:spacing w:after="0"/>
              <w:rPr>
                <w:sz w:val="20"/>
                <w:szCs w:val="20"/>
                <w:color w:val="auto"/>
              </w:rPr>
            </w:pPr>
            <w:r>
              <w:rPr>
                <w:rFonts w:ascii="Courier New" w:cs="Courier New" w:eastAsia="Courier New" w:hAnsi="Courier New"/>
                <w:sz w:val="15"/>
                <w:szCs w:val="15"/>
                <w:color w:val="auto"/>
              </w:rPr>
              <w:t>Location</w:t>
            </w:r>
          </w:p>
        </w:tc>
        <w:tc>
          <w:tcPr>
            <w:tcW w:w="4140" w:type="dxa"/>
            <w:vAlign w:val="bottom"/>
          </w:tcPr>
          <w:p>
            <w:pPr>
              <w:ind w:left="1120"/>
              <w:spacing w:after="0"/>
              <w:rPr>
                <w:sz w:val="20"/>
                <w:szCs w:val="20"/>
                <w:color w:val="auto"/>
              </w:rPr>
            </w:pPr>
            <w:r>
              <w:rPr>
                <w:rFonts w:ascii="Courier New" w:cs="Courier New" w:eastAsia="Courier New" w:hAnsi="Courier New"/>
                <w:sz w:val="15"/>
                <w:szCs w:val="15"/>
                <w:color w:val="auto"/>
              </w:rPr>
              <w:t>Operation</w:t>
            </w:r>
          </w:p>
        </w:tc>
        <w:tc>
          <w:tcPr>
            <w:tcW w:w="0" w:type="dxa"/>
            <w:vAlign w:val="bottom"/>
          </w:tcPr>
          <w:p>
            <w:pPr>
              <w:spacing w:after="0"/>
              <w:rPr>
                <w:sz w:val="1"/>
                <w:szCs w:val="1"/>
                <w:color w:val="auto"/>
              </w:rPr>
            </w:pPr>
          </w:p>
        </w:tc>
      </w:tr>
      <w:tr>
        <w:trPr>
          <w:trHeight w:val="249"/>
        </w:trPr>
        <w:tc>
          <w:tcPr>
            <w:tcW w:w="27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414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Fragrance laboratories.</w:t>
            </w:r>
          </w:p>
        </w:tc>
        <w:tc>
          <w:tcPr>
            <w:tcW w:w="0" w:type="dxa"/>
            <w:vAlign w:val="bottom"/>
          </w:tcPr>
          <w:p>
            <w:pPr>
              <w:spacing w:after="0"/>
              <w:rPr>
                <w:sz w:val="1"/>
                <w:szCs w:val="1"/>
                <w:color w:val="auto"/>
              </w:rPr>
            </w:pPr>
          </w:p>
        </w:tc>
      </w:tr>
      <w:tr>
        <w:trPr>
          <w:trHeight w:val="249"/>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New York, NY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Augusta, GA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w w:val="98"/>
              </w:rPr>
              <w:t>Production of fragrance chemical ingredients.</w:t>
            </w: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Hazlet, NJ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fragrance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fragrance laboratories.</w:t>
            </w: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South Brunswick, NJ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flavor ingredients and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compounds and fruit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 flavor</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laboratories.</w:t>
            </w:r>
          </w:p>
        </w:tc>
        <w:tc>
          <w:tcPr>
            <w:tcW w:w="0" w:type="dxa"/>
            <w:vAlign w:val="bottom"/>
          </w:tcPr>
          <w:p>
            <w:pPr>
              <w:spacing w:after="0"/>
              <w:rPr>
                <w:sz w:val="1"/>
                <w:szCs w:val="1"/>
                <w:color w:val="auto"/>
              </w:rPr>
            </w:pPr>
          </w:p>
        </w:tc>
      </w:tr>
      <w:tr>
        <w:trPr>
          <w:trHeight w:val="34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Union Beach, NJ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Research and development center.</w:t>
            </w: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Salem, OR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fruit and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vegetable concentrates, fruit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and vegetable preparations and</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ingredients.</w:t>
            </w: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Menomonee Falls, WI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flavor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compounds, flavor ingredients,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bacterial cultures and fruit</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HOLLAND</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Flavor and fragrance laboratories.</w:t>
            </w:r>
          </w:p>
        </w:tc>
        <w:tc>
          <w:tcPr>
            <w:tcW w:w="0" w:type="dxa"/>
            <w:vAlign w:val="bottom"/>
          </w:tcPr>
          <w:p>
            <w:pPr>
              <w:spacing w:after="0"/>
              <w:rPr>
                <w:sz w:val="1"/>
                <w:szCs w:val="1"/>
                <w:color w:val="auto"/>
              </w:rPr>
            </w:pPr>
          </w:p>
        </w:tc>
      </w:tr>
      <w:tr>
        <w:trPr>
          <w:trHeight w:val="249"/>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Hilversum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Tilburg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flavor and fragrance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and flavor ingredients.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Flavor and fragrance laboratories.</w:t>
            </w:r>
          </w:p>
        </w:tc>
        <w:tc>
          <w:tcPr>
            <w:tcW w:w="0" w:type="dxa"/>
            <w:vAlign w:val="bottom"/>
          </w:tcPr>
          <w:p>
            <w:pPr>
              <w:spacing w:after="0"/>
              <w:rPr>
                <w:sz w:val="1"/>
                <w:szCs w:val="1"/>
                <w:color w:val="auto"/>
              </w:rPr>
            </w:pPr>
          </w:p>
        </w:tc>
      </w:tr>
      <w:tr>
        <w:trPr>
          <w:trHeight w:val="249"/>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Bois-Colombes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Dijon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fragrance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ingredients and compounds,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ingredients and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compounds and fruit</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GERMANY</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fruit</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Emmerich/Rhein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 and flavor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ingredients and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GREAT BRITAIN</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flavor compounds</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Haverhill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and ingredients, fruit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 and fragrance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chemical ingredients; flavor</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fragrance compounds.</w:t>
            </w:r>
          </w:p>
        </w:tc>
        <w:tc>
          <w:tcPr>
            <w:tcW w:w="0" w:type="dxa"/>
            <w:vAlign w:val="bottom"/>
          </w:tcPr>
          <w:p>
            <w:pPr>
              <w:spacing w:after="0"/>
              <w:rPr>
                <w:sz w:val="1"/>
                <w:szCs w:val="1"/>
                <w:color w:val="auto"/>
              </w:rPr>
            </w:pPr>
          </w:p>
        </w:tc>
      </w:tr>
      <w:tr>
        <w:trPr>
          <w:trHeight w:val="249"/>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Drogheda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8"/>
              </w:rPr>
              <w:t>Production of fragrance chemical ingredients.</w:t>
            </w:r>
          </w:p>
        </w:tc>
        <w:tc>
          <w:tcPr>
            <w:tcW w:w="0" w:type="dxa"/>
            <w:vAlign w:val="bottom"/>
          </w:tcPr>
          <w:p>
            <w:pPr>
              <w:spacing w:after="0"/>
              <w:rPr>
                <w:sz w:val="1"/>
                <w:szCs w:val="1"/>
                <w:color w:val="auto"/>
              </w:rPr>
            </w:pPr>
          </w:p>
        </w:tc>
      </w:tr>
      <w:tr>
        <w:trPr>
          <w:trHeight w:val="249"/>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Benicarlo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SWITZERLAND</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fruit</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Reinach-Aargau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 and flavor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ingredients and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ARGENTINA</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fruit</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Garin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preparations and flavor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ingredients and compounds;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production of fragrance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compounds; flavor</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Rio de Janeiro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ingredients and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compounds, fruit preparations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and fragrance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laboratories.</w:t>
            </w:r>
          </w:p>
        </w:tc>
        <w:tc>
          <w:tcPr>
            <w:tcW w:w="0" w:type="dxa"/>
            <w:vAlign w:val="bottom"/>
          </w:tcPr>
          <w:p>
            <w:pPr>
              <w:spacing w:after="0"/>
              <w:rPr>
                <w:sz w:val="1"/>
                <w:szCs w:val="1"/>
                <w:color w:val="auto"/>
              </w:rPr>
            </w:pPr>
          </w:p>
        </w:tc>
      </w:tr>
      <w:tr>
        <w:trPr>
          <w:trHeight w:val="34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Sao Paulo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Fragrance laboratory.</w:t>
            </w:r>
          </w:p>
        </w:tc>
        <w:tc>
          <w:tcPr>
            <w:tcW w:w="0" w:type="dxa"/>
            <w:vAlign w:val="bottom"/>
          </w:tcPr>
          <w:p>
            <w:pPr>
              <w:spacing w:after="0"/>
              <w:rPr>
                <w:sz w:val="1"/>
                <w:szCs w:val="1"/>
                <w:color w:val="auto"/>
              </w:rPr>
            </w:pPr>
          </w:p>
        </w:tc>
      </w:tr>
      <w:tr>
        <w:trPr>
          <w:trHeight w:val="34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Taubate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flavor compounds.</w:t>
            </w:r>
          </w:p>
        </w:tc>
        <w:tc>
          <w:tcPr>
            <w:tcW w:w="0" w:type="dxa"/>
            <w:vAlign w:val="bottom"/>
          </w:tcPr>
          <w:p>
            <w:pPr>
              <w:spacing w:after="0"/>
              <w:rPr>
                <w:sz w:val="1"/>
                <w:szCs w:val="1"/>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MEXICO</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6" w:orient="portrait"/>
          <w:cols w:equalWidth="0" w:num="1">
            <w:col w:w="10219"/>
          </w:cols>
          <w:pgMar w:left="240" w:top="775"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Tlalnepantla .............</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flavor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rPr>
              <w:t>compounds, fruit preparations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rPr>
              <w:t>and fragrance compounds;</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rPr>
              <w:t>flavor and fragrance</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rPr>
              <w:t>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38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7"/>
              </w:rPr>
              <w:t>Production of flavor compounds; flavor and</w:t>
            </w:r>
          </w:p>
        </w:tc>
        <w:tc>
          <w:tcPr>
            <w:tcW w:w="0" w:type="dxa"/>
            <w:vAlign w:val="bottom"/>
          </w:tcPr>
          <w:p>
            <w:pPr>
              <w:spacing w:after="0"/>
              <w:rPr>
                <w:sz w:val="1"/>
                <w:szCs w:val="1"/>
                <w:color w:val="auto"/>
              </w:rPr>
            </w:pP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Dee Why ..................</w:t>
            </w:r>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rPr>
              <w:t>fragrance laboratories.</w:t>
            </w:r>
          </w:p>
        </w:tc>
        <w:tc>
          <w:tcPr>
            <w:tcW w:w="0" w:type="dxa"/>
            <w:vAlign w:val="bottom"/>
          </w:tcPr>
          <w:p>
            <w:pPr>
              <w:spacing w:after="0"/>
              <w:rPr>
                <w:sz w:val="1"/>
                <w:szCs w:val="1"/>
                <w:color w:val="auto"/>
              </w:rPr>
            </w:pPr>
          </w:p>
        </w:tc>
      </w:tr>
      <w:tr>
        <w:trPr>
          <w:trHeight w:val="512"/>
        </w:trPr>
        <w:tc>
          <w:tcPr>
            <w:tcW w:w="2780" w:type="dxa"/>
            <w:vAlign w:val="bottom"/>
          </w:tcPr>
          <w:p>
            <w:pPr>
              <w:spacing w:after="0"/>
              <w:rPr>
                <w:sz w:val="24"/>
                <w:szCs w:val="24"/>
                <w:color w:val="auto"/>
              </w:rPr>
            </w:pPr>
          </w:p>
        </w:tc>
        <w:tc>
          <w:tcPr>
            <w:tcW w:w="3860" w:type="dxa"/>
            <w:vAlign w:val="bottom"/>
          </w:tcPr>
          <w:p>
            <w:pPr>
              <w:ind w:left="68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5"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Location</w:t>
            </w:r>
          </w:p>
        </w:tc>
        <w:tc>
          <w:tcPr>
            <w:tcW w:w="4140" w:type="dxa"/>
            <w:vAlign w:val="bottom"/>
          </w:tcPr>
          <w:p>
            <w:pPr>
              <w:ind w:left="1120"/>
              <w:spacing w:after="0"/>
              <w:rPr>
                <w:sz w:val="20"/>
                <w:szCs w:val="20"/>
                <w:color w:val="auto"/>
              </w:rPr>
            </w:pPr>
            <w:r>
              <w:rPr>
                <w:rFonts w:ascii="Courier New" w:cs="Courier New" w:eastAsia="Courier New" w:hAnsi="Courier New"/>
                <w:sz w:val="15"/>
                <w:szCs w:val="15"/>
                <w:color w:val="auto"/>
              </w:rPr>
              <w:t>Operation</w:t>
            </w:r>
          </w:p>
        </w:tc>
        <w:tc>
          <w:tcPr>
            <w:tcW w:w="0" w:type="dxa"/>
            <w:vAlign w:val="bottom"/>
          </w:tcPr>
          <w:p>
            <w:pPr>
              <w:spacing w:after="0"/>
              <w:rPr>
                <w:sz w:val="1"/>
                <w:szCs w:val="1"/>
                <w:color w:val="auto"/>
              </w:rPr>
            </w:pPr>
          </w:p>
        </w:tc>
      </w:tr>
      <w:tr>
        <w:trPr>
          <w:trHeight w:val="249"/>
        </w:trPr>
        <w:tc>
          <w:tcPr>
            <w:tcW w:w="27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414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CHINA</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8"/>
              </w:rPr>
              <w:t>Production of flavor and fragrance compounds;</w:t>
            </w:r>
          </w:p>
        </w:tc>
        <w:tc>
          <w:tcPr>
            <w:tcW w:w="0" w:type="dxa"/>
            <w:vAlign w:val="bottom"/>
          </w:tcPr>
          <w:p>
            <w:pPr>
              <w:spacing w:after="0"/>
              <w:rPr>
                <w:sz w:val="1"/>
                <w:szCs w:val="1"/>
                <w:color w:val="auto"/>
              </w:rPr>
            </w:pPr>
          </w:p>
        </w:tc>
      </w:tr>
      <w:tr>
        <w:trPr>
          <w:trHeight w:val="17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Guangzhou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flavor laboratories.</w:t>
            </w:r>
          </w:p>
        </w:tc>
        <w:tc>
          <w:tcPr>
            <w:tcW w:w="0" w:type="dxa"/>
            <w:vAlign w:val="bottom"/>
          </w:tcPr>
          <w:p>
            <w:pPr>
              <w:spacing w:after="0"/>
              <w:rPr>
                <w:sz w:val="1"/>
                <w:szCs w:val="1"/>
                <w:color w:val="auto"/>
              </w:rPr>
            </w:pPr>
          </w:p>
        </w:tc>
      </w:tr>
      <w:tr>
        <w:trPr>
          <w:trHeight w:val="34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Xin'anjiang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w w:val="98"/>
              </w:rPr>
              <w:t>Production of fragrance chemical ingredients.</w:t>
            </w:r>
          </w:p>
        </w:tc>
        <w:tc>
          <w:tcPr>
            <w:tcW w:w="0" w:type="dxa"/>
            <w:vAlign w:val="bottom"/>
          </w:tcPr>
          <w:p>
            <w:pPr>
              <w:spacing w:after="0"/>
              <w:rPr>
                <w:sz w:val="1"/>
                <w:szCs w:val="1"/>
                <w:color w:val="auto"/>
              </w:rPr>
            </w:pPr>
          </w:p>
        </w:tc>
      </w:tr>
      <w:tr>
        <w:trPr>
          <w:trHeight w:val="263"/>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HONG KONG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rPr>
              <w:t>Production of fragrance compounds;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fragrance 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INDONESIA</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Production of flavor and fragrance compounds</w:t>
            </w:r>
          </w:p>
        </w:tc>
        <w:tc>
          <w:tcPr>
            <w:tcW w:w="0" w:type="dxa"/>
            <w:vAlign w:val="bottom"/>
          </w:tcPr>
          <w:p>
            <w:pPr>
              <w:spacing w:after="0"/>
              <w:rPr>
                <w:sz w:val="1"/>
                <w:szCs w:val="1"/>
                <w:color w:val="auto"/>
              </w:rPr>
            </w:pPr>
          </w:p>
        </w:tc>
      </w:tr>
      <w:tr>
        <w:trPr>
          <w:trHeight w:val="17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Jakarta ..................</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and ingredients; flavor and fragrance</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Courier New" w:cs="Courier New" w:eastAsia="Courier New" w:hAnsi="Courier New"/>
                <w:sz w:val="15"/>
                <w:szCs w:val="15"/>
                <w:color w:val="auto"/>
              </w:rPr>
              <w:t>laboratories.</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41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Flavor and fragrance laboratories.</w:t>
            </w:r>
          </w:p>
        </w:tc>
        <w:tc>
          <w:tcPr>
            <w:tcW w:w="0" w:type="dxa"/>
            <w:vAlign w:val="bottom"/>
          </w:tcPr>
          <w:p>
            <w:pPr>
              <w:spacing w:after="0"/>
              <w:rPr>
                <w:sz w:val="1"/>
                <w:szCs w:val="1"/>
                <w:color w:val="auto"/>
              </w:rPr>
            </w:pPr>
          </w:p>
        </w:tc>
      </w:tr>
      <w:tr>
        <w:trPr>
          <w:trHeight w:val="249"/>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Tokyo ....................</w:t>
            </w: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Gotemba ..................</w:t>
            </w:r>
          </w:p>
        </w:tc>
        <w:tc>
          <w:tcPr>
            <w:tcW w:w="4140" w:type="dxa"/>
            <w:vAlign w:val="bottom"/>
          </w:tcPr>
          <w:p>
            <w:pPr>
              <w:ind w:left="140"/>
              <w:spacing w:after="0"/>
              <w:rPr>
                <w:sz w:val="20"/>
                <w:szCs w:val="20"/>
                <w:color w:val="auto"/>
              </w:rPr>
            </w:pPr>
            <w:r>
              <w:rPr>
                <w:rFonts w:ascii="Courier New" w:cs="Courier New" w:eastAsia="Courier New" w:hAnsi="Courier New"/>
                <w:sz w:val="15"/>
                <w:szCs w:val="15"/>
                <w:color w:val="auto"/>
                <w:w w:val="98"/>
              </w:rPr>
              <w:t>Production of flavor and fragrance compounds.</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The principal executive offices of the Company and its New York laboratory facilities are located at 521 West 57th Street, New York City. Such offices and all of the above facilities of the Company are owned in fee, except those in China, Hong Kong, and the Indonesian landsite, which are leased. The Company believes that the remaining facilities meet its present needs, but that additional facilities will be required to meet anticipated growth in sales.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Various Federal and State authorities and private parties claim that the Company is a potentially responsible party as a generator of waste materials for alleged pollution at a total of 10 waste sites operated by third parties located principally in New Jersey and Pennsylvania. The governmental authorities seek to recover costs incurred and to be incurred to clean up the sites. The private suits generally seek damages for alleged injuries and, in one current case, a waste site's former owner/operator seeks contribution and indemnification from generators and others for remedial action costs incurred and to be incurred at the site.</w:t>
      </w:r>
    </w:p>
    <w:p>
      <w:pPr>
        <w:spacing w:after="0" w:line="8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waste site claims and suits usually involve million dollar amounts, and most of them are asserted against many potentially responsible parties. Remedial activities typically consist of several phases carried out over a period of years. Most site remedies begin with investigation and feasibility studies, followed by physical removal, destruction, treatment or containment of contaminated soil and debris, and sometimes by groundwater monitoring and treatment. To date, the Company's financial responsibility for some sites has been settled through agreements granting the Company, in exchange for one or more cash payments made or to be made, either complete release of liability or, for certain sites, release from further liability for early and/or later remediation phases, subject to certain "re-opener" clauses for later-discovered conditions. Settlements in respect of some sites involve, in part, payment by the Company, and other parties, of a percentage of the site's future remediation costs over a period of years.</w:t>
      </w:r>
    </w:p>
    <w:p>
      <w:pPr>
        <w:spacing w:after="0" w:line="92"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The Company believes that the amounts it has paid and probably will have to pay for clean-up costs and damages at all sites are and will not be material to the Company's financial condition, results of operations or liquidity, because of the involvement of other large potentially responsible parties at most sites, because payment will be made over an extended time period and because, pursuant to an agreement reached in July 1994 with three of the Company's liability insurers, defense costs and indemnity amounts payable by the Company in respect of the sites will be shared by the insurers up to an agreed amount.</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75" w:right="1440" w:bottom="144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Not applicable.</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EXECUTIVE OFFICERS OF REGISTRANT:</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18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5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Office and Other Business Experience(2)</w:t>
            </w:r>
          </w:p>
        </w:tc>
      </w:tr>
      <w:tr>
        <w:trPr>
          <w:trHeight w:val="249"/>
        </w:trPr>
        <w:tc>
          <w:tcPr>
            <w:tcW w:w="31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5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Eugene P. Grisanti(1) ............</w:t>
            </w:r>
          </w:p>
        </w:tc>
        <w:tc>
          <w:tcPr>
            <w:tcW w:w="5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Chairman of the Board and Chief</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Executive Officer</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Stephen A. Block .................</w:t>
            </w:r>
          </w:p>
        </w:tc>
        <w:tc>
          <w:tcPr>
            <w:tcW w:w="5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Vice-President, Law and Regulatory Affairs,</w:t>
            </w:r>
          </w:p>
        </w:tc>
      </w:tr>
      <w:tr>
        <w:trPr>
          <w:trHeight w:val="249"/>
        </w:trPr>
        <w:tc>
          <w:tcPr>
            <w:tcW w:w="3180" w:type="dxa"/>
            <w:vAlign w:val="bottom"/>
          </w:tcPr>
          <w:p>
            <w:pPr>
              <w:spacing w:after="0"/>
              <w:rPr>
                <w:sz w:val="21"/>
                <w:szCs w:val="21"/>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and Secretary</w:t>
            </w:r>
          </w:p>
        </w:tc>
        <w:tc>
          <w:tcPr>
            <w:tcW w:w="3580" w:type="dxa"/>
            <w:vAlign w:val="bottom"/>
          </w:tcPr>
          <w:p>
            <w:pPr>
              <w:spacing w:after="0"/>
              <w:rPr>
                <w:sz w:val="21"/>
                <w:szCs w:val="21"/>
                <w:color w:val="auto"/>
              </w:rPr>
            </w:pP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Robert G. Corbett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since May 1997; Director; employed</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by the Company in other positions prior thereto</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Ronald S. Fenn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spacing w:after="0"/>
              <w:rPr>
                <w:sz w:val="24"/>
                <w:szCs w:val="24"/>
                <w:color w:val="auto"/>
              </w:rPr>
            </w:pP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Philip P. Gaetano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since December 1998; a human</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resources executive with the following</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companies: Alumax Incorporated, an aluminum</w:t>
            </w:r>
          </w:p>
        </w:tc>
      </w:tr>
      <w:tr>
        <w:trPr>
          <w:trHeight w:val="171"/>
        </w:trPr>
        <w:tc>
          <w:tcPr>
            <w:tcW w:w="3180" w:type="dxa"/>
            <w:vAlign w:val="bottom"/>
          </w:tcPr>
          <w:p>
            <w:pPr>
              <w:spacing w:after="0"/>
              <w:rPr>
                <w:sz w:val="14"/>
                <w:szCs w:val="14"/>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manufacturer,</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from 1997 to 1998; Marcam Corp.,</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 software manufacturer, from 1996 to 1997;</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Fisher Scientific, a scientific products manufacturer,</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from 1995 to 1996; and GE Capital Corporation,</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financial services, from 1994 to 1995</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Judith C. Giordan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since November 1997; Research</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development executive with The Pepsi-Cola Co.,</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affiliate of PepsiCo, Inc., soft drink and snack food</w:t>
            </w:r>
          </w:p>
        </w:tc>
      </w:tr>
      <w:tr>
        <w:trPr>
          <w:trHeight w:val="171"/>
        </w:trPr>
        <w:tc>
          <w:tcPr>
            <w:tcW w:w="3180" w:type="dxa"/>
            <w:vAlign w:val="bottom"/>
          </w:tcPr>
          <w:p>
            <w:pPr>
              <w:spacing w:after="0"/>
              <w:rPr>
                <w:sz w:val="14"/>
                <w:szCs w:val="14"/>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manufacturer,</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from 1996 to 1997, and Henkel</w:t>
            </w:r>
          </w:p>
        </w:tc>
      </w:tr>
      <w:tr>
        <w:trPr>
          <w:trHeight w:val="171"/>
        </w:trPr>
        <w:tc>
          <w:tcPr>
            <w:tcW w:w="3180" w:type="dxa"/>
            <w:vAlign w:val="bottom"/>
          </w:tcPr>
          <w:p>
            <w:pPr>
              <w:spacing w:after="0"/>
              <w:rPr>
                <w:sz w:val="14"/>
                <w:szCs w:val="14"/>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Corporation, consumer product and specialty</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chemical manufacturer, from 1989 to 1996</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Carlos A. Lobbosco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spacing w:after="0"/>
              <w:rPr>
                <w:sz w:val="24"/>
                <w:szCs w:val="2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Lewis G. Lynch, Jr.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spacing w:after="0"/>
              <w:rPr>
                <w:sz w:val="24"/>
                <w:szCs w:val="2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Stuart R. Maconochie .............</w:t>
            </w:r>
          </w:p>
        </w:tc>
        <w:tc>
          <w:tcPr>
            <w:tcW w:w="5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Vice-President; Director</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Jose A. Rodriguez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since May 1998; employed by the</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Company in other positions prior thereto</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Timothy Schaffner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since May 1997; employed by the</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Company in other positions prior thereto</w:t>
            </w:r>
          </w:p>
        </w:tc>
      </w:tr>
      <w:tr>
        <w:trPr>
          <w:trHeight w:val="263"/>
        </w:trPr>
        <w:tc>
          <w:tcPr>
            <w:tcW w:w="3180" w:type="dxa"/>
            <w:vAlign w:val="bottom"/>
          </w:tcPr>
          <w:p>
            <w:pPr>
              <w:spacing w:after="0"/>
              <w:rPr>
                <w:sz w:val="20"/>
                <w:szCs w:val="20"/>
                <w:color w:val="auto"/>
              </w:rPr>
            </w:pPr>
            <w:r>
              <w:rPr>
                <w:rFonts w:ascii="Courier New" w:cs="Courier New" w:eastAsia="Courier New" w:hAnsi="Courier New"/>
                <w:sz w:val="15"/>
                <w:szCs w:val="15"/>
                <w:color w:val="auto"/>
              </w:rPr>
              <w:t>Douglas J. Wetmore ...............</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Vice-President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and Chief Financial Officer since</w:t>
            </w:r>
          </w:p>
        </w:tc>
      </w:tr>
      <w:tr>
        <w:trPr>
          <w:trHeight w:val="249"/>
        </w:trPr>
        <w:tc>
          <w:tcPr>
            <w:tcW w:w="3180" w:type="dxa"/>
            <w:vAlign w:val="bottom"/>
          </w:tcPr>
          <w:p>
            <w:pPr>
              <w:spacing w:after="0"/>
              <w:rPr>
                <w:sz w:val="21"/>
                <w:szCs w:val="21"/>
                <w:color w:val="auto"/>
              </w:rPr>
            </w:pPr>
          </w:p>
        </w:tc>
        <w:tc>
          <w:tcPr>
            <w:tcW w:w="5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April 1998; Director; Controller prior thereto</w:t>
            </w: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Executive Committee of the Board of Directors.</w:t>
      </w:r>
    </w:p>
    <w:p>
      <w:pPr>
        <w:spacing w:after="0" w:line="171" w:lineRule="exact"/>
        <w:rPr>
          <w:rFonts w:ascii="Courier New" w:cs="Courier New" w:eastAsia="Courier New" w:hAnsi="Courier New"/>
          <w:sz w:val="15"/>
          <w:szCs w:val="15"/>
          <w:color w:val="auto"/>
        </w:rPr>
      </w:pPr>
    </w:p>
    <w:p>
      <w:pPr>
        <w:ind w:left="349" w:right="1420" w:hanging="349"/>
        <w:spacing w:after="0" w:line="353"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Employed by the Company or an affiliated company for the last five years, except as otherwise indicated.</w:t>
      </w:r>
    </w:p>
    <w:p>
      <w:pPr>
        <w:spacing w:after="0" w:line="1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Year First</w:t>
      </w:r>
    </w:p>
    <w:p>
      <w:pPr>
        <w:spacing w:after="0" w:line="38"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Became</w:t>
      </w:r>
    </w:p>
    <w:p>
      <w:pPr>
        <w:spacing w:after="0" w:line="1" w:lineRule="exact"/>
        <w:rPr>
          <w:sz w:val="20"/>
          <w:szCs w:val="20"/>
          <w:color w:val="auto"/>
        </w:rPr>
      </w:pPr>
    </w:p>
    <w:p>
      <w:pPr>
        <w:ind w:left="1"/>
        <w:spacing w:after="0"/>
        <w:tabs>
          <w:tab w:leader="none" w:pos="7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Officer</w:t>
      </w:r>
    </w:p>
    <w:p>
      <w:pPr>
        <w:spacing w:after="0" w:line="1" w:lineRule="exact"/>
        <w:rPr>
          <w:sz w:val="20"/>
          <w:szCs w:val="20"/>
          <w:color w:val="auto"/>
        </w:rPr>
      </w:pPr>
    </w:p>
    <w:p>
      <w:pPr>
        <w:ind w:left="801" w:hanging="801"/>
        <w:spacing w:after="0"/>
        <w:tabs>
          <w:tab w:leader="none" w:pos="8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ind w:left="1"/>
        <w:spacing w:after="0"/>
        <w:tabs>
          <w:tab w:leader="none" w:pos="96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1964</w:t>
      </w:r>
    </w:p>
    <w:p>
      <w:pPr>
        <w:spacing w:after="0" w:line="342" w:lineRule="exact"/>
        <w:rPr>
          <w:sz w:val="20"/>
          <w:szCs w:val="20"/>
          <w:color w:val="auto"/>
        </w:rPr>
      </w:pPr>
    </w:p>
    <w:tbl>
      <w:tblPr>
        <w:tblLayout w:type="fixed"/>
        <w:tblInd w:w="1" w:type="dxa"/>
        <w:tblCellMar>
          <w:top w:w="0" w:type="dxa"/>
          <w:left w:w="0" w:type="dxa"/>
          <w:bottom w:w="0" w:type="dxa"/>
          <w:right w:w="0" w:type="dxa"/>
        </w:tblCellMar>
      </w:tblPr>
      <w:tr>
        <w:trPr>
          <w:trHeight w:val="249"/>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512"/>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44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512"/>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r>
      <w:tr>
        <w:trPr>
          <w:trHeight w:val="341"/>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
        <w:spacing w:after="0"/>
        <w:tabs>
          <w:tab w:leader="none" w:pos="9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249"/>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r>
        <w:trPr>
          <w:trHeight w:val="341"/>
        </w:trPr>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bl>
    <w:p>
      <w:pPr>
        <w:spacing w:after="0" w:line="92" w:lineRule="exact"/>
        <w:rPr>
          <w:sz w:val="20"/>
          <w:szCs w:val="20"/>
          <w:color w:val="auto"/>
        </w:rPr>
      </w:pPr>
    </w:p>
    <w:p>
      <w:pPr>
        <w:ind w:left="981" w:hanging="981"/>
        <w:spacing w:after="0"/>
        <w:tabs>
          <w:tab w:leader="none" w:pos="9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w:t>
      </w:r>
    </w:p>
    <w:p>
      <w:pPr>
        <w:spacing w:after="0" w:line="342" w:lineRule="exact"/>
        <w:rPr>
          <w:rFonts w:ascii="Courier New" w:cs="Courier New" w:eastAsia="Courier New" w:hAnsi="Courier New"/>
          <w:sz w:val="15"/>
          <w:szCs w:val="15"/>
          <w:color w:val="auto"/>
        </w:rPr>
      </w:pPr>
    </w:p>
    <w:p>
      <w:pPr>
        <w:ind w:left="981" w:hanging="981"/>
        <w:spacing w:after="0"/>
        <w:tabs>
          <w:tab w:leader="none" w:pos="98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13" w:lineRule="exact"/>
        <w:rPr>
          <w:sz w:val="20"/>
          <w:szCs w:val="20"/>
          <w:color w:val="auto"/>
        </w:rPr>
      </w:pPr>
    </w:p>
    <w:p>
      <w:pPr>
        <w:ind w:left="1"/>
        <w:spacing w:after="0"/>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1992</w:t>
      </w:r>
    </w:p>
    <w:p>
      <w:pPr>
        <w:sectPr>
          <w:pgSz w:w="11900" w:h="16838" w:orient="portrait"/>
          <w:cols w:equalWidth="0" w:num="2">
            <w:col w:w="8249" w:space="359"/>
            <w:col w:w="1620"/>
          </w:cols>
          <w:pgMar w:left="231" w:top="775" w:right="1440" w:bottom="1440" w:gutter="0" w:footer="0" w:header="0"/>
        </w:sectPr>
      </w:pPr>
    </w:p>
    <w:bookmarkStart w:id="8" w:name="page9"/>
    <w:bookmarkEnd w:id="8"/>
    <w:p>
      <w:pPr>
        <w:ind w:left="328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5. MARKET FOR THE REGISTRANT'S COMMON STOCK</w:t>
      </w:r>
    </w:p>
    <w:p>
      <w:pPr>
        <w:spacing w:after="0" w:line="27"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AND RELATED SECURITY HOLDER MATTERS.</w:t>
      </w:r>
    </w:p>
    <w:p>
      <w:pPr>
        <w:spacing w:after="0" w:line="14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Market Information.</w:t>
      </w:r>
    </w:p>
    <w:p>
      <w:pPr>
        <w:spacing w:after="0" w:line="171" w:lineRule="exact"/>
        <w:rPr>
          <w:sz w:val="20"/>
          <w:szCs w:val="20"/>
          <w:color w:val="auto"/>
        </w:rPr>
      </w:pPr>
    </w:p>
    <w:p>
      <w:pPr>
        <w:ind w:left="9" w:right="3479" w:firstLine="444"/>
        <w:spacing w:after="0" w:line="297" w:lineRule="auto"/>
        <w:rPr>
          <w:sz w:val="20"/>
          <w:szCs w:val="20"/>
          <w:color w:val="auto"/>
        </w:rPr>
      </w:pPr>
      <w:r>
        <w:rPr>
          <w:rFonts w:ascii="Courier New" w:cs="Courier New" w:eastAsia="Courier New" w:hAnsi="Courier New"/>
          <w:sz w:val="15"/>
          <w:szCs w:val="15"/>
          <w:color w:val="auto"/>
        </w:rPr>
        <w:t>The Company's common stock is traded principally on the New York Stock Exchange. The high and low stock prices for each quarter during the last two years were:</w:t>
      </w:r>
    </w:p>
    <w:p>
      <w:pPr>
        <w:spacing w:after="0" w:line="5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88"/>
              </w:rPr>
              <w:t>1998</w:t>
            </w:r>
          </w:p>
        </w:tc>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vMerge w:val="restart"/>
          </w:tcPr>
          <w:p>
            <w:pPr>
              <w:spacing w:after="0"/>
              <w:rPr>
                <w:sz w:val="20"/>
                <w:szCs w:val="20"/>
                <w:color w:val="auto"/>
              </w:rPr>
            </w:pPr>
            <w:r>
              <w:rPr>
                <w:rFonts w:ascii="Courier New" w:cs="Courier New" w:eastAsia="Courier New" w:hAnsi="Courier New"/>
                <w:sz w:val="15"/>
                <w:szCs w:val="15"/>
                <w:color w:val="auto"/>
              </w:rPr>
              <w:t>Quarter</w:t>
            </w:r>
          </w:p>
        </w:tc>
        <w:tc>
          <w:tcPr>
            <w:tcW w:w="8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7"/>
              </w:rPr>
              <w:t>---------------------</w:t>
            </w:r>
            <w:r>
              <w:rPr>
                <w:rFonts w:ascii="Courier New" w:cs="Courier New" w:eastAsia="Courier New" w:hAnsi="Courier New"/>
                <w:sz w:val="8"/>
                <w:szCs w:val="8"/>
                <w:color w:val="auto"/>
                <w:w w:val="77"/>
                <w:vertAlign w:val="subscript"/>
              </w:rPr>
              <w:t>High</w:t>
            </w:r>
          </w:p>
        </w:tc>
        <w:tc>
          <w:tcPr>
            <w:tcW w:w="124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Low</w:t>
            </w:r>
          </w:p>
        </w:tc>
        <w:tc>
          <w:tcPr>
            <w:tcW w:w="25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171"/>
        </w:trPr>
        <w:tc>
          <w:tcPr>
            <w:tcW w:w="2660" w:type="dxa"/>
            <w:vAlign w:val="bottom"/>
            <w:vMerge w:val="restart"/>
          </w:tcPr>
          <w:p>
            <w:pPr>
              <w:spacing w:after="0"/>
              <w:rPr>
                <w:sz w:val="20"/>
                <w:szCs w:val="20"/>
                <w:color w:val="auto"/>
              </w:rPr>
            </w:pPr>
            <w:r>
              <w:rPr>
                <w:rFonts w:ascii="Courier New" w:cs="Courier New" w:eastAsia="Courier New" w:hAnsi="Courier New"/>
                <w:sz w:val="15"/>
                <w:szCs w:val="15"/>
                <w:color w:val="auto"/>
                <w:w w:val="80"/>
              </w:rPr>
              <w:t>First</w:t>
            </w:r>
            <w:r>
              <w:rPr>
                <w:rFonts w:ascii="Courier New" w:cs="Courier New" w:eastAsia="Courier New" w:hAnsi="Courier New"/>
                <w:sz w:val="29"/>
                <w:szCs w:val="29"/>
                <w:color w:val="auto"/>
                <w:w w:val="80"/>
                <w:vertAlign w:val="superscript"/>
              </w:rPr>
              <w:t>--------</w:t>
            </w:r>
            <w:r>
              <w:rPr>
                <w:rFonts w:ascii="Courier New" w:cs="Courier New" w:eastAsia="Courier New" w:hAnsi="Courier New"/>
                <w:sz w:val="15"/>
                <w:szCs w:val="15"/>
                <w:color w:val="auto"/>
                <w:w w:val="80"/>
              </w:rPr>
              <w:t>.....................</w:t>
            </w:r>
          </w:p>
        </w:tc>
        <w:tc>
          <w:tcPr>
            <w:tcW w:w="800" w:type="dxa"/>
            <w:vAlign w:val="bottom"/>
          </w:tcPr>
          <w:p>
            <w:pPr>
              <w:jc w:val="right"/>
              <w:ind w:right="31"/>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Courier New" w:cs="Courier New" w:eastAsia="Courier New" w:hAnsi="Courier New"/>
                <w:sz w:val="15"/>
                <w:szCs w:val="15"/>
                <w:color w:val="auto"/>
                <w:w w:val="92"/>
              </w:rPr>
              <w:t>$51.88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$42.06</w:t>
            </w: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$47.13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$42.50</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Second ....................</w:t>
            </w:r>
          </w:p>
        </w:tc>
        <w:tc>
          <w:tcPr>
            <w:tcW w:w="80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50.31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42.25</w:t>
            </w: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52.50</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Third .....................</w:t>
            </w:r>
          </w:p>
        </w:tc>
        <w:tc>
          <w:tcPr>
            <w:tcW w:w="80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44.50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32.06</w:t>
            </w: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53.44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48.50</w:t>
            </w: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0"/>
                <w:szCs w:val="20"/>
                <w:color w:val="auto"/>
              </w:rPr>
            </w:pPr>
            <w:r>
              <w:rPr>
                <w:rFonts w:ascii="Courier New" w:cs="Courier New" w:eastAsia="Courier New" w:hAnsi="Courier New"/>
                <w:sz w:val="15"/>
                <w:szCs w:val="15"/>
                <w:color w:val="auto"/>
              </w:rPr>
              <w:t>Fourth ....................</w:t>
            </w:r>
          </w:p>
        </w:tc>
        <w:tc>
          <w:tcPr>
            <w:tcW w:w="80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45.44</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32.56</w:t>
            </w: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51.88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45.06</w:t>
            </w:r>
          </w:p>
        </w:tc>
        <w:tc>
          <w:tcPr>
            <w:tcW w:w="0" w:type="dxa"/>
            <w:vAlign w:val="bottom"/>
          </w:tcPr>
          <w:p>
            <w:pPr>
              <w:spacing w:after="0"/>
              <w:rPr>
                <w:sz w:val="1"/>
                <w:szCs w:val="1"/>
                <w:color w:val="auto"/>
              </w:rPr>
            </w:pPr>
          </w:p>
        </w:tc>
      </w:tr>
      <w:tr>
        <w:trPr>
          <w:trHeight w:val="512"/>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w w:val="97"/>
              </w:rPr>
              <w:t>(b) Approximate Number of</w:t>
            </w:r>
          </w:p>
        </w:tc>
        <w:tc>
          <w:tcPr>
            <w:tcW w:w="3800" w:type="dxa"/>
            <w:vAlign w:val="bottom"/>
            <w:gridSpan w:val="3"/>
          </w:tcPr>
          <w:p>
            <w:pPr>
              <w:jc w:val="right"/>
              <w:ind w:right="1506"/>
              <w:spacing w:after="0"/>
              <w:rPr>
                <w:sz w:val="20"/>
                <w:szCs w:val="20"/>
                <w:color w:val="auto"/>
              </w:rPr>
            </w:pPr>
            <w:r>
              <w:rPr>
                <w:rFonts w:ascii="Courier New" w:cs="Courier New" w:eastAsia="Courier New" w:hAnsi="Courier New"/>
                <w:sz w:val="15"/>
                <w:szCs w:val="15"/>
                <w:color w:val="auto"/>
              </w:rPr>
              <w:t>Equity Security Holders.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60" w:type="dxa"/>
            <w:vAlign w:val="bottom"/>
          </w:tcPr>
          <w:p>
            <w:pPr>
              <w:ind w:left="1760"/>
              <w:spacing w:after="0"/>
              <w:rPr>
                <w:sz w:val="20"/>
                <w:szCs w:val="20"/>
                <w:color w:val="auto"/>
              </w:rPr>
            </w:pPr>
            <w:r>
              <w:rPr>
                <w:rFonts w:ascii="Courier New" w:cs="Courier New" w:eastAsia="Courier New" w:hAnsi="Courier New"/>
                <w:sz w:val="15"/>
                <w:szCs w:val="15"/>
                <w:color w:val="auto"/>
              </w:rPr>
              <w:t>(A)</w:t>
            </w: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(B)</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66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Title of Class</w:t>
            </w: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7"/>
              </w:rPr>
              <w:t>Number of record holders as</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of December 31, 1998</w:t>
            </w:r>
          </w:p>
        </w:tc>
        <w:tc>
          <w:tcPr>
            <w:tcW w:w="0" w:type="dxa"/>
            <w:vAlign w:val="bottom"/>
          </w:tcPr>
          <w:p>
            <w:pPr>
              <w:spacing w:after="0"/>
              <w:rPr>
                <w:sz w:val="1"/>
                <w:szCs w:val="1"/>
                <w:color w:val="auto"/>
              </w:rPr>
            </w:pPr>
          </w:p>
        </w:tc>
      </w:tr>
      <w:tr>
        <w:trPr>
          <w:trHeight w:val="249"/>
        </w:trPr>
        <w:tc>
          <w:tcPr>
            <w:tcW w:w="26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5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Common stock, par value 12 1/2</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(cent) per share .....</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 Dividends.</w:t>
      </w:r>
    </w:p>
    <w:p>
      <w:pPr>
        <w:spacing w:after="0" w:line="171" w:lineRule="exact"/>
        <w:rPr>
          <w:sz w:val="20"/>
          <w:szCs w:val="20"/>
          <w:color w:val="auto"/>
        </w:rPr>
      </w:pPr>
    </w:p>
    <w:p>
      <w:pPr>
        <w:ind w:left="9" w:right="3219" w:firstLine="444"/>
        <w:spacing w:after="0" w:line="353" w:lineRule="auto"/>
        <w:rPr>
          <w:sz w:val="20"/>
          <w:szCs w:val="20"/>
          <w:color w:val="auto"/>
        </w:rPr>
      </w:pPr>
      <w:r>
        <w:rPr>
          <w:rFonts w:ascii="Courier New" w:cs="Courier New" w:eastAsia="Courier New" w:hAnsi="Courier New"/>
          <w:sz w:val="15"/>
          <w:szCs w:val="15"/>
          <w:color w:val="auto"/>
        </w:rPr>
        <w:t>Cash dividends declared per share for each quarter since January 1997 were as follows:</w:t>
      </w:r>
    </w:p>
    <w:p>
      <w:pPr>
        <w:spacing w:after="0" w:line="1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249"/>
        </w:trPr>
        <w:tc>
          <w:tcPr>
            <w:tcW w:w="3720" w:type="dxa"/>
            <w:vAlign w:val="bottom"/>
          </w:tcPr>
          <w:p>
            <w:pPr>
              <w:spacing w:after="0"/>
              <w:rPr>
                <w:sz w:val="21"/>
                <w:szCs w:val="21"/>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3"/>
        </w:trPr>
        <w:tc>
          <w:tcPr>
            <w:tcW w:w="3720" w:type="dxa"/>
            <w:vAlign w:val="bottom"/>
          </w:tcPr>
          <w:p>
            <w:pPr>
              <w:spacing w:after="0"/>
              <w:rPr>
                <w:sz w:val="20"/>
                <w:szCs w:val="20"/>
                <w:color w:val="auto"/>
              </w:rPr>
            </w:pPr>
            <w:r>
              <w:rPr>
                <w:rFonts w:ascii="Courier New" w:cs="Courier New" w:eastAsia="Courier New" w:hAnsi="Courier New"/>
                <w:sz w:val="15"/>
                <w:szCs w:val="15"/>
                <w:color w:val="auto"/>
              </w:rPr>
              <w:t>First .................................</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Second ................................</w:t>
            </w:r>
          </w:p>
        </w:tc>
        <w:tc>
          <w:tcPr>
            <w:tcW w:w="106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Third .................................</w:t>
            </w:r>
          </w:p>
        </w:tc>
        <w:tc>
          <w:tcPr>
            <w:tcW w:w="106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249"/>
        </w:trPr>
        <w:tc>
          <w:tcPr>
            <w:tcW w:w="3720" w:type="dxa"/>
            <w:vAlign w:val="bottom"/>
          </w:tcPr>
          <w:p>
            <w:pPr>
              <w:spacing w:after="0"/>
              <w:rPr>
                <w:sz w:val="20"/>
                <w:szCs w:val="20"/>
                <w:color w:val="auto"/>
              </w:rPr>
            </w:pPr>
            <w:r>
              <w:rPr>
                <w:rFonts w:ascii="Courier New" w:cs="Courier New" w:eastAsia="Courier New" w:hAnsi="Courier New"/>
                <w:sz w:val="15"/>
                <w:szCs w:val="15"/>
                <w:color w:val="auto"/>
              </w:rPr>
              <w:t>Fourth ................................</w:t>
            </w:r>
          </w:p>
        </w:tc>
        <w:tc>
          <w:tcPr>
            <w:tcW w:w="1060" w:type="dxa"/>
            <w:vAlign w:val="bottom"/>
          </w:tcPr>
          <w:p>
            <w:pPr>
              <w:spacing w:after="0"/>
              <w:rPr>
                <w:sz w:val="21"/>
                <w:szCs w:val="21"/>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pacing w:after="0" w:line="200" w:lineRule="exact"/>
        <w:rPr>
          <w:sz w:val="20"/>
          <w:szCs w:val="20"/>
          <w:color w:val="auto"/>
        </w:rPr>
      </w:pPr>
    </w:p>
    <w:p>
      <w:pPr>
        <w:spacing w:after="0" w:line="233" w:lineRule="exact"/>
        <w:rPr>
          <w:sz w:val="20"/>
          <w:szCs w:val="20"/>
          <w:color w:val="auto"/>
        </w:rPr>
      </w:pPr>
    </w:p>
    <w:tbl>
      <w:tblPr>
        <w:tblLayout w:type="fixed"/>
        <w:tblInd w:w="9" w:type="dxa"/>
        <w:tblCellMar>
          <w:top w:w="0" w:type="dxa"/>
          <w:left w:w="0" w:type="dxa"/>
          <w:bottom w:w="0" w:type="dxa"/>
          <w:right w:w="0" w:type="dxa"/>
        </w:tblCellMar>
      </w:tblPr>
      <w:tr>
        <w:trPr>
          <w:trHeight w:val="249"/>
        </w:trPr>
        <w:tc>
          <w:tcPr>
            <w:tcW w:w="36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1998</w:t>
            </w:r>
          </w:p>
        </w:tc>
        <w:tc>
          <w:tcPr>
            <w:tcW w:w="620" w:type="dxa"/>
            <w:vAlign w:val="bottom"/>
          </w:tcPr>
          <w:p>
            <w:pPr>
              <w:spacing w:after="0"/>
              <w:rPr>
                <w:sz w:val="22"/>
                <w:szCs w:val="22"/>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2"/>
                <w:szCs w:val="22"/>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22"/>
                <w:szCs w:val="22"/>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2"/>
                <w:szCs w:val="22"/>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49"/>
        </w:trPr>
        <w:tc>
          <w:tcPr>
            <w:tcW w:w="3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(Dollars in thousands except per share amounts)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$1,407,349</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$1,426,791</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$1,436,053</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$1,439,487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$1,315,237</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203,785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218,229</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189,894</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248,817</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226,022</w:t>
            </w:r>
          </w:p>
        </w:tc>
        <w:tc>
          <w:tcPr>
            <w:tcW w:w="0" w:type="dxa"/>
            <w:vAlign w:val="bottom"/>
          </w:tcPr>
          <w:p>
            <w:pPr>
              <w:spacing w:after="0"/>
              <w:rPr>
                <w:sz w:val="1"/>
                <w:szCs w:val="1"/>
                <w:color w:val="auto"/>
              </w:rPr>
            </w:pPr>
          </w:p>
        </w:tc>
      </w:tr>
      <w:tr>
        <w:trPr>
          <w:trHeight w:val="249"/>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per share: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2"/>
        </w:trPr>
        <w:tc>
          <w:tcPr>
            <w:tcW w:w="36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$1.90</w:t>
            </w:r>
          </w:p>
        </w:tc>
        <w:tc>
          <w:tcPr>
            <w:tcW w:w="620" w:type="dxa"/>
            <w:vAlign w:val="bottom"/>
          </w:tcPr>
          <w:p>
            <w:pPr>
              <w:spacing w:after="0"/>
              <w:rPr>
                <w:sz w:val="8"/>
                <w:szCs w:val="8"/>
                <w:color w:val="auto"/>
              </w:rPr>
            </w:pPr>
          </w:p>
        </w:tc>
        <w:tc>
          <w:tcPr>
            <w:tcW w:w="9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$2.00</w:t>
            </w:r>
          </w:p>
        </w:tc>
        <w:tc>
          <w:tcPr>
            <w:tcW w:w="400" w:type="dxa"/>
            <w:vAlign w:val="bottom"/>
          </w:tcPr>
          <w:p>
            <w:pPr>
              <w:spacing w:after="0"/>
              <w:rPr>
                <w:sz w:val="8"/>
                <w:szCs w:val="8"/>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8"/>
                <w:szCs w:val="8"/>
                <w:color w:val="auto"/>
              </w:rPr>
            </w:pPr>
          </w:p>
        </w:tc>
        <w:tc>
          <w:tcPr>
            <w:tcW w:w="9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per share--basic ...........</w:t>
            </w: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share--diluted .........</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c>
          <w:tcPr>
            <w:tcW w:w="6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w:t>
            </w:r>
          </w:p>
        </w:tc>
        <w:tc>
          <w:tcPr>
            <w:tcW w:w="3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 ..........................</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$1,388,064</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$1,422,261</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$1,506,913</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$1,534,269</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$1,399,725</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debt ........................</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4,341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5,114</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8,289</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11,616</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14,342</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71"/>
        </w:trPr>
        <w:tc>
          <w:tcPr>
            <w:tcW w:w="3680" w:type="dxa"/>
            <w:vAlign w:val="bottom"/>
            <w:vMerge w:val="continue"/>
          </w:tcPr>
          <w:p>
            <w:pPr>
              <w:ind w:left="3000"/>
              <w:spacing w:after="0" w:line="149"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c>
          <w:tcPr>
            <w:tcW w:w="3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249"/>
        </w:trPr>
        <w:tc>
          <w:tcPr>
            <w:tcW w:w="36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9" w:right="3119" w:hanging="449"/>
        <w:spacing w:after="0" w:line="297"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charge ($31,315 after tax) in 1996 resulting from the Registrant's program to phase out and close certain aroma chemical facilities.</w:t>
      </w:r>
    </w:p>
    <w:p>
      <w:pPr>
        <w:spacing w:after="0" w:line="22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77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ITEM 7. MANAGEMENT'S DISCUSSION AND ANALYSIS OF RESULTS</w:t>
      </w:r>
    </w:p>
    <w:p>
      <w:pPr>
        <w:spacing w:after="0" w:line="2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OF OPERATIONS AND FINANCIAL CONDITION.</w:t>
      </w:r>
    </w:p>
    <w:p>
      <w:pPr>
        <w:spacing w:after="0" w:line="14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Operations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In 1998, worldwide net sales were $1,407,349,000 compared to $1,426,791,000 and $1,436,053,000 in 1997 and 1996, respectively. Sales of fragrance products were $820,149,000, $821,592,000 and $813,918,000 in 1998, 1997 and 1996, respectively. Fragrance sales were flat in 1998 in comparison to 1997, following an increase of 1% in 1997 in comparison to 1996. Flavor sales were $587,200,000, $605,199,000 and $622,135,000 in 1998, 1997 and 1996, respectively. Flavor sales decreased 3% in 1998 in comparison to 1997, following a similar decrease of 3% in 1997 in comparison to 1996.</w:t>
      </w:r>
    </w:p>
    <w:p>
      <w:pPr>
        <w:spacing w:after="0" w:line="80" w:lineRule="exact"/>
        <w:rPr>
          <w:sz w:val="20"/>
          <w:szCs w:val="20"/>
          <w:color w:val="auto"/>
        </w:rPr>
      </w:pPr>
    </w:p>
    <w:p>
      <w:pPr>
        <w:ind w:right="3579" w:firstLine="444"/>
        <w:spacing w:after="0" w:line="297" w:lineRule="auto"/>
        <w:rPr>
          <w:sz w:val="20"/>
          <w:szCs w:val="20"/>
          <w:color w:val="auto"/>
        </w:rPr>
      </w:pPr>
      <w:r>
        <w:rPr>
          <w:rFonts w:ascii="Courier New" w:cs="Courier New" w:eastAsia="Courier New" w:hAnsi="Courier New"/>
          <w:sz w:val="15"/>
          <w:szCs w:val="15"/>
          <w:color w:val="auto"/>
        </w:rPr>
        <w:t>Sales outside the United States represented approximately 70% of total sales in 1998, 1997 and 1996. The following table shows net sales on a geographic basis: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Sales by Destination (Dollars in thousands)</w:t>
            </w:r>
          </w:p>
        </w:tc>
        <w:tc>
          <w:tcPr>
            <w:tcW w:w="260" w:type="dxa"/>
            <w:vAlign w:val="bottom"/>
          </w:tcPr>
          <w:p>
            <w:pPr>
              <w:spacing w:after="0"/>
              <w:rPr>
                <w:sz w:val="14"/>
                <w:szCs w:val="14"/>
                <w:color w:val="auto"/>
              </w:rPr>
            </w:pPr>
          </w:p>
        </w:tc>
        <w:tc>
          <w:tcPr>
            <w:tcW w:w="1100" w:type="dxa"/>
            <w:vAlign w:val="bottom"/>
            <w:vMerge w:val="restart"/>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Percent</w:t>
            </w:r>
          </w:p>
        </w:tc>
        <w:tc>
          <w:tcPr>
            <w:tcW w:w="124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c>
          <w:tcPr>
            <w:tcW w:w="108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Change</w:t>
            </w:r>
          </w:p>
        </w:tc>
        <w:tc>
          <w:tcPr>
            <w:tcW w:w="1240" w:type="dxa"/>
            <w:vAlign w:val="bottom"/>
            <w:vMerge w:val="continue"/>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Change</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North America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448,885</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423,876</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427,219</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Europe, Africa and the Middle East</w:t>
            </w:r>
          </w:p>
        </w:tc>
        <w:tc>
          <w:tcPr>
            <w:tcW w:w="260" w:type="dxa"/>
            <w:vAlign w:val="bottom"/>
          </w:tcPr>
          <w:p>
            <w:pPr>
              <w:spacing w:after="0"/>
              <w:rPr>
                <w:sz w:val="14"/>
                <w:szCs w:val="14"/>
                <w:color w:val="auto"/>
              </w:rPr>
            </w:pPr>
          </w:p>
        </w:tc>
        <w:tc>
          <w:tcPr>
            <w:tcW w:w="110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556,911</w:t>
            </w:r>
          </w:p>
        </w:tc>
        <w:tc>
          <w:tcPr>
            <w:tcW w:w="10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-4%</w:t>
            </w:r>
          </w:p>
        </w:tc>
        <w:tc>
          <w:tcPr>
            <w:tcW w:w="12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577,576</w:t>
            </w:r>
          </w:p>
        </w:tc>
        <w:tc>
          <w:tcPr>
            <w:tcW w:w="9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-3%</w:t>
            </w:r>
          </w:p>
        </w:tc>
        <w:tc>
          <w:tcPr>
            <w:tcW w:w="10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596,610</w:t>
            </w:r>
          </w:p>
        </w:tc>
        <w:tc>
          <w:tcPr>
            <w:tcW w:w="0" w:type="dxa"/>
            <w:vAlign w:val="bottom"/>
          </w:tcPr>
          <w:p>
            <w:pPr>
              <w:spacing w:after="0"/>
              <w:rPr>
                <w:sz w:val="1"/>
                <w:szCs w:val="1"/>
                <w:color w:val="auto"/>
              </w:rPr>
            </w:pP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(EAME) ......................................</w:t>
            </w: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Latin America ................................</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239,472</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222,708</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206,803</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Far East .....................................</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162,081</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202,631</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205,421</w:t>
            </w:r>
          </w:p>
        </w:tc>
        <w:tc>
          <w:tcPr>
            <w:tcW w:w="0" w:type="dxa"/>
            <w:vAlign w:val="bottom"/>
          </w:tcPr>
          <w:p>
            <w:pPr>
              <w:spacing w:after="0"/>
              <w:rPr>
                <w:sz w:val="1"/>
                <w:szCs w:val="1"/>
                <w:color w:val="auto"/>
              </w:rPr>
            </w:pPr>
          </w:p>
        </w:tc>
      </w:tr>
      <w:tr>
        <w:trPr>
          <w:trHeight w:val="171"/>
        </w:trPr>
        <w:tc>
          <w:tcPr>
            <w:tcW w:w="42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Total net sales ............................</w:t>
            </w: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110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w w:val="96"/>
              </w:rPr>
              <w:t>1,407,349</w:t>
            </w:r>
          </w:p>
        </w:tc>
        <w:tc>
          <w:tcPr>
            <w:tcW w:w="10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$1,426,791</w:t>
            </w:r>
          </w:p>
        </w:tc>
        <w:tc>
          <w:tcPr>
            <w:tcW w:w="920" w:type="dxa"/>
            <w:vAlign w:val="bottom"/>
            <w:vMerge w:val="continue"/>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$1,436,053</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1"/>
                <w:szCs w:val="21"/>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For the full year 1998, sales growth was strong in North America, in both flavors and fragrances. Although economic difficulties unfavorably impacted Latin America flavor sales, fragrance sales in the area achieved double-digit sales growth for the year. Sales in the Far East, in both flavors and fragrances, were down 20% for the year, affected by the ongoing economic disruption in Japan and Southeast Asia. In 1998, reported sales were also unfavorably impacted by the stronger U.S. dollar, most notably against the major European currencies; had the dollar exchange rates remained the same during 1998 and 1997, sales would have been approximately 2% higher than reported.</w:t>
      </w:r>
    </w:p>
    <w:p>
      <w:pPr>
        <w:spacing w:after="0" w:line="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During 1997, the strongest sales growth, for both flavors and fragrances, was achieved in the EAME area, particularly Eastern Europe and the Middle East. In 1997, reported sales were unfavorably impacted by the stronger U.S. dollar; had the dollar exchange rates remained the same during 1997 and 1996, sales would have increased approximately 4% worldwide. Sales were also affected, mainly in the fourth quarter, by the economic slowdowns in the Far East and Brazil.</w:t>
      </w:r>
    </w:p>
    <w:p>
      <w:pPr>
        <w:spacing w:after="0" w:line="8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Although the Company's reported sales and earnings are affected by the weakening or strengthening of the U.S. dollar, this has no long-term effect on the underlying strength of our business.</w:t>
      </w:r>
    </w:p>
    <w:p>
      <w:pPr>
        <w:spacing w:after="0" w:line="52"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The percentage relationship of cost of goods sold and other operating expenses to sales was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Cost of goods sold .....................</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54.2%</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7.0%</w:t>
            </w:r>
          </w:p>
        </w:tc>
        <w:tc>
          <w:tcPr>
            <w:tcW w:w="13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6.6%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1"/>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expenses ..............................</w:t>
            </w: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10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17.0%</w:t>
            </w:r>
          </w:p>
        </w:tc>
        <w:tc>
          <w:tcPr>
            <w:tcW w:w="13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15.9%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249"/>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expenses ..............................</w:t>
            </w:r>
          </w:p>
        </w:tc>
        <w:tc>
          <w:tcPr>
            <w:tcW w:w="10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Cost of goods sold, which includes cost of materials and internal manufacturing expenses, has remained constant as a percentage of sales over the years 1998, 1997 and 1996.</w:t>
      </w:r>
    </w:p>
    <w:p>
      <w:pPr>
        <w:spacing w:after="0" w:line="5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Research and development expenses have consistently been between 6% and 7% of sales. The expenses are for the development of new and improved products, technical product support, compliance with governmental regulations and help in maintaining our relationships with our customers who are often dependent on technical advances. These activities contribute in a significant way to the Company's business.</w:t>
      </w:r>
    </w:p>
    <w:p>
      <w:pPr>
        <w:spacing w:after="0" w:line="77" w:lineRule="exact"/>
        <w:rPr>
          <w:sz w:val="20"/>
          <w:szCs w:val="20"/>
          <w:color w:val="auto"/>
        </w:rPr>
      </w:pPr>
    </w:p>
    <w:p>
      <w:pPr>
        <w:jc w:val="both"/>
        <w:ind w:right="3119" w:firstLine="444"/>
        <w:spacing w:after="0" w:line="326" w:lineRule="auto"/>
        <w:rPr>
          <w:sz w:val="20"/>
          <w:szCs w:val="20"/>
          <w:color w:val="auto"/>
        </w:rPr>
      </w:pPr>
      <w:r>
        <w:rPr>
          <w:rFonts w:ascii="Courier New" w:cs="Courier New" w:eastAsia="Courier New" w:hAnsi="Courier New"/>
          <w:sz w:val="14"/>
          <w:szCs w:val="14"/>
          <w:color w:val="auto"/>
        </w:rPr>
        <w:t>Selling and administrative expenses are necessary to support the Company's sales and operating levels and have remained relatively constant as a percentage of net sales. In 1998, administrative costs include approximately $12.5</w:t>
      </w:r>
    </w:p>
    <w:p>
      <w:pPr>
        <w:spacing w:after="0" w:line="20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75" w:right="1440" w:bottom="1163" w:gutter="0" w:footer="0" w:header="0"/>
        </w:sectPr>
      </w:pPr>
    </w:p>
    <w:bookmarkStart w:id="10" w:name="page11"/>
    <w:bookmarkEnd w:id="10"/>
    <w:p>
      <w:pPr>
        <w:ind w:right="3219"/>
        <w:spacing w:after="0" w:line="259" w:lineRule="auto"/>
        <w:rPr>
          <w:sz w:val="20"/>
          <w:szCs w:val="20"/>
          <w:color w:val="auto"/>
        </w:rPr>
      </w:pPr>
      <w:r>
        <w:rPr>
          <w:rFonts w:ascii="Courier New" w:cs="Courier New" w:eastAsia="Courier New" w:hAnsi="Courier New"/>
          <w:sz w:val="15"/>
          <w:szCs w:val="15"/>
          <w:color w:val="auto"/>
        </w:rPr>
        <w:t>million of expense incurred in connection with the Company's Year 2000 program, for which there were no comparable costs incurred in 1997 or 1996. In addition, administrative expenses also include certain costs incurred in connection with the Company's project to implement the enterprise requirements planning ("ERP") software package, SAP. Excluding these costs, selling and administrative expenses would have represented approximately 15.9% of sales, in line with the 1997 and 1996 levels.</w:t>
      </w:r>
    </w:p>
    <w:p>
      <w:pPr>
        <w:spacing w:after="0" w:line="82" w:lineRule="exact"/>
        <w:rPr>
          <w:sz w:val="20"/>
          <w:szCs w:val="20"/>
          <w:color w:val="auto"/>
        </w:rPr>
      </w:pPr>
    </w:p>
    <w:p>
      <w:pPr>
        <w:ind w:right="3479" w:firstLine="444"/>
        <w:spacing w:after="0" w:line="263" w:lineRule="auto"/>
        <w:rPr>
          <w:sz w:val="20"/>
          <w:szCs w:val="20"/>
          <w:color w:val="auto"/>
        </w:rPr>
      </w:pPr>
      <w:r>
        <w:rPr>
          <w:rFonts w:ascii="Courier New" w:cs="Courier New" w:eastAsia="Courier New" w:hAnsi="Courier New"/>
          <w:sz w:val="15"/>
          <w:szCs w:val="15"/>
          <w:color w:val="auto"/>
        </w:rPr>
        <w:t>Operating profit, as shown in Note 10 of the Notes to the Consolidated Financial Statements, was $312,728,000 in 1998, $338,339,000 in 1997 and $346,163,000 in 1996. Operating profit results reflect the level of sales achieved. In 1998, operating profit reflected the effects of the Year 2000 related expenses. Operating profit in 1996 excludes a nonrecurring charge of $49,707,000.</w:t>
      </w:r>
    </w:p>
    <w:p>
      <w:pPr>
        <w:spacing w:after="0" w:line="77"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Interest expense amounted to $2,042,000, $2,420,000 and $2,740,000 in 1998, 1997 and 1996, respectively. This expense relates primarily to bank loans taken out by some of the Company's subsidiaries and may be significantly affected by high interest rates in countries where local bank borrowing is used as a hedge against devaluations. Interest expense decreased in 1998 compared to 1997 mainly due to lower average borrowing levels during the year; the decrease in 1997 compared to 1996 was due to lower average interest rates, partially offset by somewhat higher average borrowing levels outstanding during the year. More details on bank loans and long-term debt are contained in Note 6 of the Notes to the Consolidated Financial Statements.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was $6,356,000 in 1998, compared to $10,442,000 in 1997 and</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$11,405,000 in 1996. The decrease in other income in 1998 compared to 1997,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compared to 1996, was primarily due to lower interest income due to lower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interest rates, and lower levels of investments.</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in 1998 totaled $203,785,000, a decrease of $14,444,000 or 7%</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prior year. Net income in 1997 totaled $218,229,000, and in 1996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$221,209,000. The 1996 amount excludes the effect of the nonrecurring charge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relating to the Company's aroma chemical operations; including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net income was $189,894,000.</w:t>
      </w:r>
    </w:p>
    <w:p>
      <w:pPr>
        <w:spacing w:after="0" w:line="145"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During 1996, the Company undertook a program to phase out aroma chemical production at its Union Beach, New Jersey plant at the end of 1997, and to close smaller capacity aroma chemical facilities in Mexico and Brazil that year. Most of the volume produced at Union Beach was transferred to the Company's facility in Augusta, Georgia; production capacity in Benicarlo, Spain was also expanded.</w:t>
      </w:r>
    </w:p>
    <w:p>
      <w:pPr>
        <w:spacing w:after="0" w:line="59"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program resulted in a nonrecurring pretax charge to 1996 earnings of $49,707,000 ($31,315,000 after tax or $.29 per share). Of the charge, approximately $33,000,000 represented asset writedowns and other non-cash related costs. Approximately 220 employees were affected by this program, all of whom had left the Company at December 31, 1998.</w:t>
      </w:r>
    </w:p>
    <w:p>
      <w:pPr>
        <w:spacing w:after="0" w:line="7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Movements in the reserve resulting from the nonrecurring charge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Plant</w:t>
            </w: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Related</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Closure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Original</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reserve.....................</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10,629</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$39,078</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$49,707</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Utilized in 1996 .....................</w:t>
            </w:r>
          </w:p>
        </w:tc>
        <w:tc>
          <w:tcPr>
            <w:tcW w:w="2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560</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6,446</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7,006</w:t>
            </w: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1996</w:t>
            </w:r>
          </w:p>
        </w:tc>
        <w:tc>
          <w:tcPr>
            <w:tcW w:w="260" w:type="dxa"/>
            <w:vAlign w:val="bottom"/>
          </w:tcPr>
          <w:p>
            <w:pPr>
              <w:ind w:left="180"/>
              <w:spacing w:after="0"/>
              <w:rPr>
                <w:sz w:val="20"/>
                <w:szCs w:val="20"/>
                <w:color w:val="auto"/>
              </w:rPr>
            </w:pPr>
            <w:r>
              <w:rPr>
                <w:rFonts w:ascii="Courier New" w:cs="Courier New" w:eastAsia="Courier New" w:hAnsi="Courier New"/>
                <w:sz w:val="2"/>
                <w:szCs w:val="2"/>
                <w:color w:val="auto"/>
                <w:w w:val="70"/>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6"/>
              </w:rPr>
              <w:t>10,069</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32,632</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42,701</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Utilized in 1997 .....................</w:t>
            </w:r>
          </w:p>
        </w:tc>
        <w:tc>
          <w:tcPr>
            <w:tcW w:w="2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8,045</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16,654</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24,699</w:t>
            </w: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1997</w:t>
            </w:r>
          </w:p>
        </w:tc>
        <w:tc>
          <w:tcPr>
            <w:tcW w:w="260" w:type="dxa"/>
            <w:vAlign w:val="bottom"/>
          </w:tcPr>
          <w:p>
            <w:pPr>
              <w:ind w:left="180"/>
              <w:spacing w:after="0"/>
              <w:rPr>
                <w:sz w:val="20"/>
                <w:szCs w:val="20"/>
                <w:color w:val="auto"/>
              </w:rPr>
            </w:pPr>
            <w:r>
              <w:rPr>
                <w:rFonts w:ascii="Courier New" w:cs="Courier New" w:eastAsia="Courier New" w:hAnsi="Courier New"/>
                <w:sz w:val="2"/>
                <w:szCs w:val="2"/>
                <w:color w:val="auto"/>
                <w:w w:val="70"/>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2,024</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15,978</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18,002</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Utilized in 1998 .....................</w:t>
            </w:r>
          </w:p>
        </w:tc>
        <w:tc>
          <w:tcPr>
            <w:tcW w:w="2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1,503</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13,778</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15,281</w:t>
            </w: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1998</w:t>
            </w:r>
          </w:p>
        </w:tc>
        <w:tc>
          <w:tcPr>
            <w:tcW w:w="260" w:type="dxa"/>
            <w:vAlign w:val="bottom"/>
            <w:vMerge w:val="restart"/>
          </w:tcPr>
          <w:p>
            <w:pPr>
              <w:ind w:left="1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521</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$ 2,200</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$ 2,721</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12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balance of the reserve will be utilized in 1999 in connection with the final decomissioning and disposal of plant equipment, and as severance obligations to affected employees are satisfied.</w:t>
      </w:r>
    </w:p>
    <w:p>
      <w:pPr>
        <w:spacing w:after="0" w:line="5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Effective January 1, 1997, the Company adopted Statement of Position 96-1 (SOP 96-1), Accounting for Environmental Remediation Liabilities. SOP 96-1 establishes guidance for when environmental liabilities should be recorded and the factors to be considered in determining amounts recognized. The effect of adopting this Standard was not material.</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75" w:right="1440" w:bottom="1440" w:gutter="0" w:footer="0" w:header="0"/>
        </w:sectPr>
      </w:pPr>
    </w:p>
    <w:bookmarkStart w:id="11" w:name="page12"/>
    <w:bookmarkEnd w:id="11"/>
    <w:p>
      <w:pPr>
        <w:ind w:right="3119" w:firstLine="444"/>
        <w:spacing w:after="0" w:line="259" w:lineRule="auto"/>
        <w:rPr>
          <w:sz w:val="20"/>
          <w:szCs w:val="20"/>
          <w:color w:val="auto"/>
        </w:rPr>
      </w:pPr>
      <w:r>
        <w:rPr>
          <w:rFonts w:ascii="Courier New" w:cs="Courier New" w:eastAsia="Courier New" w:hAnsi="Courier New"/>
          <w:sz w:val="15"/>
          <w:szCs w:val="15"/>
          <w:color w:val="auto"/>
        </w:rPr>
        <w:t>Effective January 1, 1998, the Company adopted Statement of Position 98-1 (SOP 98-1), Accounting for the Costs of Computer Software Developed or Obtained for Internal Use. SOP 98-1 establishes guidance on when costs incurred for internal-use software are capitalized. In accordance with this SOP, in 1998, the Company capitalized approximately $28,000,000, included in construction in progress, related to the acquisition and development of the SAP software package.</w:t>
      </w:r>
    </w:p>
    <w:p>
      <w:pPr>
        <w:spacing w:after="0" w:line="82"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Effective January 1, 1998, the Company adopted Statement of Financial Accounting Standards No. 130 (FAS 130), Reporting Comprehensive Income. FAS 130 establishes standards for the reporting of comprehensive income, and requires that an enterprise classify items of other comprehensive income by their nature in a financial statement, and display the accumulated balance of other comprehensive income in the statement of financial position. Other comprehensive income consists of movements in the Company's cumulative translation adjustment.</w:t>
      </w:r>
    </w:p>
    <w:p>
      <w:pPr>
        <w:spacing w:after="0" w:line="65"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Effective January 1, 1998, the Company adopted Statement of Financial Accounting Standards No. 131 (FAS 131), Disclosures about Segments of an Enterprise and Related Information. FAS 131 establishes standards for the way public business enterprises report information about operating segments in reports to shareholders. The adoption of FAS 131 did not affect results of operations or financial position but did affect the disclosure of segment information. Prior year data has been restated for comparability purposes. More details on segment information are contained in Note 10 of the Notes to the Consolidated Financial Statements.</w:t>
      </w:r>
    </w:p>
    <w:p>
      <w:pPr>
        <w:spacing w:after="0" w:line="8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In 1998, the Company adopted Statement of Financial Accounting Standards No. 132 (FAS 132), Employers' Disclosures about Pensions and Other Postretirement Benefits. FAS 132 standardizes disclosures about pension and other postretirement plans; it does not change the accounting measurement or recognition of such plans. More details on retirement benefits are contained in Note 11 of the Notes to the Consolidated Financial Statements.</w:t>
      </w:r>
    </w:p>
    <w:p>
      <w:pPr>
        <w:spacing w:after="0" w:line="77"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Statement of Financial Accounting Standards No. 133 (FAS 133), Accounting for Derivative Instruments and Hedging Activities, issued in June 1998, is effective for fiscal years beginning after June 15, 1999. FAS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is currently evaluating the Standard, and the accounting and reporting implications thereof.</w:t>
      </w:r>
    </w:p>
    <w:p>
      <w:pPr>
        <w:spacing w:after="0" w:line="80"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Statement of Position 98-5 (SOP 98-5), Reporting on the Costs of Start-Up Activities, issued in April 1998, is effective for fiscal years beginning after December 15, 1998. SOP 98-5 requires that costs of start-up activities, including organization costs, be expensed as incurred. The impact of adopting this Standard is not expected to be material.</w:t>
      </w:r>
    </w:p>
    <w:p>
      <w:pPr>
        <w:spacing w:after="0" w:line="72"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Compliance with existing governmental requirements regulating the discharge of materials into the environment has not materially affected the Company's operations, earnings or competitive position. In 1998, the Company spent approximately $2,700,000 on capital projects and about $10,000,000 in operating expenses and governmental charges for the purpose of complying with such regulations. Expenditures for these purposes will continue for the foreseeable future. In addition, the Company is party to a number of proceedings brought under the Comprehensive Environmental Response, Compensation and Liability Act or similar state statutes. It is expected that the impact of any judgments in or voluntary settlements of such proceedings will not be material to the Company's financial condition, results of operations or liquidity.</w:t>
      </w:r>
    </w:p>
    <w:p>
      <w:pPr>
        <w:spacing w:after="0" w:line="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Financial Condition</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financial condition of the Company remained strong during 1998. Cash, cash equivalents and short-term investments totaled $115,999,000 at December 31, 1998, compared to $260,446,000 and $317,983,000 at December 31, 1997 and 1996, respectively. Short-term investments are high-quality, readily marketable instruments. Working capital totaled $575,120,000 at year-end 1998, compared to $670,598,000 and $725,892,000 at December 31, 1997 and 1996, respectively. Gross additions to property, plant and equipment were $91,690,000, $59,284,000 and $80,782,000 in 1998, 1997 and 1996, respectively, and are expected to approximate $90,000,000 in 1999.</w:t>
      </w:r>
    </w:p>
    <w:p>
      <w:pPr>
        <w:spacing w:after="0" w:line="82"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In September 1996, the Company announced a plan to repurchase an additional 7.5 million shares of its common stock. An existing program to purchase 7.5 million shares, in effect since 1992, was completed in 1997. Repurchases will be made from time to time on the open market or through private transactions as market and business conditions warrant. The repurchased shares will be available for use in connection with the Company's employee benefit plans</w:t>
      </w: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75" w:right="1440" w:bottom="1440" w:gutter="0" w:footer="0" w:header="0"/>
        </w:sectPr>
      </w:pPr>
    </w:p>
    <w:bookmarkStart w:id="12" w:name="page13"/>
    <w:bookmarkEnd w:id="12"/>
    <w:p>
      <w:pPr>
        <w:ind w:right="3219"/>
        <w:spacing w:after="0" w:line="278" w:lineRule="auto"/>
        <w:rPr>
          <w:sz w:val="20"/>
          <w:szCs w:val="20"/>
          <w:color w:val="auto"/>
        </w:rPr>
      </w:pPr>
      <w:r>
        <w:rPr>
          <w:rFonts w:ascii="Courier New" w:cs="Courier New" w:eastAsia="Courier New" w:hAnsi="Courier New"/>
          <w:sz w:val="15"/>
          <w:szCs w:val="15"/>
          <w:color w:val="auto"/>
        </w:rPr>
        <w:t>and for other general corporate purposes. At December 31, 1998, approximately 4.3 million shares of common stock had been repurchased under the 1996 program. Under these plans, the Company purchased $134,448,000, $70,988,000 and $59,763,000 of treasury stock in 1998, 1997 and 1996, respectively.</w:t>
      </w:r>
    </w:p>
    <w:p>
      <w:pPr>
        <w:spacing w:after="0" w:line="66"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The Company has almost no long-term debt and anticipates that its growth and capital expenditure programs, and the above share repurchase plan, will continue to be funded mainly from internal sources.</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1998, the Company paid dividends to shareholders totaling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$159,619,000 while $157,674,000 was paid in 1997, and $150,864,000 in 1996.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1999, the cash dividend was increased to an annual rate of $1.52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from $1.48 in 1998; the annual cash dividend was $1.44 in 1997.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believes these increases in dividends to its shareholders can be made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limiting future growth and expansion.</w:t>
      </w:r>
    </w:p>
    <w:p>
      <w:pPr>
        <w:spacing w:after="0" w:line="14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2000 Issue</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Company has instituted a comprehensive program to address its "Year 2000" needs (the "Y2K Program"). The Y2K Program is currently on schedule to be completed prior to January 1, 2000, and in most cases no later than September 30, 1999.</w:t>
      </w:r>
    </w:p>
    <w:p>
      <w:pPr>
        <w:spacing w:after="0" w:line="66"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Y2K Program has been designed to evaluate and, if necessary, repair or replace those computer programs and embedded computer chips that are significant to the Company and that use only the last two digits to refer to a year ("Y2K Code"), so that such Y2K Code will be "Year 2000 Capable," that is, will recognize dates beginning in the Year 2000. For purposes of the Y2K Program, Y2K Code is that which the Company concludes could, if not made Year 2000 Capable, materially affect the Company's operations and ability to service its customers, or create a safety or environmental risk. In addition to dealing with the Company's Y2K Code, the Y2K Program also is designed to identify and evaluate the Year 2000 readiness of the Company's key suppliers of inventory and non-inventory goods and services, and of the Company's significant customers.</w:t>
      </w:r>
    </w:p>
    <w:p>
      <w:pPr>
        <w:spacing w:after="0" w:line="78" w:lineRule="exact"/>
        <w:rPr>
          <w:sz w:val="20"/>
          <w:szCs w:val="20"/>
          <w:color w:val="auto"/>
        </w:rPr>
      </w:pPr>
    </w:p>
    <w:p>
      <w:pPr>
        <w:ind w:right="3299" w:firstLine="444"/>
        <w:spacing w:after="0" w:line="251" w:lineRule="auto"/>
        <w:rPr>
          <w:sz w:val="20"/>
          <w:szCs w:val="20"/>
          <w:color w:val="auto"/>
        </w:rPr>
      </w:pPr>
      <w:r>
        <w:rPr>
          <w:rFonts w:ascii="Courier New" w:cs="Courier New" w:eastAsia="Courier New" w:hAnsi="Courier New"/>
          <w:sz w:val="15"/>
          <w:szCs w:val="15"/>
          <w:color w:val="auto"/>
        </w:rPr>
        <w:t>The Y2K Program, as it relates to the Company's computer programs and embedded technology, has five phases: (1) assessing computer programs and embedded technology to identify Y2K Code; (2) assigning priorities to the identified Y2K Code; (3) repairing or replacing Y2K Code to make such Y2K Code Year 2000 Capable; (4) testing the repaired or replaced Y2K Code; and (5) developing and implementing, as necessary, contingency plans to address the possibility that the Company or third parties, whose operations or business could affect the Company, do not become Year 2000 Capable. The Company has engaged certain outside consultants with recognized expertise in assessing and dealing with Year 2000 needs, principally Computer Sciences Corporation, to assist in the management of the Y2K Program and in the repair and testing of certain Y2K Code.</w:t>
      </w:r>
    </w:p>
    <w:p>
      <w:pPr>
        <w:spacing w:after="0" w:line="8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Y2K Program focuses on Company Y2K Code in three principal areas: (1) infrastructure; (2) applications software; and (3) facility operations, where the great majority of embedded technology is found. The infrastructure area involves hardware and systems software other than applications software. As hardware and systems software is repaired, upgraded or replaced, they are tested to ensure that they are Year 2000 Capable. The Company expects the infrastructure portion of the Y2K Program to be completed by June 30, 1999.</w:t>
      </w:r>
    </w:p>
    <w:p>
      <w:pPr>
        <w:spacing w:after="0" w:line="8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Significant portions of the Company's application software will be replaced by new software, principally SAP, an ERP software package. At December 31, 1998, the global design for the SAP project was complete, and the first implementation, encompassing the Company's North American operations, is scheduled to take place in May 1999, the scheduled date under the SAP project plans. Applications software Y2K Code not being replaced as part of the SAP project is being repaired, upgraded or replaced (where an upgrade or replacement is available from the supplier of such software) to make such Y2K Code Year 2000 Capable. This portion of the Y2K Program is expected to be completed by September 30, 1999, consistent with the schedule established by the Y2K Program.</w:t>
      </w:r>
    </w:p>
    <w:p>
      <w:pPr>
        <w:spacing w:after="0" w:line="73"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Facility operations include hardware, software and associated embedded computer chips used in the operation of all facilities owned by the Company, including, but not limited to, equipment used in manufacturing and research and development, as well as security and other systems that may have date sensitive operating controls. The Company is currently completing the assessment of these systems and has commenced testing of critical systems to ensure Y2K capability. This portion of the Y2K Program is on schedule, and the Company expects it to be completed in the fourth quarter of 1999.</w:t>
      </w:r>
    </w:p>
    <w:p>
      <w:pPr>
        <w:spacing w:after="0" w:line="80"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The Company has identified its key suppliers of inventory and non-inventory goods and services and has contacted them, in writing and in some cases through face-to-face discussions, to ascertain the extent of their Year</w:t>
      </w:r>
    </w:p>
    <w:p>
      <w:pPr>
        <w:spacing w:after="0" w:line="2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75" w:right="1440" w:bottom="1440" w:gutter="0" w:footer="0" w:header="0"/>
        </w:sectPr>
      </w:pPr>
    </w:p>
    <w:bookmarkStart w:id="13" w:name="page14"/>
    <w:bookmarkEnd w:id="13"/>
    <w:p>
      <w:pPr>
        <w:ind w:right="3119"/>
        <w:spacing w:after="0" w:line="278" w:lineRule="auto"/>
        <w:rPr>
          <w:sz w:val="20"/>
          <w:szCs w:val="20"/>
          <w:color w:val="auto"/>
        </w:rPr>
      </w:pPr>
      <w:r>
        <w:rPr>
          <w:rFonts w:ascii="Courier New" w:cs="Courier New" w:eastAsia="Courier New" w:hAnsi="Courier New"/>
          <w:sz w:val="15"/>
          <w:szCs w:val="15"/>
          <w:color w:val="auto"/>
        </w:rPr>
        <w:t>2000 Capability. Similarly, the Company has also been communicating with significant customers about their and the Company's Year 2000 Capability plans and progress. This portion of the Y2K Program is expected to be completed in the third quarter of 1999.</w:t>
      </w:r>
    </w:p>
    <w:p>
      <w:pPr>
        <w:spacing w:after="0" w:line="66" w:lineRule="exact"/>
        <w:rPr>
          <w:sz w:val="20"/>
          <w:szCs w:val="20"/>
          <w:color w:val="auto"/>
        </w:rPr>
      </w:pPr>
    </w:p>
    <w:p>
      <w:pPr>
        <w:ind w:right="3299" w:firstLine="444"/>
        <w:spacing w:after="0" w:line="275" w:lineRule="auto"/>
        <w:rPr>
          <w:sz w:val="20"/>
          <w:szCs w:val="20"/>
          <w:color w:val="auto"/>
        </w:rPr>
      </w:pPr>
      <w:r>
        <w:rPr>
          <w:rFonts w:ascii="Courier New" w:cs="Courier New" w:eastAsia="Courier New" w:hAnsi="Courier New"/>
          <w:sz w:val="14"/>
          <w:szCs w:val="14"/>
          <w:color w:val="auto"/>
        </w:rPr>
        <w:t>The total cost to the Company of the Y2K Program is estimated to approximate $45 million of which $24 million has been expended at December 31, 1998. Of the Y2K Program costs, approximately $21 million represents capital expenditures associated with replacement hardware, software and associated items. The remaining amount, totaling $24 million, represents the costs of repair, testing and related efforts, and is being expensed as incurred. Of the $24 million spent as at December 31, 1998, approximately $11.5 million related to capital and the balance of $12.5 million was expensed. These amounts do not include the estimated cost of the SAP project.</w:t>
      </w:r>
    </w:p>
    <w:p>
      <w:pPr>
        <w:spacing w:after="0" w:line="7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failure to make Y2K Code Year 2000 Capable could result in an interruption in, or failure of, certain business activities or operations, which could materially and adversely affect the Company's results of operations, liquidity and/or financial condition. The Company currently expects that the Company's Y2K Code will be Year 2000 Capable on or before December 31, 1999. Due to general uncertainty about the overall extent of the Year 2000 problem, however, including, but not limited to, uncertainty about the extent of Year 2000 Capability of the Company's suppliers and customers, the Company is currently unable to determine whether the consequences of the failure of entities other than the Company to be Year 2000 Capable will have a material impact on the Company's results of operations, liquidity or financial condition.</w:t>
      </w:r>
    </w:p>
    <w:p>
      <w:pPr>
        <w:spacing w:after="0" w:line="78"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Subject to the above uncertainties, however, the Company believes that, with the completion of the Y2K Program as scheduled, and with the implementation of SAP, the likelihood of material interruptions of the Company's normal business should be reduced. Notwithstanding the Company's belief, the Company is currently unable to predict, and thus to describe, its most likely worst case Year 2000 scenario. To address the possibility that the Company or its suppliers, customers, or other third parties are not successful in becoming Year 2000 Capable, the Company has commenced to develop contingency plans for the critical aspects of its operations. Such plans will be designed to avoid or mitigate potential serious disruptions in the Company's business and will be refined and modified as the Company monitors and evaluates the progress of its Y2K Program.</w:t>
      </w:r>
    </w:p>
    <w:p>
      <w:pPr>
        <w:spacing w:after="0" w:line="8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Euro Currency Adoption</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As part of the European Economic and Monetary Union, a single currency (the "Euro") will replace the national currencies of most of the European countries in which the Company conducts business. The conversion rates between the Euro and the participating nations' currencies were fixed irrevocably as of January 1, 1999, with the participating national currencies scheduled to be removed from circulation between January 1, and June 30, 2002, and replaced by Euro notes and coinage. During the transition period from January 1, 1999 through December 31, 2001, public and private entities as well as individuals may pay for goods and services using either checks, drafts, or wire transfers denominated in Euros or the participating country's national currency.</w:t>
      </w:r>
    </w:p>
    <w:p>
      <w:pPr>
        <w:spacing w:after="0" w:line="8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Company's systems and processes were "Euro capable" (able to enter into Euro-denominated transactions) on January 1, 1999. The effects of the Euro conversion on the Company's revenues, costs and competitive position, while currently still being assessed, are not expected to be significant. The cost of systems and business process conversion was not material.</w:t>
      </w:r>
    </w:p>
    <w:p>
      <w:pPr>
        <w:spacing w:after="0" w:line="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Other Information</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Company is currently evaluating its selling, administrative, manufacturing and distribution functions with the intention of further streamlining operations and reducing operating expenses. The Company anticipates that decisions based on this evaluation will be made in the first half of 1999. Ensuing actions may result in certain nonrecurring charges during 1999; the extent of such charges is not yet quantifiable.</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Cautionary Statement Under the Private Securities Litigation Reform Act of</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145"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Statements in this Management's Discussion and Analysis which are not historical facts or information are "forward-looking statements" within the meaning of the Private Securities Litigation Reform Act of 1995, and are subject to risks and uncertainties that could cause the Company's actual results to differ materially from those expressed or implied by such forward-looking statements. Risks and uncertainties with respect to the Company's business include general economic and business conditions, the price and availability of raw materials, the ability of</w:t>
      </w:r>
    </w:p>
    <w:p>
      <w:pPr>
        <w:spacing w:after="0" w:line="2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75" w:right="1440" w:bottom="1440" w:gutter="0" w:footer="0" w:header="0"/>
        </w:sectPr>
      </w:pPr>
    </w:p>
    <w:bookmarkStart w:id="14" w:name="page15"/>
    <w:bookmarkEnd w:id="14"/>
    <w:p>
      <w:pPr>
        <w:ind w:right="3980"/>
        <w:spacing w:after="0" w:line="278" w:lineRule="auto"/>
        <w:rPr>
          <w:sz w:val="20"/>
          <w:szCs w:val="20"/>
          <w:color w:val="auto"/>
        </w:rPr>
      </w:pPr>
      <w:r>
        <w:rPr>
          <w:rFonts w:ascii="Courier New" w:cs="Courier New" w:eastAsia="Courier New" w:hAnsi="Courier New"/>
          <w:sz w:val="15"/>
          <w:szCs w:val="15"/>
          <w:color w:val="auto"/>
        </w:rPr>
        <w:t>the Company and third parties, including customers and suppliers, to adequately address the Year 2000 Issue, and political and economic uncertainties, including the fluctuation or devaluation of currencies in countries in which the Company does business.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1" w:lineRule="exact"/>
        <w:rPr>
          <w:sz w:val="20"/>
          <w:szCs w:val="20"/>
          <w:color w:val="auto"/>
        </w:rPr>
      </w:pPr>
    </w:p>
    <w:p>
      <w:pPr>
        <w:ind w:right="4340" w:firstLine="444"/>
        <w:spacing w:after="0" w:line="353" w:lineRule="auto"/>
        <w:rPr>
          <w:sz w:val="20"/>
          <w:szCs w:val="20"/>
          <w:color w:val="auto"/>
        </w:rPr>
      </w:pPr>
      <w:r>
        <w:rPr>
          <w:rFonts w:ascii="Courier New" w:cs="Courier New" w:eastAsia="Courier New" w:hAnsi="Courier New"/>
          <w:sz w:val="15"/>
          <w:szCs w:val="15"/>
          <w:color w:val="auto"/>
        </w:rPr>
        <w:t>See Note 12 of the Notes to the Consolidated Financial Statements for a discussion of the Company's exposure to, and management of, market risk.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780" w:type="dxa"/>
            <w:vAlign w:val="bottom"/>
            <w:gridSpan w:val="5"/>
          </w:tcPr>
          <w:p>
            <w:pPr>
              <w:spacing w:after="0"/>
              <w:rPr>
                <w:sz w:val="20"/>
                <w:szCs w:val="20"/>
                <w:color w:val="auto"/>
              </w:rPr>
            </w:pPr>
            <w:r>
              <w:rPr>
                <w:rFonts w:ascii="Courier New" w:cs="Courier New" w:eastAsia="Courier New" w:hAnsi="Courier New"/>
                <w:sz w:val="15"/>
                <w:szCs w:val="15"/>
                <w:color w:val="auto"/>
              </w:rPr>
              <w:t>ITEM 8. FINANCIAL STATEMENTS AND SUPPLEMENTARY DATA.</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3620" w:type="dxa"/>
            <w:vAlign w:val="bottom"/>
            <w:gridSpan w:val="4"/>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0" w:type="dxa"/>
            <w:vAlign w:val="bottom"/>
            <w:gridSpan w:val="2"/>
          </w:tcPr>
          <w:p>
            <w:pPr>
              <w:jc w:val="right"/>
              <w:ind w:right="666"/>
              <w:spacing w:after="0"/>
              <w:rPr>
                <w:sz w:val="20"/>
                <w:szCs w:val="20"/>
                <w:color w:val="auto"/>
              </w:rPr>
            </w:pPr>
            <w:r>
              <w:rPr>
                <w:rFonts w:ascii="Courier New" w:cs="Courier New" w:eastAsia="Courier New" w:hAnsi="Courier New"/>
                <w:sz w:val="15"/>
                <w:szCs w:val="15"/>
                <w:color w:val="auto"/>
              </w:rPr>
              <w:t>Page No.</w:t>
            </w: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840" w:type="dxa"/>
            <w:vAlign w:val="bottom"/>
            <w:gridSpan w:val="6"/>
            <w:vMerge w:val="restart"/>
          </w:tcPr>
          <w:p>
            <w:pPr>
              <w:spacing w:after="0"/>
              <w:rPr>
                <w:sz w:val="20"/>
                <w:szCs w:val="20"/>
                <w:color w:val="auto"/>
              </w:rPr>
            </w:pPr>
            <w:r>
              <w:rPr>
                <w:rFonts w:ascii="Courier New" w:cs="Courier New" w:eastAsia="Courier New" w:hAnsi="Courier New"/>
                <w:sz w:val="15"/>
                <w:szCs w:val="15"/>
                <w:color w:val="auto"/>
              </w:rPr>
              <w:t>Consolidated Statements of Income and Retained Earnings for</w:t>
            </w:r>
          </w:p>
        </w:tc>
        <w:tc>
          <w:tcPr>
            <w:tcW w:w="200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840" w:type="dxa"/>
            <w:vAlign w:val="bottom"/>
            <w:gridSpan w:val="6"/>
            <w:vMerge w:val="continue"/>
          </w:tcPr>
          <w:p>
            <w:pPr>
              <w:ind w:left="3720"/>
              <w:spacing w:after="0" w:line="93" w:lineRule="exact"/>
              <w:rPr>
                <w:sz w:val="20"/>
                <w:szCs w:val="20"/>
                <w:color w:val="auto"/>
              </w:rPr>
            </w:pPr>
            <w:r>
              <w:rPr>
                <w:rFonts w:ascii="Courier New" w:cs="Courier New" w:eastAsia="Courier New" w:hAnsi="Courier New"/>
                <w:sz w:val="10"/>
                <w:szCs w:val="10"/>
                <w:color w:val="auto"/>
              </w:rPr>
              <w:t>............................</w:t>
            </w:r>
          </w:p>
        </w:tc>
        <w:tc>
          <w:tcPr>
            <w:tcW w:w="1020" w:type="dxa"/>
            <w:vAlign w:val="bottom"/>
            <w:vMerge w:val="restart"/>
          </w:tcPr>
          <w:p>
            <w:pPr>
              <w:jc w:val="center"/>
              <w:ind w:left="686"/>
              <w:spacing w:after="0"/>
              <w:rPr>
                <w:sz w:val="20"/>
                <w:szCs w:val="20"/>
                <w:color w:val="auto"/>
              </w:rPr>
            </w:pPr>
            <w:r>
              <w:rPr>
                <w:rFonts w:ascii="Courier New" w:cs="Courier New" w:eastAsia="Courier New" w:hAnsi="Courier New"/>
                <w:sz w:val="15"/>
                <w:szCs w:val="15"/>
                <w:color w:val="auto"/>
                <w:w w:val="99"/>
              </w:rPr>
              <w:t>14</w:t>
            </w: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62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the three years ended December 31, 1998</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5"/>
          </w:tcPr>
          <w:p>
            <w:pPr>
              <w:spacing w:after="0"/>
              <w:rPr>
                <w:sz w:val="20"/>
                <w:szCs w:val="20"/>
                <w:color w:val="auto"/>
              </w:rPr>
            </w:pPr>
            <w:r>
              <w:rPr>
                <w:rFonts w:ascii="Courier New" w:cs="Courier New" w:eastAsia="Courier New" w:hAnsi="Courier New"/>
                <w:sz w:val="15"/>
                <w:szCs w:val="15"/>
                <w:color w:val="auto"/>
                <w:w w:val="97"/>
              </w:rPr>
              <w:t>Consolidated Balance Sheet--December 31, 1998 and 1997</w:t>
            </w:r>
          </w:p>
        </w:tc>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15</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gridSpan w:val="6"/>
          </w:tcPr>
          <w:p>
            <w:pPr>
              <w:spacing w:after="0" w:line="170" w:lineRule="exact"/>
              <w:rPr>
                <w:sz w:val="20"/>
                <w:szCs w:val="20"/>
                <w:color w:val="auto"/>
              </w:rPr>
            </w:pPr>
            <w:r>
              <w:rPr>
                <w:rFonts w:ascii="Courier New" w:cs="Courier New" w:eastAsia="Courier New" w:hAnsi="Courier New"/>
                <w:sz w:val="12"/>
                <w:szCs w:val="12"/>
                <w:color w:val="auto"/>
                <w:w w:val="80"/>
              </w:rPr>
              <w:t>Consolidated Statement of Cash</w:t>
            </w:r>
            <w:r>
              <w:rPr>
                <w:rFonts w:ascii="Courier New" w:cs="Courier New" w:eastAsia="Courier New" w:hAnsi="Courier New"/>
                <w:sz w:val="20"/>
                <w:szCs w:val="20"/>
                <w:color w:val="auto"/>
                <w:w w:val="80"/>
                <w:vertAlign w:val="subscript"/>
              </w:rPr>
              <w:t>............................................</w:t>
            </w:r>
            <w:r>
              <w:rPr>
                <w:rFonts w:ascii="Courier New" w:cs="Courier New" w:eastAsia="Courier New" w:hAnsi="Courier New"/>
                <w:sz w:val="12"/>
                <w:szCs w:val="12"/>
                <w:color w:val="auto"/>
                <w:w w:val="80"/>
              </w:rPr>
              <w:t>Flowsforthethreeyears</w:t>
            </w:r>
          </w:p>
        </w:tc>
        <w:tc>
          <w:tcPr>
            <w:tcW w:w="1020" w:type="dxa"/>
            <w:vAlign w:val="bottom"/>
            <w:vMerge w:val="restart"/>
          </w:tcPr>
          <w:p>
            <w:pPr>
              <w:jc w:val="center"/>
              <w:ind w:left="686"/>
              <w:spacing w:after="0"/>
              <w:rPr>
                <w:sz w:val="20"/>
                <w:szCs w:val="20"/>
                <w:color w:val="auto"/>
              </w:rPr>
            </w:pPr>
            <w:r>
              <w:rPr>
                <w:rFonts w:ascii="Courier New" w:cs="Courier New" w:eastAsia="Courier New" w:hAnsi="Courier New"/>
                <w:sz w:val="15"/>
                <w:szCs w:val="15"/>
                <w:color w:val="auto"/>
                <w:w w:val="99"/>
              </w:rPr>
              <w:t>16</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ended December 31, 1998</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gridSpan w:val="6"/>
          </w:tcPr>
          <w:p>
            <w:pPr>
              <w:spacing w:after="0"/>
              <w:rPr>
                <w:sz w:val="20"/>
                <w:szCs w:val="20"/>
                <w:color w:val="auto"/>
              </w:rPr>
            </w:pPr>
            <w:r>
              <w:rPr>
                <w:rFonts w:ascii="Courier New" w:cs="Courier New" w:eastAsia="Courier New" w:hAnsi="Courier New"/>
                <w:sz w:val="15"/>
                <w:szCs w:val="15"/>
                <w:color w:val="auto"/>
                <w:w w:val="92"/>
              </w:rPr>
              <w:t>Notes to Consolidated Financial Statements ...........................</w:t>
            </w:r>
          </w:p>
        </w:tc>
        <w:tc>
          <w:tcPr>
            <w:tcW w:w="102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17</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780" w:type="dxa"/>
            <w:vAlign w:val="bottom"/>
            <w:gridSpan w:val="5"/>
          </w:tcPr>
          <w:p>
            <w:pPr>
              <w:spacing w:after="0"/>
              <w:rPr>
                <w:sz w:val="20"/>
                <w:szCs w:val="20"/>
                <w:color w:val="auto"/>
              </w:rPr>
            </w:pPr>
            <w:r>
              <w:rPr>
                <w:rFonts w:ascii="Courier New" w:cs="Courier New" w:eastAsia="Courier New" w:hAnsi="Courier New"/>
                <w:sz w:val="15"/>
                <w:szCs w:val="15"/>
                <w:color w:val="auto"/>
                <w:w w:val="75"/>
              </w:rPr>
              <w:t>Report of Independent Accountants ....................................</w:t>
            </w:r>
          </w:p>
        </w:tc>
        <w:tc>
          <w:tcPr>
            <w:tcW w:w="1060" w:type="dxa"/>
            <w:vAlign w:val="bottom"/>
          </w:tcPr>
          <w:p>
            <w:pPr>
              <w:spacing w:after="0"/>
              <w:rPr>
                <w:sz w:val="21"/>
                <w:szCs w:val="21"/>
                <w:color w:val="auto"/>
              </w:rPr>
            </w:pPr>
          </w:p>
        </w:tc>
        <w:tc>
          <w:tcPr>
            <w:tcW w:w="102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29</w:t>
            </w: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gridSpan w:val="4"/>
          </w:tcPr>
          <w:p>
            <w:pPr>
              <w:spacing w:after="0"/>
              <w:rPr>
                <w:sz w:val="20"/>
                <w:szCs w:val="20"/>
                <w:color w:val="auto"/>
              </w:rPr>
            </w:pPr>
            <w:r>
              <w:rPr>
                <w:rFonts w:ascii="Courier New" w:cs="Courier New" w:eastAsia="Courier New" w:hAnsi="Courier New"/>
                <w:sz w:val="15"/>
                <w:szCs w:val="15"/>
                <w:color w:val="auto"/>
              </w:rPr>
              <w:t>Financial Statement Schedules:</w:t>
            </w: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VIII--</w:t>
            </w:r>
          </w:p>
        </w:tc>
        <w:tc>
          <w:tcPr>
            <w:tcW w:w="5320" w:type="dxa"/>
            <w:vAlign w:val="bottom"/>
            <w:gridSpan w:val="5"/>
          </w:tcPr>
          <w:p>
            <w:pPr>
              <w:spacing w:after="0" w:line="170" w:lineRule="exact"/>
              <w:rPr>
                <w:sz w:val="20"/>
                <w:szCs w:val="20"/>
                <w:color w:val="auto"/>
              </w:rPr>
            </w:pPr>
            <w:r>
              <w:rPr>
                <w:rFonts w:ascii="Courier New" w:cs="Courier New" w:eastAsia="Courier New" w:hAnsi="Courier New"/>
                <w:sz w:val="12"/>
                <w:szCs w:val="12"/>
                <w:color w:val="auto"/>
                <w:w w:val="89"/>
              </w:rPr>
              <w:t>Valuation and Qualifying Accounts and</w:t>
            </w:r>
            <w:r>
              <w:rPr>
                <w:rFonts w:ascii="Courier New" w:cs="Courier New" w:eastAsia="Courier New" w:hAnsi="Courier New"/>
                <w:sz w:val="20"/>
                <w:szCs w:val="20"/>
                <w:color w:val="auto"/>
                <w:w w:val="89"/>
                <w:vertAlign w:val="subscript"/>
              </w:rPr>
              <w:t>............................</w:t>
            </w:r>
            <w:r>
              <w:rPr>
                <w:rFonts w:ascii="Courier New" w:cs="Courier New" w:eastAsia="Courier New" w:hAnsi="Courier New"/>
                <w:sz w:val="12"/>
                <w:szCs w:val="12"/>
                <w:color w:val="auto"/>
                <w:w w:val="89"/>
              </w:rPr>
              <w:t>Reservesforthe</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S-1</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w w:val="97"/>
              </w:rPr>
              <w:t>three years ended December 31, 1998</w:t>
            </w: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60" w:type="dxa"/>
            <w:vAlign w:val="bottom"/>
            <w:gridSpan w:val="7"/>
          </w:tcPr>
          <w:p>
            <w:pPr>
              <w:jc w:val="right"/>
              <w:ind w:right="146"/>
              <w:spacing w:after="0"/>
              <w:rPr>
                <w:sz w:val="20"/>
                <w:szCs w:val="20"/>
                <w:color w:val="auto"/>
              </w:rPr>
            </w:pPr>
            <w:r>
              <w:rPr>
                <w:rFonts w:ascii="Courier New" w:cs="Courier New" w:eastAsia="Courier New" w:hAnsi="Courier New"/>
                <w:sz w:val="15"/>
                <w:szCs w:val="15"/>
                <w:color w:val="auto"/>
              </w:rPr>
              <w:t>All other schedules are omitted because they are not applicable or the</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860" w:type="dxa"/>
            <w:vAlign w:val="bottom"/>
            <w:gridSpan w:val="7"/>
          </w:tcPr>
          <w:p>
            <w:pPr>
              <w:spacing w:after="0"/>
              <w:rPr>
                <w:sz w:val="20"/>
                <w:szCs w:val="20"/>
                <w:color w:val="auto"/>
              </w:rPr>
            </w:pPr>
            <w:r>
              <w:rPr>
                <w:rFonts w:ascii="Courier New" w:cs="Courier New" w:eastAsia="Courier New" w:hAnsi="Courier New"/>
                <w:sz w:val="15"/>
                <w:szCs w:val="15"/>
                <w:color w:val="auto"/>
              </w:rPr>
              <w:t>required information is shown in the financial statements or notes thereto.</w:t>
            </w: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60" w:type="dxa"/>
            <w:vAlign w:val="bottom"/>
            <w:gridSpan w:val="4"/>
          </w:tcPr>
          <w:p>
            <w:pPr>
              <w:jc w:val="right"/>
              <w:ind w:right="146"/>
              <w:spacing w:after="0"/>
              <w:rPr>
                <w:sz w:val="20"/>
                <w:szCs w:val="20"/>
                <w:color w:val="auto"/>
              </w:rPr>
            </w:pPr>
            <w:r>
              <w:rPr>
                <w:rFonts w:ascii="Courier New" w:cs="Courier New" w:eastAsia="Courier New" w:hAnsi="Courier New"/>
                <w:sz w:val="15"/>
                <w:szCs w:val="15"/>
                <w:color w:val="auto"/>
              </w:rPr>
              <w:t>QUARTERLY FINANCIAL DATA (Unaudited)</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Net Income Per Share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2"/>
            <w:vMerge w:val="restart"/>
          </w:tcPr>
          <w:p>
            <w:pPr>
              <w:jc w:val="right"/>
              <w:ind w:right="706"/>
              <w:spacing w:after="0"/>
              <w:rPr>
                <w:sz w:val="20"/>
                <w:szCs w:val="20"/>
                <w:color w:val="auto"/>
              </w:rPr>
            </w:pPr>
            <w:r>
              <w:rPr>
                <w:rFonts w:ascii="Courier New" w:cs="Courier New" w:eastAsia="Courier New" w:hAnsi="Courier New"/>
                <w:sz w:val="15"/>
                <w:szCs w:val="15"/>
                <w:color w:val="auto"/>
              </w:rPr>
              <w:t>Net Sales</w:t>
            </w:r>
          </w:p>
        </w:tc>
        <w:tc>
          <w:tcPr>
            <w:tcW w:w="222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Gross Profit</w:t>
            </w:r>
          </w:p>
        </w:tc>
        <w:tc>
          <w:tcPr>
            <w:tcW w:w="2000" w:type="dxa"/>
            <w:vAlign w:val="bottom"/>
            <w:gridSpan w:val="2"/>
            <w:vMerge w:val="restart"/>
          </w:tcPr>
          <w:p>
            <w:pPr>
              <w:jc w:val="right"/>
              <w:ind w:right="666"/>
              <w:spacing w:after="0"/>
              <w:rPr>
                <w:sz w:val="20"/>
                <w:szCs w:val="20"/>
                <w:color w:val="auto"/>
              </w:rPr>
            </w:pPr>
            <w:r>
              <w:rPr>
                <w:rFonts w:ascii="Courier New" w:cs="Courier New" w:eastAsia="Courier New" w:hAnsi="Courier New"/>
                <w:sz w:val="15"/>
                <w:szCs w:val="15"/>
                <w:color w:val="auto"/>
              </w:rPr>
              <w:t>Net Income</w:t>
            </w:r>
          </w:p>
        </w:tc>
        <w:tc>
          <w:tcPr>
            <w:tcW w:w="32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spacing w:after="0"/>
              <w:rPr>
                <w:sz w:val="14"/>
                <w:szCs w:val="14"/>
                <w:color w:val="auto"/>
              </w:rPr>
            </w:pPr>
          </w:p>
        </w:tc>
        <w:tc>
          <w:tcPr>
            <w:tcW w:w="15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Diluted</w:t>
            </w:r>
          </w:p>
        </w:tc>
        <w:tc>
          <w:tcPr>
            <w:tcW w:w="0" w:type="dxa"/>
            <w:vAlign w:val="bottom"/>
          </w:tcPr>
          <w:p>
            <w:pPr>
              <w:spacing w:after="0"/>
              <w:rPr>
                <w:sz w:val="1"/>
                <w:szCs w:val="1"/>
                <w:color w:val="auto"/>
              </w:rPr>
            </w:pPr>
          </w:p>
        </w:tc>
      </w:tr>
      <w:tr>
        <w:trPr>
          <w:trHeight w:val="171"/>
        </w:trPr>
        <w:tc>
          <w:tcPr>
            <w:tcW w:w="1320" w:type="dxa"/>
            <w:vAlign w:val="bottom"/>
            <w:gridSpan w:val="2"/>
            <w:vMerge w:val="restart"/>
          </w:tcPr>
          <w:p>
            <w:pPr>
              <w:spacing w:after="0"/>
              <w:rPr>
                <w:sz w:val="20"/>
                <w:szCs w:val="20"/>
                <w:color w:val="auto"/>
              </w:rPr>
            </w:pPr>
            <w:r>
              <w:rPr>
                <w:rFonts w:ascii="Courier New" w:cs="Courier New" w:eastAsia="Courier New" w:hAnsi="Courier New"/>
                <w:sz w:val="29"/>
                <w:szCs w:val="29"/>
                <w:color w:val="auto"/>
                <w:w w:val="55"/>
                <w:vertAlign w:val="subscript"/>
              </w:rPr>
              <w:t>Quarter</w:t>
            </w:r>
            <w:r>
              <w:rPr>
                <w:rFonts w:ascii="Courier New" w:cs="Courier New" w:eastAsia="Courier New" w:hAnsi="Courier New"/>
                <w:sz w:val="1"/>
                <w:szCs w:val="1"/>
                <w:color w:val="auto"/>
                <w:w w:val="55"/>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3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1997</w:t>
            </w:r>
          </w:p>
        </w:tc>
        <w:tc>
          <w:tcPr>
            <w:tcW w:w="2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3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1997</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(DOllars in thousands except per share amounts)</w:t>
            </w: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52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373,411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382,813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$175,204</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$175,520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$ 62,626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$ 63,244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$0.58</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$0.58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$0.58</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Second</w:t>
            </w:r>
          </w:p>
        </w:tc>
        <w:tc>
          <w:tcPr>
            <w:tcW w:w="8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365,253</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381,470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169,983</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177,415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55,907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63,309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0.52</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0.52</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0.57</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800" w:type="dxa"/>
            <w:vAlign w:val="bottom"/>
          </w:tcPr>
          <w:p>
            <w:pPr>
              <w:jc w:val="right"/>
              <w:ind w:right="288"/>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349,846</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356,242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156,670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164,264</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50,249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56,715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0.47</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0.52</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0.52</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Fourth</w:t>
            </w:r>
          </w:p>
        </w:tc>
        <w:tc>
          <w:tcPr>
            <w:tcW w:w="8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318,839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306,266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142,010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136,447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35,003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34,961</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0.33</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0.32</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29"/>
                <w:szCs w:val="29"/>
                <w:color w:val="auto"/>
                <w:w w:val="76"/>
                <w:vertAlign w:val="subscript"/>
              </w:rPr>
              <w:t>$</w:t>
            </w:r>
            <w:r>
              <w:rPr>
                <w:rFonts w:ascii="Courier New" w:cs="Courier New" w:eastAsia="Courier New" w:hAnsi="Courier New"/>
                <w:sz w:val="15"/>
                <w:szCs w:val="15"/>
                <w:color w:val="auto"/>
                <w:w w:val="76"/>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6"/>
              </w:rPr>
              <w:t>1,407,349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$1,426,791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$643,867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$653,646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$203,785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$218,229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$1.90</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$2.00</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w:t>
      </w:r>
    </w:p>
    <w:p>
      <w:pPr>
        <w:spacing w:after="0" w:line="2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FINANCIAL DISCLOSURE.</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080"/>
          </w:cols>
          <w:pgMar w:left="240" w:top="775" w:right="5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9"/>
        </w:trPr>
        <w:tc>
          <w:tcPr>
            <w:tcW w:w="766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CONSOLIDATED STATEMENTS OF INCOME AND RETAINED EARNINGS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5040" w:type="dxa"/>
            <w:vAlign w:val="bottom"/>
          </w:tcPr>
          <w:p>
            <w:pPr>
              <w:spacing w:after="0"/>
              <w:rPr>
                <w:sz w:val="24"/>
                <w:szCs w:val="24"/>
                <w:color w:val="auto"/>
              </w:rPr>
            </w:pPr>
          </w:p>
        </w:tc>
        <w:tc>
          <w:tcPr>
            <w:tcW w:w="3740" w:type="dxa"/>
            <w:vAlign w:val="bottom"/>
            <w:gridSpan w:val="4"/>
          </w:tcPr>
          <w:p>
            <w:pPr>
              <w:ind w:left="900"/>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7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tcPr>
          <w:p>
            <w:pPr>
              <w:jc w:val="right"/>
              <w:ind w:right="689"/>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Courier New" w:cs="Courier New" w:eastAsia="Courier New" w:hAnsi="Courier New"/>
                <w:sz w:val="15"/>
                <w:szCs w:val="15"/>
                <w:color w:val="auto"/>
              </w:rPr>
              <w:t>except</w:t>
            </w:r>
          </w:p>
        </w:tc>
        <w:tc>
          <w:tcPr>
            <w:tcW w:w="22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9"/>
              </w:rPr>
              <w:t>per share amounts)</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5"/>
                <w:szCs w:val="15"/>
                <w:color w:val="auto"/>
              </w:rPr>
              <w:t>$1,407,349</w:t>
            </w:r>
          </w:p>
        </w:tc>
        <w:tc>
          <w:tcPr>
            <w:tcW w:w="11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9"/>
              </w:rPr>
              <w:t>$1,426,791</w:t>
            </w:r>
          </w:p>
        </w:tc>
        <w:tc>
          <w:tcPr>
            <w:tcW w:w="112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$1,436,053</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Net sales ............................................</w:t>
            </w:r>
          </w:p>
        </w:tc>
        <w:tc>
          <w:tcPr>
            <w:tcW w:w="1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w w:val="99"/>
              </w:rPr>
              <w:t>Cost of goods sold ...................................</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763,482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773,145</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778,816</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Research and development expenses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98,438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94,411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93,545</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Selling and administrative expenses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238,675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227,066</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223,547</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Nonrecurring charge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49,707</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Interest expense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2,042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2,740</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Other (income) expense, net ..........................</w:t>
            </w:r>
          </w:p>
        </w:tc>
        <w:tc>
          <w:tcPr>
            <w:tcW w:w="1480" w:type="dxa"/>
            <w:vAlign w:val="bottom"/>
          </w:tcPr>
          <w:p>
            <w:pPr>
              <w:jc w:val="right"/>
              <w:ind w:right="249"/>
              <w:spacing w:after="0"/>
              <w:rPr>
                <w:sz w:val="20"/>
                <w:szCs w:val="20"/>
                <w:color w:val="auto"/>
              </w:rPr>
            </w:pPr>
            <w:r>
              <w:rPr>
                <w:rFonts w:ascii="Courier New" w:cs="Courier New" w:eastAsia="Courier New" w:hAnsi="Courier New"/>
                <w:sz w:val="15"/>
                <w:szCs w:val="15"/>
                <w:color w:val="auto"/>
              </w:rPr>
              <w:t>(6,356)</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(10,442)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(11,405)</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1,096,281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1,086,600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1,136,950</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w w:val="99"/>
              </w:rPr>
              <w:t>Income before taxes on income ........................</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311,068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340,191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299,103</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Taxes on income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107,283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121,962</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109,209</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NET INCOME ..........................................</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203,785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0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218,229</w:t>
            </w:r>
          </w:p>
        </w:tc>
        <w:tc>
          <w:tcPr>
            <w:tcW w:w="220" w:type="dxa"/>
            <w:vAlign w:val="bottom"/>
          </w:tcPr>
          <w:p>
            <w:pPr>
              <w:spacing w:after="0"/>
              <w:rPr>
                <w:sz w:val="22"/>
                <w:szCs w:val="22"/>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189,894</w:t>
            </w:r>
          </w:p>
        </w:tc>
        <w:tc>
          <w:tcPr>
            <w:tcW w:w="0" w:type="dxa"/>
            <w:vAlign w:val="bottom"/>
          </w:tcPr>
          <w:p>
            <w:pPr>
              <w:spacing w:after="0"/>
              <w:rPr>
                <w:sz w:val="1"/>
                <w:szCs w:val="1"/>
                <w:color w:val="auto"/>
              </w:rPr>
            </w:pPr>
          </w:p>
        </w:tc>
      </w:tr>
      <w:tr>
        <w:trPr>
          <w:trHeight w:val="249"/>
        </w:trPr>
        <w:tc>
          <w:tcPr>
            <w:tcW w:w="5040" w:type="dxa"/>
            <w:vAlign w:val="bottom"/>
          </w:tcPr>
          <w:p>
            <w:pPr>
              <w:jc w:val="right"/>
              <w:ind w:right="2406"/>
              <w:spacing w:after="0"/>
              <w:rPr>
                <w:sz w:val="20"/>
                <w:szCs w:val="20"/>
                <w:color w:val="auto"/>
              </w:rPr>
            </w:pPr>
            <w:r>
              <w:rPr>
                <w:rFonts w:ascii="Courier New" w:cs="Courier New" w:eastAsia="Courier New" w:hAnsi="Courier New"/>
                <w:sz w:val="15"/>
                <w:szCs w:val="15"/>
                <w:color w:val="auto"/>
              </w:rPr>
              <w:t>Other comprehensive income:</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5"/>
                <w:szCs w:val="15"/>
                <w:color w:val="auto"/>
              </w:rPr>
              <w:t>27,721</w:t>
            </w:r>
          </w:p>
        </w:tc>
        <w:tc>
          <w:tcPr>
            <w:tcW w:w="11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(84,406)</w:t>
            </w:r>
          </w:p>
        </w:tc>
        <w:tc>
          <w:tcPr>
            <w:tcW w:w="22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(27,494)</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Foreign currency translation adjustments ...........</w:t>
            </w:r>
          </w:p>
        </w:tc>
        <w:tc>
          <w:tcPr>
            <w:tcW w:w="1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COMPREHENSIVE INCOME ................................</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22"/>
                <w:szCs w:val="22"/>
                <w:color w:val="auto"/>
                <w:w w:val="74"/>
                <w:vertAlign w:val="subscript"/>
              </w:rPr>
              <w:t>$</w:t>
            </w: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231,506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  133,823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162,400</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NET INCOME PER SHARE--BASIC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$1.90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NET INCOME PER SHARE--DILUTED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$1.90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CONSOLIDATED STATEMENT OF RETAINED EARNINGS</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5"/>
                <w:szCs w:val="15"/>
                <w:color w:val="auto"/>
              </w:rPr>
              <w:t>$1,166,348</w:t>
            </w:r>
          </w:p>
        </w:tc>
        <w:tc>
          <w:tcPr>
            <w:tcW w:w="11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9"/>
              </w:rPr>
              <w:t>$1,106,572</w:t>
            </w:r>
          </w:p>
        </w:tc>
        <w:tc>
          <w:tcPr>
            <w:tcW w:w="112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$1,069,421</w:t>
            </w: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At beginning of year .................................</w:t>
            </w:r>
          </w:p>
        </w:tc>
        <w:tc>
          <w:tcPr>
            <w:tcW w:w="1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9"/>
              </w:rPr>
              <w:t>Net income ...........................................</w:t>
            </w: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203,785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218,229</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189,894</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1,370,133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w w:val="99"/>
              </w:rPr>
              <w:t>Cash dividends declared ..............................</w:t>
            </w: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1,324,801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1,259,315</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159,513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158,453</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152,743</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w w:val="99"/>
              </w:rPr>
              <w:t>At end of year .......................................</w:t>
            </w:r>
          </w:p>
        </w:tc>
        <w:tc>
          <w:tcPr>
            <w:tcW w:w="1480" w:type="dxa"/>
            <w:vAlign w:val="bottom"/>
            <w:vMerge w:val="restart"/>
          </w:tcPr>
          <w:p>
            <w:pPr>
              <w:jc w:val="right"/>
              <w:ind w:right="329"/>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perscript"/>
              </w:rPr>
              <w:t>----------</w:t>
            </w:r>
            <w:r>
              <w:rPr>
                <w:rFonts w:ascii="Courier New" w:cs="Courier New" w:eastAsia="Courier New" w:hAnsi="Courier New"/>
                <w:sz w:val="11"/>
                <w:szCs w:val="11"/>
                <w:color w:val="auto"/>
                <w:w w:val="74"/>
              </w:rPr>
              <w:t>1,210,620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$1,166,348</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$1,106,572</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14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46"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9"/>
        </w:trPr>
        <w:tc>
          <w:tcPr>
            <w:tcW w:w="2300" w:type="dxa"/>
            <w:vAlign w:val="bottom"/>
          </w:tcPr>
          <w:p>
            <w:pPr>
              <w:spacing w:after="0"/>
              <w:rPr>
                <w:sz w:val="21"/>
                <w:szCs w:val="21"/>
                <w:color w:val="auto"/>
              </w:rPr>
            </w:pPr>
          </w:p>
        </w:tc>
        <w:tc>
          <w:tcPr>
            <w:tcW w:w="2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 BALANCE SHEET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300" w:type="dxa"/>
            <w:vAlign w:val="bottom"/>
          </w:tcPr>
          <w:p>
            <w:pPr>
              <w:spacing w:after="0"/>
              <w:rPr>
                <w:sz w:val="24"/>
                <w:szCs w:val="24"/>
                <w:color w:val="auto"/>
              </w:rPr>
            </w:pPr>
          </w:p>
        </w:tc>
        <w:tc>
          <w:tcPr>
            <w:tcW w:w="24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gridSpan w:val="3"/>
          </w:tcPr>
          <w:p>
            <w:pPr>
              <w:jc w:val="right"/>
              <w:ind w:right="566"/>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30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(Dollars in thousands)</w:t>
            </w:r>
          </w:p>
        </w:tc>
        <w:tc>
          <w:tcPr>
            <w:tcW w:w="0" w:type="dxa"/>
            <w:vAlign w:val="bottom"/>
          </w:tcPr>
          <w:p>
            <w:pPr>
              <w:spacing w:after="0"/>
              <w:rPr>
                <w:sz w:val="1"/>
                <w:szCs w:val="1"/>
                <w:color w:val="auto"/>
              </w:rPr>
            </w:pPr>
          </w:p>
        </w:tc>
      </w:tr>
      <w:tr>
        <w:trPr>
          <w:trHeight w:val="92"/>
        </w:trPr>
        <w:tc>
          <w:tcPr>
            <w:tcW w:w="230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114,960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216,994</w:t>
            </w:r>
          </w:p>
        </w:tc>
        <w:tc>
          <w:tcPr>
            <w:tcW w:w="0" w:type="dxa"/>
            <w:vAlign w:val="bottom"/>
          </w:tcPr>
          <w:p>
            <w:pPr>
              <w:spacing w:after="0"/>
              <w:rPr>
                <w:sz w:val="1"/>
                <w:szCs w:val="1"/>
                <w:color w:val="auto"/>
              </w:rPr>
            </w:pPr>
          </w:p>
        </w:tc>
      </w:tr>
      <w:tr>
        <w:trPr>
          <w:trHeight w:val="171"/>
        </w:trPr>
        <w:tc>
          <w:tcPr>
            <w:tcW w:w="47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Cash and cash equivalents ........................</w:t>
            </w: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24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1,039</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43,452</w:t>
            </w:r>
          </w:p>
        </w:tc>
        <w:tc>
          <w:tcPr>
            <w:tcW w:w="0" w:type="dxa"/>
            <w:vAlign w:val="bottom"/>
          </w:tcPr>
          <w:p>
            <w:pPr>
              <w:spacing w:after="0"/>
              <w:rPr>
                <w:sz w:val="1"/>
                <w:szCs w:val="1"/>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Receivables:</w:t>
            </w: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264,352</w:t>
            </w:r>
          </w:p>
        </w:tc>
        <w:tc>
          <w:tcPr>
            <w:tcW w:w="220" w:type="dxa"/>
            <w:vAlign w:val="bottom"/>
          </w:tcPr>
          <w:p>
            <w:pPr>
              <w:spacing w:after="0"/>
              <w:rPr>
                <w:sz w:val="14"/>
                <w:szCs w:val="14"/>
                <w:color w:val="auto"/>
              </w:rPr>
            </w:pP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242,791</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Trade ..........................................</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Allowance for doubtful accounts ................</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(9,517)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(8,101)</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28,645</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33,844</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Inventories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403,961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360,074</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and deferred charges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44,588</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46,405</w:t>
            </w:r>
          </w:p>
        </w:tc>
        <w:tc>
          <w:tcPr>
            <w:tcW w:w="0" w:type="dxa"/>
            <w:vAlign w:val="bottom"/>
          </w:tcPr>
          <w:p>
            <w:pPr>
              <w:spacing w:after="0"/>
              <w:rPr>
                <w:sz w:val="1"/>
                <w:szCs w:val="1"/>
                <w:color w:val="auto"/>
              </w:rPr>
            </w:pPr>
          </w:p>
        </w:tc>
      </w:tr>
      <w:tr>
        <w:trPr>
          <w:trHeight w:val="171"/>
        </w:trPr>
        <w:tc>
          <w:tcPr>
            <w:tcW w:w="23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24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848,028</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935,459</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498,784</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446,509</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OTHER ASSETS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41,252</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40,293</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jc w:val="right"/>
              <w:ind w:right="6"/>
              <w:spacing w:after="0"/>
              <w:rPr>
                <w:sz w:val="20"/>
                <w:szCs w:val="20"/>
                <w:color w:val="auto"/>
              </w:rPr>
            </w:pPr>
            <w:r>
              <w:rPr>
                <w:rFonts w:ascii="Courier New" w:cs="Courier New" w:eastAsia="Courier New" w:hAnsi="Courier New"/>
                <w:sz w:val="15"/>
                <w:szCs w:val="15"/>
                <w:color w:val="auto"/>
                <w:w w:val="98"/>
              </w:rPr>
              <w:t>TOTAL ASSETS ........................................</w:t>
            </w:r>
          </w:p>
        </w:tc>
        <w:tc>
          <w:tcPr>
            <w:tcW w:w="1200" w:type="dxa"/>
            <w:vAlign w:val="bottom"/>
            <w:gridSpan w:val="2"/>
            <w:vMerge w:val="restart"/>
          </w:tcPr>
          <w:p>
            <w:pPr>
              <w:jc w:val="right"/>
              <w:ind w:right="146"/>
              <w:spacing w:after="0"/>
              <w:rPr>
                <w:sz w:val="20"/>
                <w:szCs w:val="20"/>
                <w:color w:val="auto"/>
              </w:rPr>
            </w:pPr>
            <w:r>
              <w:rPr>
                <w:rFonts w:ascii="Courier New" w:cs="Courier New" w:eastAsia="Courier New" w:hAnsi="Courier New"/>
                <w:sz w:val="17"/>
                <w:szCs w:val="17"/>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bscript"/>
              </w:rPr>
              <w:t>1,388,064</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$1,422,261</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5980" w:type="dxa"/>
            <w:vAlign w:val="bottom"/>
            <w:gridSpan w:val="4"/>
          </w:tcPr>
          <w:p>
            <w:pPr>
              <w:jc w:val="right"/>
              <w:ind w:right="766"/>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8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29,072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10,490</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Bank loans .......................................</w:t>
            </w: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60,331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57,832</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payrolls and bonuses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16,507</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19,410</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Dividends payable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40,301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40,407</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Income taxes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46,647</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56,070</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current liabilities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80,050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80,652</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272,908</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264,861</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4,341</w:t>
            </w:r>
          </w:p>
        </w:tc>
        <w:tc>
          <w:tcPr>
            <w:tcW w:w="220" w:type="dxa"/>
            <w:vAlign w:val="bottom"/>
          </w:tcPr>
          <w:p>
            <w:pPr>
              <w:spacing w:after="0"/>
              <w:rPr>
                <w:sz w:val="22"/>
                <w:szCs w:val="22"/>
                <w:color w:val="auto"/>
              </w:rPr>
            </w:pP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5,114</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Long-term debt .....................................</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Deferred income taxes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30,730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23,139</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Retirement and other liabilities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135,034</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128,659</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Total Other Liabilities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170,105</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156,912</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12 1/2 (cent)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authorized 500,000,000 shares;</w:t>
            </w:r>
          </w:p>
        </w:tc>
        <w:tc>
          <w:tcPr>
            <w:tcW w:w="180" w:type="dxa"/>
            <w:vAlign w:val="bottom"/>
          </w:tcPr>
          <w:p>
            <w:pPr>
              <w:spacing w:after="0"/>
              <w:rPr>
                <w:sz w:val="14"/>
                <w:szCs w:val="14"/>
                <w:color w:val="auto"/>
              </w:rPr>
            </w:pP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14,470</w:t>
            </w:r>
          </w:p>
        </w:tc>
        <w:tc>
          <w:tcPr>
            <w:tcW w:w="220" w:type="dxa"/>
            <w:vAlign w:val="bottom"/>
          </w:tcPr>
          <w:p>
            <w:pPr>
              <w:spacing w:after="0"/>
              <w:rPr>
                <w:sz w:val="14"/>
                <w:szCs w:val="14"/>
                <w:color w:val="auto"/>
              </w:rPr>
            </w:pP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14,470</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issued 115,761,840 shares ........................</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Capital in excess of par value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136,443</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137,418</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Restricted stock ...................................</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Retained earnings ..................................</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1,210,620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1,166,348</w:t>
            </w:r>
          </w:p>
        </w:tc>
        <w:tc>
          <w:tcPr>
            <w:tcW w:w="0" w:type="dxa"/>
            <w:vAlign w:val="bottom"/>
          </w:tcPr>
          <w:p>
            <w:pPr>
              <w:spacing w:after="0"/>
              <w:rPr>
                <w:sz w:val="1"/>
                <w:szCs w:val="1"/>
                <w:color w:val="auto"/>
              </w:rPr>
            </w:pPr>
          </w:p>
        </w:tc>
      </w:tr>
      <w:tr>
        <w:trPr>
          <w:trHeight w:val="171"/>
        </w:trPr>
        <w:tc>
          <w:tcPr>
            <w:tcW w:w="4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0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(9,130)</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(36,851)</w:t>
            </w:r>
          </w:p>
        </w:tc>
        <w:tc>
          <w:tcPr>
            <w:tcW w:w="0" w:type="dxa"/>
            <w:vAlign w:val="bottom"/>
          </w:tcPr>
          <w:p>
            <w:pPr>
              <w:spacing w:after="0"/>
              <w:rPr>
                <w:sz w:val="1"/>
                <w:szCs w:val="1"/>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adjustment ..............</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6"/>
              </w:rPr>
              <w:t>1,345,653</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1,272,385</w:t>
            </w:r>
          </w:p>
        </w:tc>
        <w:tc>
          <w:tcPr>
            <w:tcW w:w="0" w:type="dxa"/>
            <w:vAlign w:val="bottom"/>
          </w:tcPr>
          <w:p>
            <w:pPr>
              <w:spacing w:after="0"/>
              <w:rPr>
                <w:sz w:val="1"/>
                <w:szCs w:val="1"/>
                <w:color w:val="auto"/>
              </w:rPr>
            </w:pPr>
          </w:p>
        </w:tc>
      </w:tr>
      <w:tr>
        <w:trPr>
          <w:trHeight w:val="263"/>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w w:val="97"/>
              </w:rPr>
              <w:t>Treasury stock, at cost--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9,715,775 shares in 1998</w:t>
            </w:r>
          </w:p>
        </w:tc>
        <w:tc>
          <w:tcPr>
            <w:tcW w:w="180" w:type="dxa"/>
            <w:vAlign w:val="bottom"/>
          </w:tcPr>
          <w:p>
            <w:pPr>
              <w:spacing w:after="0"/>
              <w:rPr>
                <w:sz w:val="22"/>
                <w:szCs w:val="22"/>
                <w:color w:val="auto"/>
              </w:rPr>
            </w:pPr>
          </w:p>
        </w:tc>
        <w:tc>
          <w:tcPr>
            <w:tcW w:w="10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(400,602)</w:t>
            </w:r>
          </w:p>
        </w:tc>
        <w:tc>
          <w:tcPr>
            <w:tcW w:w="22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(271,897)</w:t>
            </w:r>
          </w:p>
        </w:tc>
        <w:tc>
          <w:tcPr>
            <w:tcW w:w="0" w:type="dxa"/>
            <w:vAlign w:val="bottom"/>
          </w:tcPr>
          <w:p>
            <w:pPr>
              <w:spacing w:after="0"/>
              <w:rPr>
                <w:sz w:val="1"/>
                <w:szCs w:val="1"/>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and 6,630,911 shares in 1997 .....................</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945,051</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1,000,488</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00" w:type="dxa"/>
            <w:vAlign w:val="bottom"/>
            <w:gridSpan w:val="2"/>
            <w:vMerge w:val="restart"/>
          </w:tcPr>
          <w:p>
            <w:pPr>
              <w:jc w:val="right"/>
              <w:ind w:right="146"/>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perscript"/>
              </w:rPr>
              <w:t>----------</w:t>
            </w:r>
            <w:r>
              <w:rPr>
                <w:rFonts w:ascii="Courier New" w:cs="Courier New" w:eastAsia="Courier New" w:hAnsi="Courier New"/>
                <w:sz w:val="11"/>
                <w:szCs w:val="11"/>
                <w:color w:val="auto"/>
                <w:w w:val="71"/>
              </w:rPr>
              <w:t>1,388,064</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vMerge w:val="continue"/>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$1,422,261</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75"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9"/>
        </w:trPr>
        <w:tc>
          <w:tcPr>
            <w:tcW w:w="6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 STATEMENT OF CASH FLOWS</w:t>
            </w:r>
          </w:p>
        </w:tc>
        <w:tc>
          <w:tcPr>
            <w:tcW w:w="9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36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9"/>
        </w:trPr>
        <w:tc>
          <w:tcPr>
            <w:tcW w:w="6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433"/>
        </w:trPr>
        <w:tc>
          <w:tcPr>
            <w:tcW w:w="6160" w:type="dxa"/>
            <w:vAlign w:val="bottom"/>
          </w:tcPr>
          <w:p>
            <w:pPr>
              <w:jc w:val="right"/>
              <w:ind w:right="280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203,785</w:t>
            </w:r>
          </w:p>
        </w:tc>
        <w:tc>
          <w:tcPr>
            <w:tcW w:w="1520" w:type="dxa"/>
            <w:vAlign w:val="bottom"/>
            <w:vMerge w:val="restart"/>
          </w:tcPr>
          <w:p>
            <w:pPr>
              <w:jc w:val="right"/>
              <w:ind w:right="466"/>
              <w:spacing w:after="0"/>
              <w:rPr>
                <w:sz w:val="20"/>
                <w:szCs w:val="20"/>
                <w:color w:val="auto"/>
              </w:rPr>
            </w:pPr>
            <w:r>
              <w:rPr>
                <w:rFonts w:ascii="Courier New" w:cs="Courier New" w:eastAsia="Courier New" w:hAnsi="Courier New"/>
                <w:sz w:val="15"/>
                <w:szCs w:val="15"/>
                <w:color w:val="auto"/>
              </w:rPr>
              <w:t>$ 218,229</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6"/>
              </w:rPr>
              <w:t>$ 189,894</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income .....................................................</w:t>
            </w: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to net cash provided by operations:</w:t>
            </w:r>
          </w:p>
        </w:tc>
        <w:tc>
          <w:tcPr>
            <w:tcW w:w="300" w:type="dxa"/>
            <w:vAlign w:val="bottom"/>
          </w:tcPr>
          <w:p>
            <w:pPr>
              <w:spacing w:after="0"/>
              <w:rPr>
                <w:sz w:val="14"/>
                <w:szCs w:val="14"/>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49,707</w:t>
            </w:r>
          </w:p>
        </w:tc>
        <w:tc>
          <w:tcPr>
            <w:tcW w:w="0" w:type="dxa"/>
            <w:vAlign w:val="bottom"/>
          </w:tcPr>
          <w:p>
            <w:pPr>
              <w:spacing w:after="0"/>
              <w:rPr>
                <w:sz w:val="1"/>
                <w:szCs w:val="1"/>
                <w:color w:val="auto"/>
              </w:rPr>
            </w:pPr>
          </w:p>
        </w:tc>
      </w:tr>
      <w:tr>
        <w:trPr>
          <w:trHeight w:val="171"/>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Nonrecurring charge</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Depreciation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49,006</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50,278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47,764</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Deferred income taxes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15,877</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8,201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(2,271)</w:t>
            </w:r>
          </w:p>
        </w:tc>
        <w:tc>
          <w:tcPr>
            <w:tcW w:w="0" w:type="dxa"/>
            <w:vAlign w:val="bottom"/>
          </w:tcPr>
          <w:p>
            <w:pPr>
              <w:spacing w:after="0"/>
              <w:rPr>
                <w:sz w:val="1"/>
                <w:szCs w:val="1"/>
                <w:color w:val="auto"/>
              </w:rPr>
            </w:pPr>
          </w:p>
        </w:tc>
      </w:tr>
      <w:tr>
        <w:trPr>
          <w:trHeight w:val="171"/>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Changes in assets and liabilities:</w:t>
            </w:r>
          </w:p>
        </w:tc>
        <w:tc>
          <w:tcPr>
            <w:tcW w:w="30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(3,887)</w:t>
            </w:r>
          </w:p>
        </w:tc>
        <w:tc>
          <w:tcPr>
            <w:tcW w:w="152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(32,949)</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(2,433)</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Current receivables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Inventories ..................................................</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(31,354)</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(20,524)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30,179</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Current payables .............................................</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(15,816)</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11,473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(14,530)</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 net ...................................................</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(1,185)</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4,440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9,689</w:t>
            </w: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Net cash provided by operations ...................................</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216,426</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239,148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307,999</w:t>
            </w:r>
          </w:p>
        </w:tc>
        <w:tc>
          <w:tcPr>
            <w:tcW w:w="0" w:type="dxa"/>
            <w:vAlign w:val="bottom"/>
          </w:tcPr>
          <w:p>
            <w:pPr>
              <w:spacing w:after="0"/>
              <w:rPr>
                <w:sz w:val="1"/>
                <w:szCs w:val="1"/>
                <w:color w:val="auto"/>
              </w:rPr>
            </w:pPr>
          </w:p>
        </w:tc>
      </w:tr>
      <w:tr>
        <w:trPr>
          <w:trHeight w:val="249"/>
        </w:trPr>
        <w:tc>
          <w:tcPr>
            <w:tcW w:w="6160" w:type="dxa"/>
            <w:vAlign w:val="bottom"/>
          </w:tcPr>
          <w:p>
            <w:pPr>
              <w:spacing w:after="0"/>
              <w:rPr>
                <w:sz w:val="21"/>
                <w:szCs w:val="21"/>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6160" w:type="dxa"/>
            <w:vAlign w:val="bottom"/>
          </w:tcPr>
          <w:p>
            <w:pPr>
              <w:jc w:val="right"/>
              <w:ind w:right="280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300" w:type="dxa"/>
            <w:vAlign w:val="bottom"/>
          </w:tcPr>
          <w:p>
            <w:pPr>
              <w:spacing w:after="0"/>
              <w:rPr>
                <w:sz w:val="22"/>
                <w:szCs w:val="22"/>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41,766</w:t>
            </w:r>
          </w:p>
        </w:tc>
        <w:tc>
          <w:tcPr>
            <w:tcW w:w="1520" w:type="dxa"/>
            <w:vAlign w:val="bottom"/>
            <w:vMerge w:val="restart"/>
          </w:tcPr>
          <w:p>
            <w:pPr>
              <w:jc w:val="right"/>
              <w:ind w:right="466"/>
              <w:spacing w:after="0"/>
              <w:rPr>
                <w:sz w:val="20"/>
                <w:szCs w:val="20"/>
                <w:color w:val="auto"/>
              </w:rPr>
            </w:pPr>
            <w:r>
              <w:rPr>
                <w:rFonts w:ascii="Courier New" w:cs="Courier New" w:eastAsia="Courier New" w:hAnsi="Courier New"/>
                <w:sz w:val="15"/>
                <w:szCs w:val="15"/>
                <w:color w:val="auto"/>
              </w:rPr>
              <w:t>23,056</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44,646</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Proceeds from sales/maturities of short-term investments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Purchases of short-term investments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(9,851)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(57,289)</w:t>
            </w:r>
          </w:p>
        </w:tc>
        <w:tc>
          <w:tcPr>
            <w:tcW w:w="0" w:type="dxa"/>
            <w:vAlign w:val="bottom"/>
          </w:tcPr>
          <w:p>
            <w:pPr>
              <w:spacing w:after="0"/>
              <w:rPr>
                <w:sz w:val="1"/>
                <w:szCs w:val="1"/>
                <w:color w:val="auto"/>
              </w:rPr>
            </w:pPr>
          </w:p>
        </w:tc>
      </w:tr>
      <w:tr>
        <w:trPr>
          <w:trHeight w:val="171"/>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Additions to property, plant and equipment, net of</w:t>
            </w:r>
          </w:p>
        </w:tc>
        <w:tc>
          <w:tcPr>
            <w:tcW w:w="30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(89,741)</w:t>
            </w:r>
          </w:p>
        </w:tc>
        <w:tc>
          <w:tcPr>
            <w:tcW w:w="152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(58,211)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(79,425)</w:t>
            </w:r>
          </w:p>
        </w:tc>
        <w:tc>
          <w:tcPr>
            <w:tcW w:w="0" w:type="dxa"/>
            <w:vAlign w:val="bottom"/>
          </w:tcPr>
          <w:p>
            <w:pPr>
              <w:spacing w:after="0"/>
              <w:rPr>
                <w:sz w:val="1"/>
                <w:szCs w:val="1"/>
                <w:color w:val="auto"/>
              </w:rPr>
            </w:pPr>
          </w:p>
        </w:tc>
      </w:tr>
      <w:tr>
        <w:trPr>
          <w:trHeight w:val="171"/>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minor disposals</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Net cash used in investing activities .............................</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(47,975)</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(45,006)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(92,068)</w:t>
            </w:r>
          </w:p>
        </w:tc>
        <w:tc>
          <w:tcPr>
            <w:tcW w:w="0" w:type="dxa"/>
            <w:vAlign w:val="bottom"/>
          </w:tcPr>
          <w:p>
            <w:pPr>
              <w:spacing w:after="0"/>
              <w:rPr>
                <w:sz w:val="1"/>
                <w:szCs w:val="1"/>
                <w:color w:val="auto"/>
              </w:rPr>
            </w:pPr>
          </w:p>
        </w:tc>
      </w:tr>
      <w:tr>
        <w:trPr>
          <w:trHeight w:val="249"/>
        </w:trPr>
        <w:tc>
          <w:tcPr>
            <w:tcW w:w="6160" w:type="dxa"/>
            <w:vAlign w:val="bottom"/>
          </w:tcPr>
          <w:p>
            <w:pPr>
              <w:spacing w:after="0"/>
              <w:rPr>
                <w:sz w:val="21"/>
                <w:szCs w:val="21"/>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6160" w:type="dxa"/>
            <w:vAlign w:val="bottom"/>
          </w:tcPr>
          <w:p>
            <w:pPr>
              <w:jc w:val="right"/>
              <w:ind w:right="280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300" w:type="dxa"/>
            <w:vAlign w:val="bottom"/>
          </w:tcPr>
          <w:p>
            <w:pPr>
              <w:spacing w:after="0"/>
              <w:rPr>
                <w:sz w:val="22"/>
                <w:szCs w:val="22"/>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6"/>
              </w:rPr>
              <w:t>(159,619)</w:t>
            </w:r>
          </w:p>
        </w:tc>
        <w:tc>
          <w:tcPr>
            <w:tcW w:w="152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(157,674)</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(150,864)</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Cash dividends paid to shareholders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Increase (decrease) in bank loans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16,570</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(7,305)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7,144</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Decrease in long-term debt .....................................</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(1,380)</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(2,357)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Proceeds from issuance of stock under stock option plans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4,569</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15,356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9,622</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Purchase of treasury stock .....................................</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(134,448)</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(70,988)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(59,763)</w:t>
            </w: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Net cash used in financing activities .............................</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6"/>
              </w:rPr>
              <w:t>(274,308)</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(222,968)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(196,091)</w:t>
            </w: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Effect of exchange rate changes on cash and cash equivalents ......</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3,823</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(15,550)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(9,900)</w:t>
            </w: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NET CHANGE IN CASH AND CASH EQUIVALENTS ...........................</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6"/>
              </w:rPr>
              <w:t>(102,034)</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(44,376)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9,940</w:t>
            </w:r>
          </w:p>
        </w:tc>
        <w:tc>
          <w:tcPr>
            <w:tcW w:w="0" w:type="dxa"/>
            <w:vAlign w:val="bottom"/>
          </w:tcPr>
          <w:p>
            <w:pPr>
              <w:spacing w:after="0"/>
              <w:rPr>
                <w:sz w:val="1"/>
                <w:szCs w:val="1"/>
                <w:color w:val="auto"/>
              </w:rPr>
            </w:pPr>
          </w:p>
        </w:tc>
      </w:tr>
      <w:tr>
        <w:trPr>
          <w:trHeight w:val="171"/>
        </w:trPr>
        <w:tc>
          <w:tcPr>
            <w:tcW w:w="61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CASH AND CASH EQUIVALENTS AT BEGINNING OF YEAR ....................</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216,994</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261,370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251,430</w:t>
            </w:r>
          </w:p>
        </w:tc>
        <w:tc>
          <w:tcPr>
            <w:tcW w:w="0" w:type="dxa"/>
            <w:vAlign w:val="bottom"/>
          </w:tcPr>
          <w:p>
            <w:pPr>
              <w:spacing w:after="0"/>
              <w:rPr>
                <w:sz w:val="1"/>
                <w:szCs w:val="1"/>
                <w:color w:val="auto"/>
              </w:rPr>
            </w:pPr>
          </w:p>
        </w:tc>
      </w:tr>
      <w:tr>
        <w:trPr>
          <w:trHeight w:val="171"/>
        </w:trPr>
        <w:tc>
          <w:tcPr>
            <w:tcW w:w="6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8"/>
              </w:rPr>
              <w:t>CASH AND CASH EQUIVALENTS AT END OF YEAR ..........................</w:t>
            </w:r>
          </w:p>
        </w:tc>
        <w:tc>
          <w:tcPr>
            <w:tcW w:w="30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114,960</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$ 216,994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$ 261,370</w:t>
            </w:r>
          </w:p>
        </w:tc>
        <w:tc>
          <w:tcPr>
            <w:tcW w:w="0" w:type="dxa"/>
            <w:vAlign w:val="bottom"/>
          </w:tcPr>
          <w:p>
            <w:pPr>
              <w:spacing w:after="0"/>
              <w:rPr>
                <w:sz w:val="1"/>
                <w:szCs w:val="1"/>
                <w:color w:val="auto"/>
              </w:rPr>
            </w:pPr>
          </w:p>
        </w:tc>
      </w:tr>
      <w:tr>
        <w:trPr>
          <w:trHeight w:val="249"/>
        </w:trPr>
        <w:tc>
          <w:tcPr>
            <w:tcW w:w="6160" w:type="dxa"/>
            <w:vAlign w:val="bottom"/>
          </w:tcPr>
          <w:p>
            <w:pPr>
              <w:spacing w:after="0"/>
              <w:rPr>
                <w:sz w:val="21"/>
                <w:szCs w:val="21"/>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46" w:right="1440" w:bottom="1440" w:gutter="0" w:footer="0" w:header="0"/>
        </w:sectPr>
      </w:pPr>
    </w:p>
    <w:bookmarkStart w:id="18" w:name="page19"/>
    <w:bookmarkEnd w:id="18"/>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Company is the leading creator and manufacturer of flavors and fragrances used by others to impart or improve flavor or fragrance in a wide variety of consumer products. Fragrance products are sold principally to makers of perfumes and cosmetics, hair and other personal care products, soaps and detergents, household and other cleaning products and area fresheners. Flavors are sold primarily to makers of dairy, meat and other processed foods, beverages, snacks and savory foods, confectionery, sweet and baked goods, pharmaceutical and oral care products and animal foods.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subsidiaries.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TRANSLATION</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assets and liabilities of non-U.S. subsidiaries which operate in a local currency environment are translated into U.S. dollars at year-end exchange rates. Income and expense items are translated at average exchange rates during the year. Cumulative translation adjustments are shown as a separate component of shareholders' equity.</w:t>
      </w:r>
    </w:p>
    <w:p>
      <w:pPr>
        <w:spacing w:after="0" w:line="7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For those subsidiaries which operate in U.S. dollars, or which operate in a highly inflationary environment, inventory and property, plant and equipment are translated using the approximate exchange rates at the time of acquisition. All other assets and liabilities are translated at year-end exchange rates. Except for inventories charged to cost of goods sold and depreciation, which are remeasured for historical rates of exchange, all income and expense items are translated at average exchange rates during the year. Gains and losses as a result of remeasurements are included in income.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are stated at the lower of cost (generally on an average basis)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market.</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Highly liquid investments with maturities of three months or less at date of purchase are considered to be cash equivalents.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Property, plant and equipment are recorded at cost. Depreciation is calculated on a straight-line basis, principally over the following estimated useful lives: buildings and improvements, 10 to 30 years; machinery and equipment, 3 to 10 years; and leasehold improvements, the shorter of 10 years or the remaining life of the lease.</w:t>
      </w:r>
    </w:p>
    <w:p>
      <w:pPr>
        <w:spacing w:after="0" w:line="72"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When properties are retired or otherwise disposed of, the asset and related accumulated depreciation are removed from the accounts and the resultant gain or loss is included in income.</w:t>
      </w:r>
    </w:p>
    <w:p>
      <w:pPr>
        <w:spacing w:after="0" w:line="52"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Long-lived assets are reviewed for impairment when events or changes in business conditions indicate that their full carrying value may not be recovered. Assets are considered to be impaired and written down to estimated fair value if expected associated cash flows are less than the carrying amounts.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Deferred income taxes reflect the impact of temporary differences between the amount of assets and liabilities recognized for financial reporting purposes and such amounts recognized for tax purposes, based on tax laws as</w:t>
      </w:r>
    </w:p>
    <w:p>
      <w:pPr>
        <w:spacing w:after="0" w:line="2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75" w:right="1440" w:bottom="1440" w:gutter="0" w:footer="0" w:header="0"/>
        </w:sectPr>
      </w:pPr>
    </w:p>
    <w:bookmarkStart w:id="19" w:name="page20"/>
    <w:bookmarkEnd w:id="19"/>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5"/>
          <w:szCs w:val="15"/>
          <w:color w:val="auto"/>
        </w:rPr>
        <w:t>currently enacted. Additional taxes which would result from dividend distributions by subsidiary companies to the parent company are provided to the extent such dividends are anticipated. No provision is made for additional taxes on undistributed earnings of subsidiary companies which are intended to be permanently invested in such subsidiaries. As a result, no income tax effect is attributable to the currency translation component of other comprehensive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BENEFITS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Current service costs of retirement plans and postretirement health care and life insurance benefits are accrued currently. Prior service costs resulting from improvements in these plans are amortized over periods ranging from 10 to 20 years.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fair value of financial instruments is determined by reference to various market data and other valuation techniques, as appropriate. Unless otherwise disclosed, the fair values of financial instruments approximate their recorded values.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diversity of the Company's products, customers and geographic operations significantly reduces the risk that a severe impact will occur in the near term as a result of changes in its customer base, competition, sources of supply or markets. It is unlikely that any one event would have a severe impact on the Company's operating results.</w:t>
      </w:r>
    </w:p>
    <w:p>
      <w:pPr>
        <w:spacing w:after="0" w:line="7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liabilities, revenues and expenses. Actual results could differ from those estimates.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1"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Effective January 1, 1997, the Company adopted Statement of Position 96-1 (SOP 96-1), Accounting for Environmental Remediation Liabilities. SOP 96-1 establishes guidance for when environmental liabilities should be recorded and the factors to be considered in determining amounts recognized. The effect of adopting this Standard was not material.</w:t>
      </w:r>
    </w:p>
    <w:p>
      <w:pPr>
        <w:spacing w:after="0" w:line="7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Effective January 1, 1998, the Company adopted Statement of Position 98-1 (SOP 98-1), Accounting for the Costs of Computer Software Developed or Obtained for Internal Use. SOP 98-1 establishes guidance on when costs incurred for internal-use software are capitalized.</w:t>
      </w:r>
    </w:p>
    <w:p>
      <w:pPr>
        <w:spacing w:after="0" w:line="66"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Effective January 1, 1998, the Company adopted Statement of Financial Accounting Standards No. 130 (FAS 130), Reporting Comprehensive Income. FAS 130 establishes standards for the reporting of comprehensive income, and requires that an enterprise classify items of other comprehensive income by their nature in a financial statement, and display the accumulated balance of other comprehensive income separately in the statement of financial position.</w:t>
      </w:r>
    </w:p>
    <w:p>
      <w:pPr>
        <w:spacing w:after="0" w:line="77" w:lineRule="exact"/>
        <w:rPr>
          <w:sz w:val="20"/>
          <w:szCs w:val="20"/>
          <w:color w:val="auto"/>
        </w:rPr>
      </w:pPr>
    </w:p>
    <w:p>
      <w:pPr>
        <w:ind w:right="3399" w:firstLine="444"/>
        <w:spacing w:after="0" w:line="281" w:lineRule="auto"/>
        <w:rPr>
          <w:sz w:val="20"/>
          <w:szCs w:val="20"/>
          <w:color w:val="auto"/>
        </w:rPr>
      </w:pPr>
      <w:r>
        <w:rPr>
          <w:rFonts w:ascii="Courier New" w:cs="Courier New" w:eastAsia="Courier New" w:hAnsi="Courier New"/>
          <w:sz w:val="14"/>
          <w:szCs w:val="14"/>
          <w:color w:val="auto"/>
        </w:rPr>
        <w:t>Effective January 1, 1998, the Company adopted Statement of Financial Accounting Standards No. 131 (FAS 131), Disclosures about Segments of an Enterprise and Related Information. FAS 131 establishes standards for the way public business enterprises report information about operating segments in reports to shareholders. The adoption of FAS 131 did not affect results of operations or financial position but did affect the disclosure of segment information. Prior year data has been restated for comparability purposes.</w:t>
      </w:r>
    </w:p>
    <w:p>
      <w:pPr>
        <w:spacing w:after="0" w:line="65"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In 1998, the Company adopted Statement of Financial Accounting Standards No. 132 (FAS 132), Employers' Disclosures about Pensions and Other Postretirement Benefits. FAS 132 standardizes disclosures about pension and other postretirement plans; it does not change the accounting measurement or recognition of such plans.</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46" w:right="1440" w:bottom="1440" w:gutter="0" w:footer="0" w:header="0"/>
        </w:sectPr>
      </w:pPr>
    </w:p>
    <w:bookmarkStart w:id="20" w:name="page21"/>
    <w:bookmarkEnd w:id="20"/>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Statement of Financial Accounting Standards No. 133 (FAS 133), Accounting for Derivative Instruments and Hedging Activities, issued in June 1998, is effective for fiscal years beginning after June 15, 1999. FAS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is currently evaluating the Standard, and the accounting and reporting implications thereof.</w:t>
      </w:r>
    </w:p>
    <w:p>
      <w:pPr>
        <w:spacing w:after="0" w:line="80"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Statement of Position 98-5 (SOP 98-5), Reporting on the Costs of Start-Up Activities, issued in April 1998, is effective for fiscal years beginning after December 15, 1998. SOP 98-5 requires that costs of start-up activities, including organization costs, be expensed as incurred. The impact of adopting this Standard is not expected to be material.</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Net income per share is based on the weighted average number of shares outstanding. A reconciliation of the number of shares used in the computations for basic and diluted net income per share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Number of Shares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(Shares in thousands)</w:t>
            </w:r>
          </w:p>
        </w:tc>
        <w:tc>
          <w:tcPr>
            <w:tcW w:w="354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Courier New" w:cs="Courier New" w:eastAsia="Courier New" w:hAnsi="Courier New"/>
                <w:sz w:val="13"/>
                <w:szCs w:val="13"/>
                <w:color w:val="auto"/>
                <w:w w:val="71"/>
              </w:rPr>
              <w:t>Basic</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3"/>
                <w:szCs w:val="13"/>
                <w:color w:val="auto"/>
                <w:w w:val="71"/>
              </w:rPr>
              <w:t>EPS..............................</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107,122</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109,065</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110,773</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Dilution under stock plans .............</w:t>
            </w:r>
          </w:p>
        </w:tc>
        <w:tc>
          <w:tcPr>
            <w:tcW w:w="10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308</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560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EPS ............................</w:t>
            </w:r>
          </w:p>
        </w:tc>
        <w:tc>
          <w:tcPr>
            <w:tcW w:w="1020" w:type="dxa"/>
            <w:vAlign w:val="bottom"/>
            <w:vMerge w:val="restart"/>
          </w:tcPr>
          <w:p>
            <w:pPr>
              <w:jc w:val="right"/>
              <w:ind w:right="148"/>
              <w:spacing w:after="0"/>
              <w:rPr>
                <w:sz w:val="20"/>
                <w:szCs w:val="20"/>
                <w:color w:val="auto"/>
              </w:rPr>
            </w:pPr>
            <w:r>
              <w:rPr>
                <w:rFonts w:ascii="Courier New" w:cs="Courier New" w:eastAsia="Courier New" w:hAnsi="Courier New"/>
                <w:sz w:val="21"/>
                <w:szCs w:val="21"/>
                <w:color w:val="auto"/>
                <w:w w:val="71"/>
                <w:vertAlign w:val="subscript"/>
              </w:rPr>
              <w:t>107,430</w:t>
            </w:r>
            <w:r>
              <w:rPr>
                <w:rFonts w:ascii="Courier New" w:cs="Courier New" w:eastAsia="Courier New" w:hAnsi="Courier New"/>
                <w:sz w:val="12"/>
                <w:szCs w:val="12"/>
                <w:color w:val="auto"/>
                <w:w w:val="71"/>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109,625</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111,386</w:t>
            </w: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1"/>
                <w:szCs w:val="21"/>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Net income used in the computation of basic and diluted net income per share is not affected by the assumed issuance of stock under the Company's stock plans and is therefore the same for both calculations.</w:t>
      </w:r>
    </w:p>
    <w:p>
      <w:pPr>
        <w:spacing w:after="0" w:line="5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Options to purchase 2,295,667, 944,959 and 1,107,000 shares were outstanding in 1998, 1997 and 1996, respectively, but were not included in the computation of diluted net income per share because the options' exercise prices were greater than the average market price of the common shares in the respective years.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NONRECURRING CHARGE</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During 1996, the Company undertook a program to phase out aroma chemical production at its Union Beach, New Jersey plant at the end of 1997, and to close smaller capacity aroma chemical facilities in Mexico and Brazil that year. Most of the volume produced at Union Beach was transferred to the Company's facility in Augusta, Georgia; production capacity in Benicarlo, Spain was also expanded.</w:t>
      </w:r>
    </w:p>
    <w:p>
      <w:pPr>
        <w:spacing w:after="0" w:line="59"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program resulted in a nonrecurring pretax charge to 1996 earnings of $49,707,000 ($31,315,000 after tax or $.29 per share). Of the charge, approximately $33,000,000 represented asset writedowns and other non-cash related costs. Approximately 220 employees were affected by this program, all of whom had left the Company at December 31, 1998.</w:t>
      </w:r>
    </w:p>
    <w:p>
      <w:pPr>
        <w:spacing w:after="0" w:line="7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Movements in the reserve resulting from the nonrecurring charge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Employee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Plant</w:t>
            </w:r>
          </w:p>
        </w:tc>
        <w:tc>
          <w:tcPr>
            <w:tcW w:w="10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Related</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Closure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3"/>
                <w:szCs w:val="13"/>
                <w:color w:val="auto"/>
                <w:w w:val="71"/>
              </w:rPr>
              <w:t>Original</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3"/>
                <w:szCs w:val="13"/>
                <w:color w:val="auto"/>
                <w:w w:val="71"/>
              </w:rPr>
              <w:t>reserve........................</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10,629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$39,078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$49,707</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Utilized in 1996 ........................</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6,446</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7,006</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1996</w:t>
            </w:r>
          </w:p>
        </w:tc>
        <w:tc>
          <w:tcPr>
            <w:tcW w:w="220" w:type="dxa"/>
            <w:vAlign w:val="bottom"/>
          </w:tcPr>
          <w:p>
            <w:pPr>
              <w:ind w:left="140"/>
              <w:spacing w:after="0"/>
              <w:rPr>
                <w:sz w:val="20"/>
                <w:szCs w:val="20"/>
                <w:color w:val="auto"/>
              </w:rPr>
            </w:pPr>
            <w:r>
              <w:rPr>
                <w:rFonts w:ascii="Courier New" w:cs="Courier New" w:eastAsia="Courier New" w:hAnsi="Courier New"/>
                <w:sz w:val="2"/>
                <w:szCs w:val="2"/>
                <w:color w:val="auto"/>
                <w:w w:val="70"/>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6"/>
              </w:rPr>
              <w:t>10,069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32,632</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42,701</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Utilized in 1997 ........................</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8,045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16,654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24,699</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1997</w:t>
            </w:r>
          </w:p>
        </w:tc>
        <w:tc>
          <w:tcPr>
            <w:tcW w:w="220" w:type="dxa"/>
            <w:vAlign w:val="bottom"/>
          </w:tcPr>
          <w:p>
            <w:pPr>
              <w:ind w:left="140"/>
              <w:spacing w:after="0"/>
              <w:rPr>
                <w:sz w:val="20"/>
                <w:szCs w:val="20"/>
                <w:color w:val="auto"/>
              </w:rPr>
            </w:pPr>
            <w:r>
              <w:rPr>
                <w:rFonts w:ascii="Courier New" w:cs="Courier New" w:eastAsia="Courier New" w:hAnsi="Courier New"/>
                <w:sz w:val="2"/>
                <w:szCs w:val="2"/>
                <w:color w:val="auto"/>
                <w:w w:val="70"/>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2,024</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15,978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18,002</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Utilized in 1998 ........................</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1,503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13,778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15,281</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1998</w:t>
            </w:r>
          </w:p>
        </w:tc>
        <w:tc>
          <w:tcPr>
            <w:tcW w:w="220" w:type="dxa"/>
            <w:vAlign w:val="bottom"/>
            <w:vMerge w:val="restart"/>
          </w:tcPr>
          <w:p>
            <w:pPr>
              <w:ind w:left="14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521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6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$ 2,200</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$ 2,721</w:t>
            </w:r>
          </w:p>
        </w:tc>
        <w:tc>
          <w:tcPr>
            <w:tcW w:w="0" w:type="dxa"/>
            <w:vAlign w:val="bottom"/>
          </w:tcPr>
          <w:p>
            <w:pPr>
              <w:spacing w:after="0"/>
              <w:rPr>
                <w:sz w:val="1"/>
                <w:szCs w:val="1"/>
                <w:color w:val="auto"/>
              </w:rPr>
            </w:pPr>
          </w:p>
        </w:tc>
      </w:tr>
      <w:tr>
        <w:trPr>
          <w:trHeight w:val="249"/>
        </w:trPr>
        <w:tc>
          <w:tcPr>
            <w:tcW w:w="3760" w:type="dxa"/>
            <w:vAlign w:val="bottom"/>
          </w:tcPr>
          <w:p>
            <w:pPr>
              <w:spacing w:after="0"/>
              <w:rPr>
                <w:sz w:val="21"/>
                <w:szCs w:val="21"/>
                <w:color w:val="auto"/>
              </w:rPr>
            </w:pPr>
          </w:p>
        </w:tc>
        <w:tc>
          <w:tcPr>
            <w:tcW w:w="12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balance of the reserve will be utilized in 1999 in connection with the final decommissioning and disposal of plant equipment, and as severance obligations to affected employees are satisfied.</w:t>
      </w:r>
    </w:p>
    <w:p>
      <w:pPr>
        <w:spacing w:after="0" w:line="2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75" w:right="1440" w:bottom="1440" w:gutter="0" w:footer="0" w:header="0"/>
        </w:sectPr>
      </w:pPr>
    </w:p>
    <w:bookmarkStart w:id="21" w:name="page22"/>
    <w:bookmarkEnd w:id="21"/>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MARKETABLE SECURITIES</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Marketable securities are included in cash equivalents and short-term investments, as appropriate. At December 31, 1998 and 1997, marketable securities totaling $2,655,000 and $122,931,000, respectively, were available for sale and recorded at fair value which approximated cost. Realized gains and losses on the sale of marketable securities were not material.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NOTE 4. INVENTORIES</w:t>
            </w:r>
          </w:p>
        </w:tc>
        <w:tc>
          <w:tcPr>
            <w:tcW w:w="1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tcPr>
          <w:p>
            <w:pPr>
              <w:jc w:val="right"/>
              <w:ind w:right="1088"/>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Raw materials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$235,552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$193,136</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Work in process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8,251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13,593</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Finished goods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160,158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153,345</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vMerge w:val="restart"/>
          </w:tcPr>
          <w:p>
            <w:pPr>
              <w:jc w:val="right"/>
              <w:ind w:right="908"/>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403,961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$360,074</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NOTE 5. PROPERTY, PLANT AND EQUIPMENT, NET</w:t>
            </w: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tcPr>
          <w:p>
            <w:pPr>
              <w:jc w:val="right"/>
              <w:ind w:right="1088"/>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Land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$ 33,784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$ 29,676</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Buildings and improvements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284,861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271,407</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Machinery and equipment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526,859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471,456</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Construction in progress ......................</w:t>
            </w: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67,893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38,362</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vMerge w:val="restart"/>
          </w:tcPr>
          <w:p>
            <w:pPr>
              <w:jc w:val="right"/>
              <w:ind w:right="90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913,397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depreciation ......................</w:t>
            </w:r>
          </w:p>
        </w:tc>
        <w:tc>
          <w:tcPr>
            <w:tcW w:w="186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810,901</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414,613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364,392</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vMerge w:val="restart"/>
          </w:tcPr>
          <w:p>
            <w:pPr>
              <w:jc w:val="right"/>
              <w:ind w:right="9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w:t>
            </w:r>
            <w:r>
              <w:rPr>
                <w:rFonts w:ascii="Courier New" w:cs="Courier New" w:eastAsia="Courier New" w:hAnsi="Courier New"/>
                <w:sz w:val="12"/>
                <w:szCs w:val="12"/>
                <w:color w:val="auto"/>
                <w:w w:val="70"/>
              </w:rPr>
              <w:t>498,784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$446,509</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1860" w:type="dxa"/>
            <w:vAlign w:val="bottom"/>
          </w:tcPr>
          <w:p>
            <w:pPr>
              <w:jc w:val="right"/>
              <w:ind w:right="9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759" w:firstLine="444"/>
        <w:spacing w:after="0" w:line="387" w:lineRule="auto"/>
        <w:rPr>
          <w:sz w:val="20"/>
          <w:szCs w:val="20"/>
          <w:color w:val="auto"/>
        </w:rPr>
      </w:pPr>
      <w:r>
        <w:rPr>
          <w:rFonts w:ascii="Courier New" w:cs="Courier New" w:eastAsia="Courier New" w:hAnsi="Courier New"/>
          <w:sz w:val="14"/>
          <w:szCs w:val="14"/>
          <w:color w:val="auto"/>
        </w:rPr>
        <w:t>In 1998, construction in progress includes approximately $28,000,000 related to the acquisition and development of internal-use software.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BORROWINGS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 loans (all foreign) averaged $16,912,000 in 1998, $19,639,000 in 1997</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$15,007,000 in 1996. The highest levels were $29,636,000 in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$28,736,000 in 1997 and $18,925,000 in 1996. The 1998 weighted average annual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on these loans (based on balances outstanding at the end of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 was approximately 8% and the average rate on loans outstanding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was 7%. These rates compare to 7% and 10%, respectively,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9% and 7%, respectively, in 1996.</w:t>
      </w:r>
    </w:p>
    <w:p>
      <w:pPr>
        <w:spacing w:after="0" w:line="145"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Long-term debt (all foreign) consists of various loans from financial institutions, with interest rates ranging between 2.1% to 2.5%, and with original terms of between five and seven years. Aggregate payments for the next five years of long-term debt outstanding at December 31, 1998 are $1,683,000 in 1999 and $886,000 annually through 2003. At December 31, 1998 and 1997, the estimated fair value of long-term debt, based on borrowing rates currently available to the Company with similar terms and maturities, approximated the recorded amount.</w:t>
      </w:r>
    </w:p>
    <w:p>
      <w:pPr>
        <w:spacing w:after="0" w:line="80"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Cash payments for interest were $1,774,000 in 1998, $2,330,000 in 1997 and $2,688,000 in 1996.</w:t>
      </w:r>
    </w:p>
    <w:p>
      <w:pPr>
        <w:spacing w:after="0" w:line="12"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At December 31, 1998, the Company and its subsidiaries had available unused lines of bank credit approximating $96,000,000.</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75"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9"/>
        </w:trPr>
        <w:tc>
          <w:tcPr>
            <w:tcW w:w="4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--(Continued)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3500" w:type="dxa"/>
            <w:vAlign w:val="bottom"/>
          </w:tcPr>
          <w:p>
            <w:pPr>
              <w:spacing w:after="0"/>
              <w:rPr>
                <w:sz w:val="20"/>
                <w:szCs w:val="20"/>
                <w:color w:val="auto"/>
              </w:rPr>
            </w:pPr>
            <w:r>
              <w:rPr>
                <w:rFonts w:ascii="Courier New" w:cs="Courier New" w:eastAsia="Courier New" w:hAnsi="Courier New"/>
                <w:sz w:val="15"/>
                <w:szCs w:val="15"/>
                <w:color w:val="auto"/>
              </w:rPr>
              <w:t>NOTE 7. INCOME TAXES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380" w:type="dxa"/>
            <w:vAlign w:val="bottom"/>
          </w:tcPr>
          <w:p>
            <w:pPr>
              <w:jc w:val="right"/>
              <w:ind w:right="649"/>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3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350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Courier New" w:cs="Courier New" w:eastAsia="Courier New" w:hAnsi="Courier New"/>
                <w:sz w:val="15"/>
                <w:szCs w:val="15"/>
                <w:color w:val="auto"/>
              </w:rPr>
              <w:t>U.S. income before taxes .............</w:t>
            </w:r>
          </w:p>
        </w:tc>
        <w:tc>
          <w:tcPr>
            <w:tcW w:w="13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$ 54,745</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$ 63,719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$ 19,860</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Foreign income before taxes ..........</w:t>
            </w:r>
          </w:p>
        </w:tc>
        <w:tc>
          <w:tcPr>
            <w:tcW w:w="13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256,323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276,472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279,243</w:t>
            </w:r>
          </w:p>
        </w:tc>
        <w:tc>
          <w:tcPr>
            <w:tcW w:w="0" w:type="dxa"/>
            <w:vAlign w:val="bottom"/>
          </w:tcPr>
          <w:p>
            <w:pPr>
              <w:spacing w:after="0"/>
              <w:rPr>
                <w:sz w:val="1"/>
                <w:szCs w:val="1"/>
                <w:color w:val="auto"/>
              </w:rPr>
            </w:pPr>
          </w:p>
        </w:tc>
      </w:tr>
      <w:tr>
        <w:trPr>
          <w:trHeight w:val="171"/>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Total income before taxes ............</w:t>
            </w:r>
          </w:p>
        </w:tc>
        <w:tc>
          <w:tcPr>
            <w:tcW w:w="1380" w:type="dxa"/>
            <w:vAlign w:val="bottom"/>
            <w:vMerge w:val="restart"/>
          </w:tcPr>
          <w:p>
            <w:pPr>
              <w:jc w:val="right"/>
              <w:ind w:right="469"/>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311,068</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$340,191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$299,103</w:t>
            </w: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13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following table shows the components of current and deferred income tax expense by taxing jurisdiction, both domestic and foreign: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9"/>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8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97"/>
              </w:rPr>
              <w:t>(Dollars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50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$ 4,830</w:t>
            </w:r>
          </w:p>
        </w:tc>
        <w:tc>
          <w:tcPr>
            <w:tcW w:w="196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$ 18,149</w:t>
            </w: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4"/>
              </w:rPr>
              <w:t>$ 15,138</w:t>
            </w: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Federal .............................</w:t>
            </w:r>
          </w:p>
        </w:tc>
        <w:tc>
          <w:tcPr>
            <w:tcW w:w="84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State and local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578</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2,210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2,835</w:t>
            </w: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Foreign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85,998</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93,402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93,507</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91,406</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113,761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111,480</w:t>
            </w:r>
          </w:p>
        </w:tc>
        <w:tc>
          <w:tcPr>
            <w:tcW w:w="0" w:type="dxa"/>
            <w:vAlign w:val="bottom"/>
          </w:tcPr>
          <w:p>
            <w:pPr>
              <w:spacing w:after="0"/>
              <w:rPr>
                <w:sz w:val="1"/>
                <w:szCs w:val="1"/>
                <w:color w:val="auto"/>
              </w:rPr>
            </w:pPr>
          </w:p>
        </w:tc>
      </w:tr>
      <w:tr>
        <w:trPr>
          <w:trHeight w:val="249"/>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2"/>
        </w:trPr>
        <w:tc>
          <w:tcPr>
            <w:tcW w:w="350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13,350</w:t>
            </w:r>
          </w:p>
        </w:tc>
        <w:tc>
          <w:tcPr>
            <w:tcW w:w="196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6,478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(10,640)</w:t>
            </w: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Federal .............................</w:t>
            </w:r>
          </w:p>
        </w:tc>
        <w:tc>
          <w:tcPr>
            <w:tcW w:w="84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State and local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1,847</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(2,356)</w:t>
            </w:r>
          </w:p>
        </w:tc>
        <w:tc>
          <w:tcPr>
            <w:tcW w:w="0" w:type="dxa"/>
            <w:vAlign w:val="bottom"/>
          </w:tcPr>
          <w:p>
            <w:pPr>
              <w:spacing w:after="0"/>
              <w:rPr>
                <w:sz w:val="1"/>
                <w:szCs w:val="1"/>
                <w:color w:val="auto"/>
              </w:rPr>
            </w:pPr>
          </w:p>
        </w:tc>
      </w:tr>
      <w:tr>
        <w:trPr>
          <w:trHeight w:val="171"/>
        </w:trPr>
        <w:tc>
          <w:tcPr>
            <w:tcW w:w="3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Foreign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1,488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10,725</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15,877</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8,201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(2,271)</w:t>
            </w:r>
          </w:p>
        </w:tc>
        <w:tc>
          <w:tcPr>
            <w:tcW w:w="0" w:type="dxa"/>
            <w:vAlign w:val="bottom"/>
          </w:tcPr>
          <w:p>
            <w:pPr>
              <w:spacing w:after="0"/>
              <w:rPr>
                <w:sz w:val="1"/>
                <w:szCs w:val="1"/>
                <w:color w:val="auto"/>
              </w:rPr>
            </w:pPr>
          </w:p>
        </w:tc>
      </w:tr>
      <w:tr>
        <w:trPr>
          <w:trHeight w:val="171"/>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Total income taxes</w:t>
            </w:r>
          </w:p>
        </w:tc>
        <w:tc>
          <w:tcPr>
            <w:tcW w:w="8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107,283</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1"/>
        </w:trPr>
        <w:tc>
          <w:tcPr>
            <w:tcW w:w="3500" w:type="dxa"/>
            <w:vAlign w:val="bottom"/>
            <w:vMerge w:val="continue"/>
          </w:tcPr>
          <w:p>
            <w:pPr>
              <w:jc w:val="right"/>
              <w:ind w:right="66"/>
              <w:spacing w:after="0" w:line="149" w:lineRule="exact"/>
              <w:rPr>
                <w:sz w:val="20"/>
                <w:szCs w:val="20"/>
                <w:color w:val="auto"/>
              </w:rPr>
            </w:pPr>
            <w:r>
              <w:rPr>
                <w:rFonts w:ascii="Courier New" w:cs="Courier New" w:eastAsia="Courier New" w:hAnsi="Courier New"/>
                <w:sz w:val="15"/>
                <w:szCs w:val="15"/>
                <w:color w:val="auto"/>
              </w:rPr>
              <w:t>...................</w:t>
            </w:r>
          </w:p>
        </w:tc>
        <w:tc>
          <w:tcPr>
            <w:tcW w:w="840" w:type="dxa"/>
            <w:vAlign w:val="bottom"/>
            <w:vMerge w:val="continue"/>
          </w:tcPr>
          <w:p>
            <w:pPr>
              <w:spacing w:after="0"/>
              <w:rPr>
                <w:sz w:val="14"/>
                <w:szCs w:val="14"/>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$121,962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$109,209</w:t>
            </w: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At December 31, 1998 and 1997, gross deferred tax assets were $56,000,000 and $61,300,000, respectively; gross deferred tax liabilities were $64,800,000 and $55,400,000, respectively. No valuation allowance was required for deferred tax assets. The principal components of deferred tax assets (liabilities) were: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2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Courier New" w:cs="Courier New" w:eastAsia="Courier New" w:hAnsi="Courier New"/>
                <w:sz w:val="15"/>
                <w:szCs w:val="15"/>
                <w:color w:val="auto"/>
              </w:rPr>
              <w:t>Employee and retiree benefits ...................</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$ 33,000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$ 35,400</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Inventory .......................................</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8,200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9,100</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(34,800)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(25,400)</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(13,200)</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80" w:type="dxa"/>
            <w:vAlign w:val="bottom"/>
            <w:vMerge w:val="restart"/>
          </w:tcPr>
          <w:p>
            <w:pPr>
              <w:jc w:val="right"/>
              <w:ind w:right="32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(8,800)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5,900</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3119" w:firstLine="444"/>
        <w:spacing w:after="0" w:line="353" w:lineRule="auto"/>
        <w:rPr>
          <w:sz w:val="20"/>
          <w:szCs w:val="20"/>
          <w:color w:val="auto"/>
        </w:rPr>
      </w:pPr>
      <w:r>
        <w:rPr>
          <w:rFonts w:ascii="Courier New" w:cs="Courier New" w:eastAsia="Courier New" w:hAnsi="Courier New"/>
          <w:sz w:val="15"/>
          <w:szCs w:val="15"/>
          <w:color w:val="auto"/>
        </w:rPr>
        <w:t>A reconciliation between the U.S. federal income tax rate and the effective tax rate is: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w w:val="77"/>
              </w:rPr>
              <w:t>Statutory tax rate ..............................</w:t>
            </w: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1"/>
        </w:trPr>
        <w:tc>
          <w:tcPr>
            <w:tcW w:w="3460" w:type="dxa"/>
            <w:vAlign w:val="bottom"/>
          </w:tcPr>
          <w:p>
            <w:pPr>
              <w:spacing w:after="0" w:line="170" w:lineRule="exact"/>
              <w:rPr>
                <w:sz w:val="20"/>
                <w:szCs w:val="20"/>
                <w:color w:val="auto"/>
              </w:rPr>
            </w:pPr>
            <w:r>
              <w:rPr>
                <w:rFonts w:ascii="Courier New" w:cs="Courier New" w:eastAsia="Courier New" w:hAnsi="Courier New"/>
                <w:sz w:val="12"/>
                <w:szCs w:val="12"/>
                <w:color w:val="auto"/>
                <w:w w:val="94"/>
              </w:rPr>
              <w:t>Difference in effective tax rate on</w:t>
            </w:r>
            <w:r>
              <w:rPr>
                <w:rFonts w:ascii="Courier New" w:cs="Courier New" w:eastAsia="Courier New" w:hAnsi="Courier New"/>
                <w:sz w:val="20"/>
                <w:szCs w:val="20"/>
                <w:color w:val="auto"/>
                <w:w w:val="94"/>
                <w:vertAlign w:val="subscript"/>
              </w:rPr>
              <w:t>..............</w:t>
            </w:r>
          </w:p>
        </w:tc>
        <w:tc>
          <w:tcPr>
            <w:tcW w:w="19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0.8</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foreign earnings and remittances</w:t>
            </w:r>
          </w:p>
        </w:tc>
        <w:tc>
          <w:tcPr>
            <w:tcW w:w="1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77"/>
              </w:rPr>
              <w:t>State and local taxes ...........................</w:t>
            </w: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77"/>
              </w:rPr>
              <w:t>Other, net ......................................</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w w:val="77"/>
              </w:rPr>
              <w:t>Effective tax rate ..............................</w:t>
            </w: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1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3460" w:type="dxa"/>
            <w:vAlign w:val="bottom"/>
          </w:tcPr>
          <w:p>
            <w:pPr>
              <w:spacing w:after="0"/>
              <w:rPr>
                <w:sz w:val="24"/>
                <w:szCs w:val="24"/>
                <w:color w:val="auto"/>
              </w:rPr>
            </w:pPr>
          </w:p>
        </w:tc>
        <w:tc>
          <w:tcPr>
            <w:tcW w:w="1940" w:type="dxa"/>
            <w:vAlign w:val="bottom"/>
          </w:tcPr>
          <w:p>
            <w:pPr>
              <w:jc w:val="right"/>
              <w:ind w:right="1706"/>
              <w:spacing w:after="0"/>
              <w:rPr>
                <w:sz w:val="20"/>
                <w:szCs w:val="20"/>
                <w:color w:val="auto"/>
              </w:rPr>
            </w:pPr>
            <w:r>
              <w:rPr>
                <w:rFonts w:ascii="Courier New" w:cs="Courier New" w:eastAsia="Courier New" w:hAnsi="Courier New"/>
                <w:sz w:val="15"/>
                <w:szCs w:val="15"/>
                <w:color w:val="auto"/>
                <w:w w:val="77"/>
              </w:rPr>
              <w:t>21</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23" w:name="page24"/>
    <w:bookmarkEnd w:id="23"/>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Income taxes paid were $99,894,000 in 1998, $110,594,000 in 1997 and $124,435,000 in 1996.</w:t>
      </w:r>
    </w:p>
    <w:p>
      <w:pPr>
        <w:spacing w:after="0" w:line="1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Undistributed earnings of foreign subsidiaries for which no deferred taxes have been provided approximated $518,000,000 at December 31, 1998. Any additional U.S. taxes payable on these foreign earnings, if remitted, would be substantially offset by credits for foreign taxes already paid.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SHAREHOLDERS' EQUITY</w:t>
      </w:r>
    </w:p>
    <w:p>
      <w:pPr>
        <w:spacing w:after="0" w:line="171"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Transactions in treasury shares resulted in net charges to capital in excess of par value of $3,996,000, $1,062,000 and $975,000 in 1996, 1997 and 1998, respectively.</w:t>
      </w:r>
    </w:p>
    <w:p>
      <w:pPr>
        <w:spacing w:after="0" w:line="52"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following table shows treasury shares acquired and, as appropriate, the use of treasury shares for stock plans: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20" w:type="dxa"/>
            <w:vAlign w:val="bottom"/>
          </w:tcPr>
          <w:p>
            <w:pPr>
              <w:jc w:val="center"/>
              <w:ind w:right="369"/>
              <w:spacing w:after="0"/>
              <w:rPr>
                <w:sz w:val="20"/>
                <w:szCs w:val="20"/>
                <w:color w:val="auto"/>
              </w:rPr>
            </w:pPr>
            <w:r>
              <w:rPr>
                <w:rFonts w:ascii="Courier New" w:cs="Courier New" w:eastAsia="Courier New" w:hAnsi="Courier New"/>
                <w:sz w:val="15"/>
                <w:szCs w:val="15"/>
                <w:color w:val="auto"/>
                <w:w w:val="99"/>
              </w:rPr>
              <w:t>Number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420" w:type="dxa"/>
            <w:vAlign w:val="bottom"/>
          </w:tcPr>
          <w:p>
            <w:pPr>
              <w:jc w:val="center"/>
              <w:ind w:right="369"/>
              <w:spacing w:after="0"/>
              <w:rPr>
                <w:sz w:val="20"/>
                <w:szCs w:val="20"/>
                <w:color w:val="auto"/>
              </w:rPr>
            </w:pPr>
            <w:r>
              <w:rPr>
                <w:rFonts w:ascii="Courier New" w:cs="Courier New" w:eastAsia="Courier New" w:hAnsi="Courier New"/>
                <w:sz w:val="15"/>
                <w:szCs w:val="15"/>
                <w:color w:val="auto"/>
                <w:w w:val="99"/>
              </w:rPr>
              <w:t>of</w:t>
            </w:r>
          </w:p>
        </w:tc>
        <w:tc>
          <w:tcPr>
            <w:tcW w:w="12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420" w:type="dxa"/>
            <w:vAlign w:val="bottom"/>
          </w:tcPr>
          <w:p>
            <w:pPr>
              <w:jc w:val="center"/>
              <w:ind w:right="369"/>
              <w:spacing w:after="0"/>
              <w:rPr>
                <w:sz w:val="20"/>
                <w:szCs w:val="20"/>
                <w:color w:val="auto"/>
              </w:rPr>
            </w:pPr>
            <w:r>
              <w:rPr>
                <w:rFonts w:ascii="Courier New" w:cs="Courier New" w:eastAsia="Courier New" w:hAnsi="Courier New"/>
                <w:sz w:val="15"/>
                <w:szCs w:val="15"/>
                <w:color w:val="auto"/>
                <w:w w:val="99"/>
              </w:rPr>
              <w:t>Shares</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26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January 1, 1996 ........................</w:t>
            </w: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4,808,005</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$184,856</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Acquisitions ...................................</w:t>
            </w: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1,407,667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62,815</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Used for stock plans ...........................</w:t>
            </w:r>
          </w:p>
        </w:tc>
        <w:tc>
          <w:tcPr>
            <w:tcW w:w="142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(425,349)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(17,131)</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1996</w:t>
            </w:r>
          </w:p>
        </w:tc>
        <w:tc>
          <w:tcPr>
            <w:tcW w:w="1420" w:type="dxa"/>
            <w:vAlign w:val="bottom"/>
            <w:vMerge w:val="restart"/>
          </w:tcPr>
          <w:p>
            <w:pPr>
              <w:jc w:val="right"/>
              <w:ind w:right="409"/>
              <w:spacing w:after="0"/>
              <w:rPr>
                <w:sz w:val="20"/>
                <w:szCs w:val="20"/>
                <w:color w:val="auto"/>
              </w:rPr>
            </w:pPr>
            <w:r>
              <w:rPr>
                <w:rFonts w:ascii="Courier New" w:cs="Courier New" w:eastAsia="Courier New" w:hAnsi="Courier New"/>
                <w:sz w:val="19"/>
                <w:szCs w:val="19"/>
                <w:color w:val="auto"/>
                <w:w w:val="71"/>
                <w:vertAlign w:val="subscript"/>
              </w:rPr>
              <w:t>5,790,323</w:t>
            </w:r>
            <w:r>
              <w:rPr>
                <w:rFonts w:ascii="Courier New" w:cs="Courier New" w:eastAsia="Courier New" w:hAnsi="Courier New"/>
                <w:sz w:val="11"/>
                <w:szCs w:val="11"/>
                <w:color w:val="auto"/>
                <w:w w:val="71"/>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8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230,540</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Acquisitions ...................................</w:t>
            </w: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1,633,034</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73,869</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Used for stock plans ...........................</w:t>
            </w:r>
          </w:p>
        </w:tc>
        <w:tc>
          <w:tcPr>
            <w:tcW w:w="142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(792,446)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(32,512)</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1997</w:t>
            </w:r>
          </w:p>
        </w:tc>
        <w:tc>
          <w:tcPr>
            <w:tcW w:w="1420" w:type="dxa"/>
            <w:vAlign w:val="bottom"/>
            <w:vMerge w:val="restart"/>
          </w:tcPr>
          <w:p>
            <w:pPr>
              <w:jc w:val="right"/>
              <w:ind w:right="409"/>
              <w:spacing w:after="0"/>
              <w:rPr>
                <w:sz w:val="20"/>
                <w:szCs w:val="20"/>
                <w:color w:val="auto"/>
              </w:rPr>
            </w:pPr>
            <w:r>
              <w:rPr>
                <w:rFonts w:ascii="Courier New" w:cs="Courier New" w:eastAsia="Courier New" w:hAnsi="Courier New"/>
                <w:sz w:val="11"/>
                <w:szCs w:val="11"/>
                <w:color w:val="auto"/>
                <w:w w:val="71"/>
              </w:rPr>
              <w:t>6,630,911</w:t>
            </w:r>
            <w:r>
              <w:rPr>
                <w:rFonts w:ascii="Courier New" w:cs="Courier New" w:eastAsia="Courier New" w:hAnsi="Courier New"/>
                <w:sz w:val="19"/>
                <w:szCs w:val="19"/>
                <w:color w:val="auto"/>
                <w:w w:val="71"/>
                <w:vertAlign w:val="superscript"/>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8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271,897</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Acquisitions ...................................</w:t>
            </w: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3,222,900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134,448</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Used for stock plans ...........................</w:t>
            </w:r>
          </w:p>
        </w:tc>
        <w:tc>
          <w:tcPr>
            <w:tcW w:w="142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(138,036)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(5,743)</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1998</w:t>
            </w:r>
          </w:p>
        </w:tc>
        <w:tc>
          <w:tcPr>
            <w:tcW w:w="1420" w:type="dxa"/>
            <w:vAlign w:val="bottom"/>
            <w:vMerge w:val="restart"/>
          </w:tcPr>
          <w:p>
            <w:pPr>
              <w:jc w:val="right"/>
              <w:ind w:right="409"/>
              <w:spacing w:after="0"/>
              <w:rPr>
                <w:sz w:val="20"/>
                <w:szCs w:val="20"/>
                <w:color w:val="auto"/>
              </w:rPr>
            </w:pPr>
            <w:r>
              <w:rPr>
                <w:rFonts w:ascii="Courier New" w:cs="Courier New" w:eastAsia="Courier New" w:hAnsi="Courier New"/>
                <w:sz w:val="11"/>
                <w:szCs w:val="11"/>
                <w:color w:val="auto"/>
                <w:w w:val="71"/>
              </w:rPr>
              <w:t>9,715,775</w:t>
            </w:r>
            <w:r>
              <w:rPr>
                <w:rFonts w:ascii="Courier New" w:cs="Courier New" w:eastAsia="Courier New" w:hAnsi="Courier New"/>
                <w:sz w:val="19"/>
                <w:szCs w:val="19"/>
                <w:color w:val="auto"/>
                <w:w w:val="71"/>
                <w:vertAlign w:val="superscript"/>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8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$400,602</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142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479" w:firstLine="444"/>
        <w:spacing w:after="0" w:line="303" w:lineRule="auto"/>
        <w:rPr>
          <w:sz w:val="20"/>
          <w:szCs w:val="20"/>
          <w:color w:val="auto"/>
        </w:rPr>
      </w:pPr>
      <w:r>
        <w:rPr>
          <w:rFonts w:ascii="Courier New" w:cs="Courier New" w:eastAsia="Courier New" w:hAnsi="Courier New"/>
          <w:sz w:val="14"/>
          <w:szCs w:val="14"/>
          <w:color w:val="auto"/>
        </w:rPr>
        <w:t>Under an employment contract dated January 1, 1997, the Company awarded 250,000 restricted shares of the Company's common stock. The restrictions expire, subject to certain performance goals, over a five-year period. Compensation expense is recognized over the restricted period.</w:t>
      </w:r>
    </w:p>
    <w:p>
      <w:pPr>
        <w:spacing w:after="0" w:line="52"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Changes in the cumulative translation adjustment, included in other comprehensive income, were (in thousands):</w:t>
      </w:r>
    </w:p>
    <w:p>
      <w:pPr>
        <w:spacing w:after="0" w:line="12"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Balance January 1, 1996 ............................</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$ 75,049</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Translation adjustments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(27,494)</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2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47,555</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Translation adjustments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(84,406)</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2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(36,851)</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Translation adjustments ............................</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27,721</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20" w:type="dxa"/>
            <w:vAlign w:val="bottom"/>
            <w:vMerge w:val="continue"/>
          </w:tcPr>
          <w:p>
            <w:pPr>
              <w:ind w:left="2300"/>
              <w:spacing w:after="0" w:line="149"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$(9,130)</w:t>
            </w:r>
          </w:p>
        </w:tc>
        <w:tc>
          <w:tcPr>
            <w:tcW w:w="0" w:type="dxa"/>
            <w:vAlign w:val="bottom"/>
          </w:tcPr>
          <w:p>
            <w:pPr>
              <w:spacing w:after="0"/>
              <w:rPr>
                <w:sz w:val="1"/>
                <w:szCs w:val="1"/>
                <w:color w:val="auto"/>
              </w:rPr>
            </w:pPr>
          </w:p>
        </w:tc>
      </w:tr>
      <w:tr>
        <w:trPr>
          <w:trHeight w:val="249"/>
        </w:trPr>
        <w:tc>
          <w:tcPr>
            <w:tcW w:w="4820" w:type="dxa"/>
            <w:vAlign w:val="bottom"/>
          </w:tcPr>
          <w:p>
            <w:pPr>
              <w:spacing w:after="0"/>
              <w:rPr>
                <w:sz w:val="21"/>
                <w:szCs w:val="21"/>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On February 13, 1990, the Company adopted a shareholder protection rights agreement (the "Rights Agreement") and declared a dividend of one right on each share of common stock outstanding on February 28, 1990 or issued thereafter.</w:t>
      </w:r>
    </w:p>
    <w:p>
      <w:pPr>
        <w:spacing w:after="0" w:line="3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Under the Rights Agreement, as amended, until a person or group acquires 20% or more of the Company's common stock or commences a tender offer that will result in such person or group owning 20% or more, the rights will be evidenced by the common stock certificates, will automatically trade with the common stock and will not be exercisable. Thereafter, separate rights certificates will be distributed and each right will entitle its holder to purchase one share of common stock for an exercise price of $250.</w:t>
      </w: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75" w:right="1440" w:bottom="1440" w:gutter="0" w:footer="0" w:header="0"/>
        </w:sectPr>
      </w:pPr>
    </w:p>
    <w:bookmarkStart w:id="24" w:name="page25"/>
    <w:bookmarkEnd w:id="24"/>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If any person or group acquires 20% or more of the Company's common stock, then ten business days thereafter (the "Flip-in Date") each right (other than rights beneficially owned by holders of 20% or more of the common stock or transferees thereof, which rights become void) will entitle its holder to purchase, for the exercise price, a number of shares of common stock having a market value of twice the exercise price.</w:t>
      </w:r>
    </w:p>
    <w:p>
      <w:pPr>
        <w:spacing w:after="0" w:line="77"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If the Company is involved in a merger or sells more than 50% of its assets or earning power, each right will entitle its holder to purchase, for the exercise price, a number of shares of common stock of the acquiring company having a market value of twice the exercise price. If any person or group acquires between 20% and 50% of common stock, the Company's Board of Directors may, at its option, exchange one share of common stock for each right. The rights may be redeemed by the Board of Directors for $0.01 per right prior to the Flip-in Date. The rights will expire on February 20, 2000, unless previously redeemed by the Board in accordance with the terms of the Rights Agreement.</w:t>
      </w:r>
    </w:p>
    <w:p>
      <w:pPr>
        <w:spacing w:after="0" w:line="71"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Dividends paid per share were $1.48, $1.44 and $1.36 in 1998, 1997 and 1996, respectively.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STOCK OPTIONS</w:t>
      </w:r>
    </w:p>
    <w:p>
      <w:pPr>
        <w:spacing w:after="0" w:line="171" w:lineRule="exact"/>
        <w:rPr>
          <w:sz w:val="20"/>
          <w:szCs w:val="20"/>
          <w:color w:val="auto"/>
        </w:rPr>
      </w:pPr>
    </w:p>
    <w:p>
      <w:pPr>
        <w:ind w:right="3479" w:firstLine="444"/>
        <w:spacing w:after="0" w:line="278" w:lineRule="auto"/>
        <w:rPr>
          <w:sz w:val="20"/>
          <w:szCs w:val="20"/>
          <w:color w:val="auto"/>
        </w:rPr>
      </w:pPr>
      <w:r>
        <w:rPr>
          <w:rFonts w:ascii="Courier New" w:cs="Courier New" w:eastAsia="Courier New" w:hAnsi="Courier New"/>
          <w:sz w:val="15"/>
          <w:szCs w:val="15"/>
          <w:color w:val="auto"/>
        </w:rPr>
        <w:t>The Company has various stock option plans under which the Company's officers, directors and key employees may be granted options to purchase the Company's common stock at 100% of the market price on the day the option is granted.</w:t>
      </w:r>
    </w:p>
    <w:p>
      <w:pPr>
        <w:spacing w:after="0" w:line="66"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Except for certain options granted to foreign employees which can be exercised immediately, options generally become exercisable no earlier than two years from the date of grant. All options expire ten years after date of grant.</w:t>
      </w:r>
    </w:p>
    <w:p>
      <w:pPr>
        <w:spacing w:after="0" w:line="36"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During 1998, options to purchase common stock were granted at exercise prices ranging from $40.50 to $49.69 per share. At December 31, 1998, the price range for shares under option was $19.30 to $49.88; options for 1,983,676 shares were exercisable at that date. During 1998, 138,036 shares of common stock under option were exercised at prices ranging from $19.30 to $36.21.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rPr>
              <w:t>Stock option transactions were:</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0" w:type="dxa"/>
            <w:vAlign w:val="bottom"/>
          </w:tcPr>
          <w:p>
            <w:pPr>
              <w:spacing w:after="0"/>
              <w:rPr>
                <w:sz w:val="22"/>
                <w:szCs w:val="22"/>
                <w:color w:val="auto"/>
              </w:rPr>
            </w:pPr>
          </w:p>
        </w:tc>
        <w:tc>
          <w:tcPr>
            <w:tcW w:w="25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Shares of Common Stock</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Available</w:t>
            </w:r>
          </w:p>
        </w:tc>
        <w:tc>
          <w:tcPr>
            <w:tcW w:w="10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Under</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for Option</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Option</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January 1, 1996 ..............</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863,166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3,285,632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$37.09</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Granted ..............................</w:t>
            </w:r>
          </w:p>
        </w:tc>
        <w:tc>
          <w:tcPr>
            <w:tcW w:w="15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(639,500)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639,500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48.06</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Exercised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(425,349)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29.78</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Terminated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13,428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(13,428)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38.21</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1996 ............</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237,094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39.98</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3,486,355</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Granted ..............................</w:t>
            </w:r>
          </w:p>
        </w:tc>
        <w:tc>
          <w:tcPr>
            <w:tcW w:w="15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(781,250)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781,250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43.38</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Exercised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(542,446)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33.61</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Terminated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94,485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(94,485)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39.67</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Increase under 1997 plan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3,500,000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1997 ............</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3"/>
                <w:szCs w:val="13"/>
                <w:color w:val="auto"/>
                <w:w w:val="70"/>
              </w:rPr>
              <w:t>3,050,329</w:t>
            </w:r>
            <w:r>
              <w:rPr>
                <w:rFonts w:ascii="Courier New" w:cs="Courier New" w:eastAsia="Courier New" w:hAnsi="Courier New"/>
                <w:sz w:val="24"/>
                <w:szCs w:val="24"/>
                <w:color w:val="auto"/>
                <w:w w:val="70"/>
                <w:vertAlign w:val="superscript"/>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41.67</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3,630,674</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Granted ..............................</w:t>
            </w:r>
          </w:p>
        </w:tc>
        <w:tc>
          <w:tcPr>
            <w:tcW w:w="15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(941,000)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941,000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48.93</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Exercised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(138,036)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33.10</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Terminated ...........................</w:t>
            </w: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397,719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(397,719)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46.26</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1998 ............</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3"/>
                <w:szCs w:val="13"/>
                <w:color w:val="auto"/>
                <w:w w:val="70"/>
              </w:rPr>
              <w:t>2,507,048</w:t>
            </w:r>
            <w:r>
              <w:rPr>
                <w:rFonts w:ascii="Courier New" w:cs="Courier New" w:eastAsia="Courier New" w:hAnsi="Courier New"/>
                <w:sz w:val="24"/>
                <w:szCs w:val="24"/>
                <w:color w:val="auto"/>
                <w:w w:val="70"/>
                <w:vertAlign w:val="superscript"/>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$43.21</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4,035,919</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1"/>
                <w:szCs w:val="21"/>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3400" w:type="dxa"/>
            <w:vAlign w:val="bottom"/>
          </w:tcPr>
          <w:p>
            <w:pPr>
              <w:spacing w:after="0"/>
              <w:rPr>
                <w:sz w:val="24"/>
                <w:szCs w:val="24"/>
                <w:color w:val="auto"/>
              </w:rPr>
            </w:pPr>
          </w:p>
        </w:tc>
        <w:tc>
          <w:tcPr>
            <w:tcW w:w="1560" w:type="dxa"/>
            <w:vAlign w:val="bottom"/>
          </w:tcPr>
          <w:p>
            <w:pPr>
              <w:jc w:val="right"/>
              <w:ind w:right="1268"/>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25" w:name="page26"/>
    <w:bookmarkEnd w:id="25"/>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Range of Exercise Prices</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$10-$30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$30-$50</w:t>
            </w:r>
          </w:p>
        </w:tc>
        <w:tc>
          <w:tcPr>
            <w:tcW w:w="0" w:type="dxa"/>
            <w:vAlign w:val="bottom"/>
          </w:tcPr>
          <w:p>
            <w:pPr>
              <w:spacing w:after="0"/>
              <w:rPr>
                <w:sz w:val="1"/>
                <w:szCs w:val="1"/>
                <w:color w:val="auto"/>
              </w:rPr>
            </w:pPr>
          </w:p>
        </w:tc>
      </w:tr>
      <w:tr>
        <w:trPr>
          <w:trHeight w:val="171"/>
        </w:trPr>
        <w:tc>
          <w:tcPr>
            <w:tcW w:w="47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Number outstanding</w:t>
            </w:r>
          </w:p>
        </w:tc>
        <w:tc>
          <w:tcPr>
            <w:tcW w:w="1160" w:type="dxa"/>
            <w:vAlign w:val="bottom"/>
            <w:vMerge w:val="restart"/>
          </w:tcPr>
          <w:p>
            <w:pPr>
              <w:jc w:val="right"/>
              <w:ind w:right="328"/>
              <w:spacing w:after="0"/>
              <w:rPr>
                <w:sz w:val="20"/>
                <w:szCs w:val="20"/>
                <w:color w:val="auto"/>
              </w:rPr>
            </w:pPr>
            <w:r>
              <w:rPr>
                <w:rFonts w:ascii="Courier New" w:cs="Courier New" w:eastAsia="Courier New" w:hAnsi="Courier New"/>
                <w:sz w:val="11"/>
                <w:szCs w:val="11"/>
                <w:color w:val="auto"/>
                <w:w w:val="74"/>
              </w:rPr>
              <w:t>231,473</w:t>
            </w:r>
            <w:r>
              <w:rPr>
                <w:rFonts w:ascii="Courier New" w:cs="Courier New" w:eastAsia="Courier New" w:hAnsi="Courier New"/>
                <w:sz w:val="19"/>
                <w:szCs w:val="19"/>
                <w:color w:val="auto"/>
                <w:w w:val="74"/>
                <w:vertAlign w:val="superscript"/>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jc w:val="right"/>
              <w:ind w:right="74"/>
              <w:spacing w:after="0" w:line="149" w:lineRule="exact"/>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3,804,446</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3280" w:type="dxa"/>
            <w:vAlign w:val="bottom"/>
          </w:tcPr>
          <w:p>
            <w:pPr>
              <w:jc w:val="right"/>
              <w:ind w:right="1314"/>
              <w:spacing w:after="0"/>
              <w:rPr>
                <w:sz w:val="20"/>
                <w:szCs w:val="20"/>
                <w:color w:val="auto"/>
              </w:rPr>
            </w:pPr>
            <w:r>
              <w:rPr>
                <w:rFonts w:ascii="Courier New" w:cs="Courier New" w:eastAsia="Courier New" w:hAnsi="Courier New"/>
                <w:sz w:val="15"/>
                <w:szCs w:val="15"/>
                <w:color w:val="auto"/>
                <w:w w:val="99"/>
              </w:rPr>
              <w:t>remaining contractual</w:t>
            </w:r>
          </w:p>
        </w:tc>
        <w:tc>
          <w:tcPr>
            <w:tcW w:w="1160" w:type="dxa"/>
            <w:vAlign w:val="bottom"/>
            <w:vMerge w:val="restart"/>
          </w:tcPr>
          <w:p>
            <w:pPr>
              <w:jc w:val="right"/>
              <w:ind w:right="328"/>
              <w:spacing w:after="0"/>
              <w:rPr>
                <w:sz w:val="20"/>
                <w:szCs w:val="20"/>
                <w:color w:val="auto"/>
              </w:rPr>
            </w:pPr>
            <w:r>
              <w:rPr>
                <w:rFonts w:ascii="Courier New" w:cs="Courier New" w:eastAsia="Courier New" w:hAnsi="Courier New"/>
                <w:sz w:val="15"/>
                <w:szCs w:val="15"/>
                <w:color w:val="auto"/>
              </w:rPr>
              <w:t>1.7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life, in years</w:t>
            </w:r>
          </w:p>
        </w:tc>
        <w:tc>
          <w:tcPr>
            <w:tcW w:w="3280" w:type="dxa"/>
            <w:vAlign w:val="bottom"/>
            <w:vMerge w:val="restart"/>
          </w:tcPr>
          <w:p>
            <w:pPr>
              <w:jc w:val="right"/>
              <w:ind w:right="74"/>
              <w:spacing w:after="0"/>
              <w:rPr>
                <w:sz w:val="20"/>
                <w:szCs w:val="20"/>
                <w:color w:val="auto"/>
              </w:rPr>
            </w:pPr>
            <w:r>
              <w:rPr>
                <w:rFonts w:ascii="Courier New" w:cs="Courier New" w:eastAsia="Courier New" w:hAnsi="Courier New"/>
                <w:sz w:val="16"/>
                <w:szCs w:val="16"/>
                <w:color w:val="auto"/>
                <w:w w:val="74"/>
                <w:vertAlign w:val="subscript"/>
              </w:rPr>
              <w:t>exercise</w:t>
            </w: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price....................</w:t>
            </w: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3280" w:type="dxa"/>
            <w:vAlign w:val="bottom"/>
            <w:vMerge w:val="continue"/>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$24.31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$44.36</w:t>
            </w:r>
          </w:p>
        </w:tc>
        <w:tc>
          <w:tcPr>
            <w:tcW w:w="0" w:type="dxa"/>
            <w:vAlign w:val="bottom"/>
          </w:tcPr>
          <w:p>
            <w:pPr>
              <w:spacing w:after="0"/>
              <w:rPr>
                <w:sz w:val="1"/>
                <w:szCs w:val="1"/>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Number exercisable .................................</w:t>
            </w:r>
          </w:p>
        </w:tc>
        <w:tc>
          <w:tcPr>
            <w:tcW w:w="116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231,473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1,752,203</w:t>
            </w:r>
          </w:p>
        </w:tc>
        <w:tc>
          <w:tcPr>
            <w:tcW w:w="0" w:type="dxa"/>
            <w:vAlign w:val="bottom"/>
          </w:tcPr>
          <w:p>
            <w:pPr>
              <w:spacing w:after="0"/>
              <w:rPr>
                <w:sz w:val="1"/>
                <w:szCs w:val="1"/>
                <w:color w:val="auto"/>
              </w:rPr>
            </w:pPr>
          </w:p>
        </w:tc>
      </w:tr>
      <w:tr>
        <w:trPr>
          <w:trHeight w:val="249"/>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3280" w:type="dxa"/>
            <w:vAlign w:val="bottom"/>
          </w:tcPr>
          <w:p>
            <w:pPr>
              <w:jc w:val="right"/>
              <w:ind w:right="74"/>
              <w:spacing w:after="0"/>
              <w:rPr>
                <w:sz w:val="20"/>
                <w:szCs w:val="20"/>
                <w:color w:val="auto"/>
              </w:rPr>
            </w:pPr>
            <w:r>
              <w:rPr>
                <w:rFonts w:ascii="Courier New" w:cs="Courier New" w:eastAsia="Courier New" w:hAnsi="Courier New"/>
                <w:sz w:val="15"/>
                <w:szCs w:val="15"/>
                <w:color w:val="auto"/>
                <w:w w:val="99"/>
              </w:rPr>
              <w:t>exercise price ....................</w:t>
            </w:r>
          </w:p>
        </w:tc>
        <w:tc>
          <w:tcPr>
            <w:tcW w:w="116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$24.31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$41.21</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plans. Had compensation cost for the Company's stock option plans been determined based upon the fair value at the grant date, consistent with the methodology prescribed under Statement of Financial Accounting Standards No. 123, Accounting for Stock-Based Compensation, the Company's net income and basic earnings per share would have been reduced by approximately $4,700,000 ($.04 per share) in 1998, $3,500,000 ($.03 per share) in 1997 and $2,700,000 ($.02 per share) in 1996. These pro forma amounts may not be representative of future disclosures because the estimated fair value of stock options is amortized to expense over the vesting period, and additional options may be granted in future years.</w:t>
      </w:r>
    </w:p>
    <w:p>
      <w:pPr>
        <w:spacing w:after="0" w:line="86"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Using the Black-Scholes option valuation model, the estimated fair values of options granted during 1998, 1997 and 1996 were $9.74, $8.19 and $9.98, respectively. The Black-Scholes model was developed for use in estimating the fair value of traded options which have no vesting restrictions. In addition, such models require the use of subjective assumptions, including expected stock price volatility. In management's opinion, such valuation models do not necessarily provide a reliable single measure of the fair value of its employee stock options.</w:t>
      </w:r>
    </w:p>
    <w:p>
      <w:pPr>
        <w:spacing w:after="0" w:line="80"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Principal assumptions used in applying the Black-Scholes model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4120" w:type="dxa"/>
            <w:vAlign w:val="bottom"/>
            <w:vMerge w:val="restart"/>
          </w:tcPr>
          <w:p>
            <w:pPr>
              <w:jc w:val="right"/>
              <w:ind w:right="2006"/>
              <w:spacing w:after="0"/>
              <w:rPr>
                <w:sz w:val="20"/>
                <w:szCs w:val="20"/>
                <w:color w:val="auto"/>
              </w:rPr>
            </w:pPr>
            <w:r>
              <w:rPr>
                <w:rFonts w:ascii="Courier New" w:cs="Courier New" w:eastAsia="Courier New" w:hAnsi="Courier New"/>
                <w:sz w:val="15"/>
                <w:szCs w:val="15"/>
                <w:color w:val="auto"/>
                <w:w w:val="97"/>
              </w:rPr>
              <w:t>Risk-free interest rate</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120" w:type="dxa"/>
            <w:vAlign w:val="bottom"/>
            <w:vMerge w:val="continue"/>
          </w:tcPr>
          <w:p>
            <w:pPr>
              <w:jc w:val="right"/>
              <w:ind w:right="146"/>
              <w:spacing w:after="0" w:line="149"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1"/>
        </w:trPr>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Expected life, in years ....................</w:t>
            </w:r>
          </w:p>
        </w:tc>
        <w:tc>
          <w:tcPr>
            <w:tcW w:w="9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1"/>
        </w:trPr>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Expected volatility ........................</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0" w:type="dxa"/>
            <w:vAlign w:val="bottom"/>
          </w:tcPr>
          <w:p>
            <w:pPr>
              <w:spacing w:after="0"/>
              <w:rPr>
                <w:sz w:val="1"/>
                <w:szCs w:val="1"/>
                <w:color w:val="auto"/>
              </w:rPr>
            </w:pPr>
          </w:p>
        </w:tc>
      </w:tr>
      <w:tr>
        <w:trPr>
          <w:trHeight w:val="249"/>
        </w:trPr>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Expected dividend yield ....................</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SEGMENT INFORMATION</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Company's reportable segments are based on geographic area; accounting policies used for segment reporting are the same as those described in Note 1. The Company evaluates the performance of its geographic areas based on operating profit, excluding interest expense, other income and expense, certain unallocated expenses, the effects of nonrecurring items and accounting changes, and income tax expense. Transfers between geographic areas are accounted for at prices which approximate arm's length market prices. The North America area includes the United States and Canada, and the EAME area includes Europe, Africa and the Middle East. Unallocated assets are principally cash and short-term investments.</w:t>
      </w: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75" w:right="1440" w:bottom="1440" w:gutter="0" w:footer="0" w:header="0"/>
        </w:sectPr>
      </w:pPr>
    </w:p>
    <w:bookmarkStart w:id="26" w:name="page27"/>
    <w:bookmarkEnd w:id="26"/>
    <w:p>
      <w:pPr>
        <w:spacing w:after="0" w:line="8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1998 (Dollars 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7660" w:type="dxa"/>
            <w:vAlign w:val="bottom"/>
            <w:gridSpan w:val="9"/>
          </w:tcPr>
          <w:p>
            <w:pPr>
              <w:jc w:val="right"/>
              <w:ind w:right="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North</w:t>
            </w:r>
          </w:p>
        </w:tc>
        <w:tc>
          <w:tcPr>
            <w:tcW w:w="11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EAME</w:t>
            </w:r>
          </w:p>
        </w:tc>
        <w:tc>
          <w:tcPr>
            <w:tcW w:w="14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Latin</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Far</w:t>
            </w:r>
          </w:p>
        </w:tc>
        <w:tc>
          <w:tcPr>
            <w:tcW w:w="14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America</w:t>
            </w:r>
          </w:p>
        </w:tc>
        <w:tc>
          <w:tcPr>
            <w:tcW w:w="1160" w:type="dxa"/>
            <w:vAlign w:val="bottom"/>
            <w:vMerge w:val="continue"/>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America</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East</w:t>
            </w:r>
          </w:p>
        </w:tc>
        <w:tc>
          <w:tcPr>
            <w:tcW w:w="1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Sales to unaffiliated customers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$474,481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$569,894</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$211,235</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$151,739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$1,407,349</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Transfers between areas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58,355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114,258</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841</w:t>
            </w:r>
          </w:p>
        </w:tc>
        <w:tc>
          <w:tcPr>
            <w:tcW w:w="44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14,626</w:t>
            </w:r>
          </w:p>
        </w:tc>
        <w:tc>
          <w:tcPr>
            <w:tcW w:w="3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(188,080)</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sales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532,836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$684,152</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$212,076</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$166,365</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$(188,080)</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$1,407,349</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Operating profit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$ 66,207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$172,392</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$ 47,005</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$ 26,954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170</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312,728</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expenses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(5,974)</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expense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(2,042)</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income (expense), net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6,356</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1046"/>
              <w:spacing w:after="0"/>
              <w:rPr>
                <w:sz w:val="20"/>
                <w:szCs w:val="20"/>
                <w:color w:val="auto"/>
              </w:rPr>
            </w:pPr>
            <w:r>
              <w:rPr>
                <w:rFonts w:ascii="Courier New" w:cs="Courier New" w:eastAsia="Courier New" w:hAnsi="Courier New"/>
                <w:sz w:val="15"/>
                <w:szCs w:val="15"/>
                <w:color w:val="auto"/>
              </w:rPr>
              <w:t>Income before taxes on income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311,068</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Segment assets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$494,783</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$509,006</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$164,434</w:t>
            </w:r>
          </w:p>
        </w:tc>
        <w:tc>
          <w:tcPr>
            <w:tcW w:w="124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$166,915</w:t>
            </w:r>
          </w:p>
        </w:tc>
        <w:tc>
          <w:tcPr>
            <w:tcW w:w="1420" w:type="dxa"/>
            <w:vAlign w:val="bottom"/>
            <w:gridSpan w:val="2"/>
            <w:vMerge w:val="restart"/>
          </w:tcPr>
          <w:p>
            <w:pPr>
              <w:jc w:val="right"/>
              <w:ind w:right="226"/>
              <w:spacing w:after="0"/>
              <w:rPr>
                <w:sz w:val="20"/>
                <w:szCs w:val="20"/>
                <w:color w:val="auto"/>
              </w:rPr>
            </w:pPr>
            <w:r>
              <w:rPr>
                <w:rFonts w:ascii="Courier New" w:cs="Courier New" w:eastAsia="Courier New" w:hAnsi="Courier New"/>
                <w:sz w:val="15"/>
                <w:szCs w:val="15"/>
                <w:color w:val="auto"/>
              </w:rPr>
              <w:t>$ (50,008)</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$1,285,130</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assets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102,934</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assets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$1,388,064</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Capital expenditures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$ 47,737</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$ 29,424</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$ 10,130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4,399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91,690</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Depreciation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19,252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21,026</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4,077</w:t>
            </w:r>
          </w:p>
        </w:tc>
        <w:tc>
          <w:tcPr>
            <w:tcW w:w="44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4,651</w:t>
            </w:r>
          </w:p>
        </w:tc>
        <w:tc>
          <w:tcPr>
            <w:tcW w:w="3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49,006</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1997 (Dollars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7660" w:type="dxa"/>
            <w:vAlign w:val="bottom"/>
            <w:gridSpan w:val="9"/>
          </w:tcPr>
          <w:p>
            <w:pPr>
              <w:jc w:val="right"/>
              <w:ind w:right="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North</w:t>
            </w:r>
          </w:p>
        </w:tc>
        <w:tc>
          <w:tcPr>
            <w:tcW w:w="11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EAME</w:t>
            </w:r>
          </w:p>
        </w:tc>
        <w:tc>
          <w:tcPr>
            <w:tcW w:w="14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Latin</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Far</w:t>
            </w:r>
          </w:p>
        </w:tc>
        <w:tc>
          <w:tcPr>
            <w:tcW w:w="14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America</w:t>
            </w:r>
          </w:p>
        </w:tc>
        <w:tc>
          <w:tcPr>
            <w:tcW w:w="1160" w:type="dxa"/>
            <w:vAlign w:val="bottom"/>
            <w:vMerge w:val="continue"/>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America</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East</w:t>
            </w:r>
          </w:p>
        </w:tc>
        <w:tc>
          <w:tcPr>
            <w:tcW w:w="1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Sales to unaffiliated customers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$449,671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$589,308</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$197,165</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$190,647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$1,426,791</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Transfers between areas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68,188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101,922</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1,205</w:t>
            </w:r>
          </w:p>
        </w:tc>
        <w:tc>
          <w:tcPr>
            <w:tcW w:w="44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15,789</w:t>
            </w:r>
          </w:p>
        </w:tc>
        <w:tc>
          <w:tcPr>
            <w:tcW w:w="3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(187,104)</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sales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517,859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$691,230</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$198,370</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$206,436</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$(187,104)</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$1,426,791</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Operating profit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$ 73,220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$186,113</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$ 43,219</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$ 36,663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(876)</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338,339</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expenses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(6,170)</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expense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(2,420)</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income (expense), net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10,442</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1046"/>
              <w:spacing w:after="0"/>
              <w:rPr>
                <w:sz w:val="20"/>
                <w:szCs w:val="20"/>
                <w:color w:val="auto"/>
              </w:rPr>
            </w:pPr>
            <w:r>
              <w:rPr>
                <w:rFonts w:ascii="Courier New" w:cs="Courier New" w:eastAsia="Courier New" w:hAnsi="Courier New"/>
                <w:sz w:val="15"/>
                <w:szCs w:val="15"/>
                <w:color w:val="auto"/>
              </w:rPr>
              <w:t>Income before taxes on income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jc w:val="right"/>
              <w:ind w:right="66"/>
              <w:spacing w:after="0" w:line="149"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340,191</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Segment assets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$448,416</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$451,784</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$153,698</w:t>
            </w:r>
          </w:p>
        </w:tc>
        <w:tc>
          <w:tcPr>
            <w:tcW w:w="124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$159,725</w:t>
            </w:r>
          </w:p>
        </w:tc>
        <w:tc>
          <w:tcPr>
            <w:tcW w:w="1420" w:type="dxa"/>
            <w:vAlign w:val="bottom"/>
            <w:gridSpan w:val="2"/>
            <w:vMerge w:val="restart"/>
          </w:tcPr>
          <w:p>
            <w:pPr>
              <w:jc w:val="right"/>
              <w:ind w:right="226"/>
              <w:spacing w:after="0"/>
              <w:rPr>
                <w:sz w:val="20"/>
                <w:szCs w:val="20"/>
                <w:color w:val="auto"/>
              </w:rPr>
            </w:pPr>
            <w:r>
              <w:rPr>
                <w:rFonts w:ascii="Courier New" w:cs="Courier New" w:eastAsia="Courier New" w:hAnsi="Courier New"/>
                <w:sz w:val="15"/>
                <w:szCs w:val="15"/>
                <w:color w:val="auto"/>
              </w:rPr>
              <w:t>$ (36,356)</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$1,177,267</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assets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244,994</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assets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$1,422,261</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Capital expenditures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$ 16,724</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$ 29,024</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  8,617</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4,919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59,284</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Depreciation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21,255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20,983</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3,415</w:t>
            </w:r>
          </w:p>
        </w:tc>
        <w:tc>
          <w:tcPr>
            <w:tcW w:w="44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4,625</w:t>
            </w:r>
          </w:p>
        </w:tc>
        <w:tc>
          <w:tcPr>
            <w:tcW w:w="3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50,278</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1996 (Dollars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7660" w:type="dxa"/>
            <w:vAlign w:val="bottom"/>
            <w:gridSpan w:val="9"/>
          </w:tcPr>
          <w:p>
            <w:pPr>
              <w:jc w:val="right"/>
              <w:ind w:right="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North</w:t>
            </w:r>
          </w:p>
        </w:tc>
        <w:tc>
          <w:tcPr>
            <w:tcW w:w="11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EAME</w:t>
            </w:r>
          </w:p>
        </w:tc>
        <w:tc>
          <w:tcPr>
            <w:tcW w:w="14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Latin</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Far</w:t>
            </w:r>
          </w:p>
        </w:tc>
        <w:tc>
          <w:tcPr>
            <w:tcW w:w="14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America</w:t>
            </w:r>
          </w:p>
        </w:tc>
        <w:tc>
          <w:tcPr>
            <w:tcW w:w="1160" w:type="dxa"/>
            <w:vAlign w:val="bottom"/>
            <w:vMerge w:val="continue"/>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America</w:t>
            </w:r>
          </w:p>
        </w:tc>
        <w:tc>
          <w:tcPr>
            <w:tcW w:w="4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East</w:t>
            </w:r>
          </w:p>
        </w:tc>
        <w:tc>
          <w:tcPr>
            <w:tcW w:w="1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Sales to unaffiliated customers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$448,650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$610,467</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$183,096</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$193,840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$1,436,053</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Transfers between areas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64,353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94,150</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3,459</w:t>
            </w:r>
          </w:p>
        </w:tc>
        <w:tc>
          <w:tcPr>
            <w:tcW w:w="44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9,275</w:t>
            </w:r>
          </w:p>
        </w:tc>
        <w:tc>
          <w:tcPr>
            <w:tcW w:w="3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(171,237)</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sales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513,003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$704,617</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$186,555</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$203,115</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$(171,237)</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$1,436,053</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Operating profit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$ 77,989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$195,696</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$ 35,591</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$ 38,294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(1,407)</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346,163</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expenses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(6,018)</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Nonrecurring charge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(49,707)</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expense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(2,740)</w:t>
            </w:r>
          </w:p>
        </w:tc>
        <w:tc>
          <w:tcPr>
            <w:tcW w:w="0" w:type="dxa"/>
            <w:vAlign w:val="bottom"/>
          </w:tcPr>
          <w:p>
            <w:pPr>
              <w:spacing w:after="0"/>
              <w:rPr>
                <w:sz w:val="1"/>
                <w:szCs w:val="1"/>
                <w:color w:val="auto"/>
              </w:rPr>
            </w:pP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income (expense), net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11,405</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1046"/>
              <w:spacing w:after="0"/>
              <w:rPr>
                <w:sz w:val="20"/>
                <w:szCs w:val="20"/>
                <w:color w:val="auto"/>
              </w:rPr>
            </w:pPr>
            <w:r>
              <w:rPr>
                <w:rFonts w:ascii="Courier New" w:cs="Courier New" w:eastAsia="Courier New" w:hAnsi="Courier New"/>
                <w:sz w:val="15"/>
                <w:szCs w:val="15"/>
                <w:color w:val="auto"/>
              </w:rPr>
              <w:t>Income before taxes on income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jc w:val="right"/>
              <w:ind w:right="66"/>
              <w:spacing w:after="0" w:line="149"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299,103</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Segment assets ...........................</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$452,352</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$475,017</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$133,114</w:t>
            </w:r>
          </w:p>
        </w:tc>
        <w:tc>
          <w:tcPr>
            <w:tcW w:w="124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$189,630</w:t>
            </w:r>
          </w:p>
        </w:tc>
        <w:tc>
          <w:tcPr>
            <w:tcW w:w="1420" w:type="dxa"/>
            <w:vAlign w:val="bottom"/>
            <w:gridSpan w:val="2"/>
            <w:vMerge w:val="restart"/>
          </w:tcPr>
          <w:p>
            <w:pPr>
              <w:jc w:val="right"/>
              <w:ind w:right="226"/>
              <w:spacing w:after="0"/>
              <w:rPr>
                <w:sz w:val="20"/>
                <w:szCs w:val="20"/>
                <w:color w:val="auto"/>
              </w:rPr>
            </w:pPr>
            <w:r>
              <w:rPr>
                <w:rFonts w:ascii="Courier New" w:cs="Courier New" w:eastAsia="Courier New" w:hAnsi="Courier New"/>
                <w:sz w:val="15"/>
                <w:szCs w:val="15"/>
                <w:color w:val="auto"/>
              </w:rPr>
              <w:t>$ (48,555)</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$1,201,558</w:t>
            </w:r>
          </w:p>
        </w:tc>
        <w:tc>
          <w:tcPr>
            <w:tcW w:w="0" w:type="dxa"/>
            <w:vAlign w:val="bottom"/>
          </w:tcPr>
          <w:p>
            <w:pPr>
              <w:spacing w:after="0"/>
              <w:rPr>
                <w:sz w:val="1"/>
                <w:szCs w:val="1"/>
                <w:color w:val="auto"/>
              </w:rPr>
            </w:pPr>
          </w:p>
        </w:tc>
      </w:tr>
      <w:tr>
        <w:trPr>
          <w:trHeight w:val="249"/>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Unallocated assets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305,355</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Total assets ...........................</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86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$1,506,913</w:t>
            </w:r>
          </w:p>
        </w:tc>
        <w:tc>
          <w:tcPr>
            <w:tcW w:w="0" w:type="dxa"/>
            <w:vAlign w:val="bottom"/>
          </w:tcPr>
          <w:p>
            <w:pPr>
              <w:spacing w:after="0"/>
              <w:rPr>
                <w:sz w:val="1"/>
                <w:szCs w:val="1"/>
                <w:color w:val="auto"/>
              </w:rPr>
            </w:pPr>
          </w:p>
        </w:tc>
      </w:tr>
    </w:tbl>
    <w:p>
      <w:pPr>
        <w:sectPr>
          <w:pgSz w:w="11900" w:h="16926" w:orient="portrait"/>
          <w:cols w:equalWidth="0" w:num="1">
            <w:col w:w="11520"/>
          </w:cols>
          <w:pgMar w:left="240" w:top="775" w:right="1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31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w w:val="97"/>
              </w:rPr>
              <w:t>.....................   $ 39,650</w:t>
            </w:r>
          </w:p>
        </w:tc>
        <w:tc>
          <w:tcPr>
            <w:tcW w:w="13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$ 24,180</w:t>
            </w:r>
          </w:p>
        </w:tc>
        <w:tc>
          <w:tcPr>
            <w:tcW w:w="1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  9,780</w:t>
            </w:r>
          </w:p>
        </w:tc>
        <w:tc>
          <w:tcPr>
            <w:tcW w:w="12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7,172</w:t>
            </w:r>
          </w:p>
        </w:tc>
        <w:tc>
          <w:tcPr>
            <w:tcW w:w="5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86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80,782</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0"/>
                <w:szCs w:val="10"/>
                <w:color w:val="auto"/>
                <w:w w:val="72"/>
              </w:rPr>
              <w:t>Depreciation .............................</w:t>
            </w:r>
          </w:p>
        </w:tc>
        <w:tc>
          <w:tcPr>
            <w:tcW w:w="3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19,104</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21,993</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3,262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3,405</w:t>
            </w:r>
          </w:p>
        </w:tc>
        <w:tc>
          <w:tcPr>
            <w:tcW w:w="5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47,764</w:t>
            </w:r>
          </w:p>
        </w:tc>
        <w:tc>
          <w:tcPr>
            <w:tcW w:w="0" w:type="dxa"/>
            <w:vAlign w:val="bottom"/>
          </w:tcPr>
          <w:p>
            <w:pPr>
              <w:spacing w:after="0"/>
              <w:rPr>
                <w:sz w:val="1"/>
                <w:szCs w:val="1"/>
                <w:color w:val="auto"/>
              </w:rPr>
            </w:pPr>
          </w:p>
        </w:tc>
      </w:tr>
      <w:tr>
        <w:trPr>
          <w:trHeight w:val="249"/>
        </w:trPr>
        <w:tc>
          <w:tcPr>
            <w:tcW w:w="1860" w:type="dxa"/>
            <w:vAlign w:val="bottom"/>
          </w:tcPr>
          <w:p>
            <w:pPr>
              <w:spacing w:after="0"/>
              <w:rPr>
                <w:sz w:val="21"/>
                <w:szCs w:val="21"/>
                <w:color w:val="auto"/>
              </w:rPr>
            </w:pPr>
          </w:p>
        </w:tc>
        <w:tc>
          <w:tcPr>
            <w:tcW w:w="3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83"/>
        </w:trPr>
        <w:tc>
          <w:tcPr>
            <w:tcW w:w="1860" w:type="dxa"/>
            <w:vAlign w:val="bottom"/>
          </w:tcPr>
          <w:p>
            <w:pPr>
              <w:spacing w:after="0"/>
              <w:rPr>
                <w:sz w:val="24"/>
                <w:szCs w:val="24"/>
                <w:color w:val="auto"/>
              </w:rPr>
            </w:pPr>
          </w:p>
        </w:tc>
        <w:tc>
          <w:tcPr>
            <w:tcW w:w="314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5" w:right="219" w:bottom="1440" w:gutter="0" w:footer="0" w:header="0"/>
        </w:sectPr>
      </w:pPr>
    </w:p>
    <w:bookmarkStart w:id="28" w:name="page29"/>
    <w:bookmarkEnd w:id="28"/>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of fragrance products were $820,149,000, $821,592,000 and</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$813,918,000 in 1998, 1997 and 1996, respectively. Sales of flavor products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$587,200,000, $605,199,000 and $622,135,000 in 1998, 1997 and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Sales in the United States, based on the final country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destination of the Company's products, were $432,035,000, $407,824,000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$413,591,000 in 1998, 1997 and 1996, respectively. No other individual country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destination exceeded 8% of consolidated sales. Sales to the Company's largest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in 1998, 1997 and 1996 accounted for 11%, 11% and 12% of worldwide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respectively. Total long-lived assets consist of net property, plant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amounted to $498,784,000, $446,509,000 and $467,797,000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1997 and 1996, respectively; of the respective totals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$204,430,000, $186,888,000 and $181,761,000 were located in the United States.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individual country had long-lived assets that exceeded 10% of 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45"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Net foreign exchange gains of $943,000 in 1998 and $1,231,000 in 1997 and net losses of $668,000 in 1996 are included in other income.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RETIREMENT BENEFITS</w:t>
      </w:r>
    </w:p>
    <w:p>
      <w:pPr>
        <w:spacing w:after="0" w:line="171" w:lineRule="exact"/>
        <w:rPr>
          <w:sz w:val="20"/>
          <w:szCs w:val="20"/>
          <w:color w:val="auto"/>
        </w:rPr>
      </w:pPr>
    </w:p>
    <w:p>
      <w:pPr>
        <w:ind w:right="3219" w:firstLine="444"/>
        <w:spacing w:after="0" w:line="275" w:lineRule="auto"/>
        <w:rPr>
          <w:sz w:val="20"/>
          <w:szCs w:val="20"/>
          <w:color w:val="auto"/>
        </w:rPr>
      </w:pPr>
      <w:r>
        <w:rPr>
          <w:rFonts w:ascii="Courier New" w:cs="Courier New" w:eastAsia="Courier New" w:hAnsi="Courier New"/>
          <w:sz w:val="14"/>
          <w:szCs w:val="14"/>
          <w:color w:val="auto"/>
        </w:rPr>
        <w:t>The Company and most of its subsidiaries have pension and/or other retirement benefit plans covering substantially all employees.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however, such funding is limited, where applicable, to amounts deductible for income tax purposes. Certain other retirement benefits are provided by balance sheet accruals. Contributions to defined contribution plans are mainly determined as a percentage of profits.</w:t>
      </w:r>
    </w:p>
    <w:p>
      <w:pPr>
        <w:spacing w:after="0" w:line="71"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In addition to pension benefits, certain health care and life insurance benefits are provided to qualifying United States employees upon retirement from the Company. Such coverage is provided through insurance plans with premiums based on benefits paid. The Company does not generally provide health care and life insurance coverage for retired employees of foreign subsidiaries; however, such benefits are provided in most foreign countries by government-sponsored plans, and the cost of these programs is not significant to the Company.</w:t>
      </w:r>
    </w:p>
    <w:p>
      <w:pPr>
        <w:spacing w:after="0" w:line="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expense included the following components: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U.S. Plans</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Non-U.S. Plans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rPr>
              <w:t>-------------------------------</w:t>
            </w:r>
            <w:r>
              <w:rPr>
                <w:rFonts w:ascii="Courier New" w:cs="Courier New" w:eastAsia="Courier New" w:hAnsi="Courier New"/>
                <w:sz w:val="8"/>
                <w:szCs w:val="8"/>
                <w:color w:val="auto"/>
                <w:w w:val="72"/>
                <w:vertAlign w:val="subscript"/>
              </w:rPr>
              <w:t>1998</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1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32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0" w:type="dxa"/>
            <w:vAlign w:val="bottom"/>
            <w:gridSpan w:val="3"/>
          </w:tcPr>
          <w:p>
            <w:pPr>
              <w:jc w:val="right"/>
              <w:ind w:right="1206"/>
              <w:spacing w:after="0"/>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Service cost for benefits earned ......</w:t>
            </w:r>
          </w:p>
        </w:tc>
        <w:tc>
          <w:tcPr>
            <w:tcW w:w="10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$ 5,886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$ 3,914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$ 4,516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$ 6,137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$ 5,819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$ 5,379</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11,690</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10,623</w:t>
            </w:r>
          </w:p>
        </w:tc>
        <w:tc>
          <w:tcPr>
            <w:tcW w:w="11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10,180</w:t>
            </w:r>
          </w:p>
        </w:tc>
        <w:tc>
          <w:tcPr>
            <w:tcW w:w="10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10,116</w:t>
            </w:r>
          </w:p>
        </w:tc>
        <w:tc>
          <w:tcPr>
            <w:tcW w:w="13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9,989</w:t>
            </w: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10,572</w:t>
            </w:r>
          </w:p>
        </w:tc>
        <w:tc>
          <w:tcPr>
            <w:tcW w:w="0" w:type="dxa"/>
            <w:vAlign w:val="bottom"/>
          </w:tcPr>
          <w:p>
            <w:pPr>
              <w:spacing w:after="0"/>
              <w:rPr>
                <w:sz w:val="1"/>
                <w:szCs w:val="1"/>
                <w:color w:val="auto"/>
              </w:rPr>
            </w:pPr>
          </w:p>
        </w:tc>
      </w:tr>
      <w:tr>
        <w:trPr>
          <w:trHeight w:val="171"/>
        </w:trPr>
        <w:tc>
          <w:tcPr>
            <w:tcW w:w="3460" w:type="dxa"/>
            <w:vAlign w:val="bottom"/>
          </w:tcPr>
          <w:p>
            <w:pPr>
              <w:ind w:left="80"/>
              <w:spacing w:after="0"/>
              <w:rPr>
                <w:sz w:val="20"/>
                <w:szCs w:val="20"/>
                <w:color w:val="auto"/>
              </w:rPr>
            </w:pPr>
            <w:r>
              <w:rPr>
                <w:rFonts w:ascii="Courier New" w:cs="Courier New" w:eastAsia="Courier New" w:hAnsi="Courier New"/>
                <w:sz w:val="15"/>
                <w:szCs w:val="15"/>
                <w:color w:val="auto"/>
                <w:w w:val="98"/>
              </w:rPr>
              <w:t>benefit obligation ...................</w:t>
            </w: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Expected return on plan assets ........</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(12,972)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(11,383)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(10,757)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(11,980)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(11,128)</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Net amortization and deferrals ........</w:t>
            </w:r>
          </w:p>
        </w:tc>
        <w:tc>
          <w:tcPr>
            <w:tcW w:w="1060" w:type="dxa"/>
            <w:vAlign w:val="bottom"/>
          </w:tcPr>
          <w:p>
            <w:pPr>
              <w:jc w:val="right"/>
              <w:ind w:right="29"/>
              <w:spacing w:after="0"/>
              <w:rPr>
                <w:sz w:val="20"/>
                <w:szCs w:val="20"/>
                <w:color w:val="auto"/>
              </w:rPr>
            </w:pPr>
            <w:r>
              <w:rPr>
                <w:rFonts w:ascii="Courier New" w:cs="Courier New" w:eastAsia="Courier New" w:hAnsi="Courier New"/>
                <w:sz w:val="15"/>
                <w:szCs w:val="15"/>
                <w:color w:val="auto"/>
              </w:rPr>
              <w:t>(98)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Defined benefit plans .................</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4,506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3,741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5,682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5,135</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Defined contribution and other</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2,386</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2,360</w:t>
            </w:r>
          </w:p>
        </w:tc>
        <w:tc>
          <w:tcPr>
            <w:tcW w:w="11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2,297</w:t>
            </w:r>
          </w:p>
        </w:tc>
        <w:tc>
          <w:tcPr>
            <w:tcW w:w="10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2,121</w:t>
            </w:r>
          </w:p>
        </w:tc>
        <w:tc>
          <w:tcPr>
            <w:tcW w:w="13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1,655</w:t>
            </w:r>
          </w:p>
        </w:tc>
        <w:tc>
          <w:tcPr>
            <w:tcW w:w="8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3,447</w:t>
            </w:r>
          </w:p>
        </w:tc>
        <w:tc>
          <w:tcPr>
            <w:tcW w:w="0" w:type="dxa"/>
            <w:vAlign w:val="bottom"/>
          </w:tcPr>
          <w:p>
            <w:pPr>
              <w:spacing w:after="0"/>
              <w:rPr>
                <w:sz w:val="1"/>
                <w:szCs w:val="1"/>
                <w:color w:val="auto"/>
              </w:rPr>
            </w:pPr>
          </w:p>
        </w:tc>
      </w:tr>
      <w:tr>
        <w:trPr>
          <w:trHeight w:val="171"/>
        </w:trPr>
        <w:tc>
          <w:tcPr>
            <w:tcW w:w="3460" w:type="dxa"/>
            <w:vAlign w:val="bottom"/>
          </w:tcPr>
          <w:p>
            <w:pPr>
              <w:ind w:left="80"/>
              <w:spacing w:after="0"/>
              <w:rPr>
                <w:sz w:val="20"/>
                <w:szCs w:val="20"/>
                <w:color w:val="auto"/>
              </w:rPr>
            </w:pPr>
            <w:r>
              <w:rPr>
                <w:rFonts w:ascii="Courier New" w:cs="Courier New" w:eastAsia="Courier New" w:hAnsi="Courier New"/>
                <w:sz w:val="15"/>
                <w:szCs w:val="15"/>
                <w:color w:val="auto"/>
                <w:w w:val="98"/>
              </w:rPr>
              <w:t>retirement plans .....................</w:t>
            </w: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Total pension expense .................</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26"/>
                <w:szCs w:val="26"/>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6,892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$ 5,283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$ 6,038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$ 7,106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$ 7,337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$ 8,582</w:t>
            </w: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Expense recognized for postretirement benefits included the following</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components:</w:t>
            </w: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(Dollars</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in thousands)</w:t>
            </w:r>
          </w:p>
        </w:tc>
        <w:tc>
          <w:tcPr>
            <w:tcW w:w="1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0"/>
                <w:szCs w:val="20"/>
                <w:color w:val="auto"/>
              </w:rPr>
            </w:pPr>
            <w:r>
              <w:rPr>
                <w:rFonts w:ascii="Courier New" w:cs="Courier New" w:eastAsia="Courier New" w:hAnsi="Courier New"/>
                <w:sz w:val="15"/>
                <w:szCs w:val="15"/>
                <w:color w:val="auto"/>
                <w:w w:val="84"/>
              </w:rPr>
              <w:t>Service cost for benefits earned ............</w:t>
            </w:r>
          </w:p>
        </w:tc>
        <w:tc>
          <w:tcPr>
            <w:tcW w:w="19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$1,505</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$1,070</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$1,368</w:t>
            </w:r>
          </w:p>
        </w:tc>
        <w:tc>
          <w:tcPr>
            <w:tcW w:w="1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4"/>
              </w:rPr>
              <w:t>Interest on benefit obligation ..............</w:t>
            </w:r>
          </w:p>
        </w:tc>
        <w:tc>
          <w:tcPr>
            <w:tcW w:w="19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3,371</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3,097</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3,377</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Net amortization and deferrals ..............</w:t>
            </w:r>
          </w:p>
        </w:tc>
        <w:tc>
          <w:tcPr>
            <w:tcW w:w="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138</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w w:val="84"/>
              </w:rPr>
              <w:t>Total postretirement benefit expense ........</w:t>
            </w:r>
          </w:p>
        </w:tc>
        <w:tc>
          <w:tcPr>
            <w:tcW w:w="1940" w:type="dxa"/>
            <w:vAlign w:val="bottom"/>
            <w:gridSpan w:val="2"/>
            <w:vMerge w:val="restart"/>
          </w:tcPr>
          <w:p>
            <w:pPr>
              <w:jc w:val="right"/>
              <w:ind w:right="5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4,904</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$4,158</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$4,883</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19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3460" w:type="dxa"/>
            <w:vAlign w:val="bottom"/>
          </w:tcPr>
          <w:p>
            <w:pPr>
              <w:spacing w:after="0"/>
              <w:rPr>
                <w:sz w:val="24"/>
                <w:szCs w:val="24"/>
                <w:color w:val="auto"/>
              </w:rPr>
            </w:pPr>
          </w:p>
        </w:tc>
        <w:tc>
          <w:tcPr>
            <w:tcW w:w="1060" w:type="dxa"/>
            <w:vAlign w:val="bottom"/>
          </w:tcPr>
          <w:p>
            <w:pPr>
              <w:jc w:val="right"/>
              <w:ind w:right="829"/>
              <w:spacing w:after="0"/>
              <w:rPr>
                <w:sz w:val="20"/>
                <w:szCs w:val="20"/>
                <w:color w:val="auto"/>
              </w:rPr>
            </w:pPr>
            <w:r>
              <w:rPr>
                <w:rFonts w:ascii="Courier New" w:cs="Courier New" w:eastAsia="Courier New" w:hAnsi="Courier New"/>
                <w:sz w:val="15"/>
                <w:szCs w:val="15"/>
                <w:color w:val="auto"/>
                <w:w w:val="77"/>
              </w:rPr>
              <w:t>26</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084"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4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NOTES TO CONSOLIDATED FINANCIAL STATEMENTS--(Continued)</w:t>
            </w: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664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Changes in pension and postretirement benefit obligations were:</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6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rPr>
              <w:t>U.S. Pension Plans</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Non-U.S. Pension Plans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Postretirement Benefits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4"/>
                <w:szCs w:val="14"/>
                <w:color w:val="auto"/>
                <w:w w:val="76"/>
                <w:vertAlign w:val="subscript"/>
              </w:rPr>
              <w:t>1998</w:t>
            </w:r>
          </w:p>
        </w:tc>
        <w:tc>
          <w:tcPr>
            <w:tcW w:w="8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1997</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3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(Dollars in thousands)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620" w:type="dxa"/>
            <w:vAlign w:val="bottom"/>
          </w:tcPr>
          <w:p>
            <w:pPr>
              <w:spacing w:after="0"/>
              <w:rPr>
                <w:sz w:val="20"/>
                <w:szCs w:val="20"/>
                <w:color w:val="auto"/>
              </w:rPr>
            </w:pPr>
            <w:r>
              <w:rPr>
                <w:rFonts w:ascii="Courier New" w:cs="Courier New" w:eastAsia="Courier New" w:hAnsi="Courier New"/>
                <w:sz w:val="15"/>
                <w:szCs w:val="15"/>
                <w:color w:val="auto"/>
              </w:rPr>
              <w:t>Benefit obligation at beginning</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w w:val="97"/>
              </w:rPr>
              <w:t>$158,736</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$133,968</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$153,758</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$156,827</w:t>
            </w: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$46,808</w:t>
            </w:r>
          </w:p>
        </w:tc>
        <w:tc>
          <w:tcPr>
            <w:tcW w:w="10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$45,939</w:t>
            </w:r>
          </w:p>
        </w:tc>
        <w:tc>
          <w:tcPr>
            <w:tcW w:w="0" w:type="dxa"/>
            <w:vAlign w:val="bottom"/>
          </w:tcPr>
          <w:p>
            <w:pPr>
              <w:spacing w:after="0"/>
              <w:rPr>
                <w:sz w:val="1"/>
                <w:szCs w:val="1"/>
                <w:color w:val="auto"/>
              </w:rPr>
            </w:pPr>
          </w:p>
        </w:tc>
      </w:tr>
      <w:tr>
        <w:trPr>
          <w:trHeight w:val="171"/>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of year .............................</w:t>
            </w:r>
          </w:p>
        </w:tc>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Service cost for benefits earned .....</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5,886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6,137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5,819</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1,070</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11,690</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10,623</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10,116</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9,989</w:t>
            </w: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3,371</w:t>
            </w:r>
          </w:p>
        </w:tc>
        <w:tc>
          <w:tcPr>
            <w:tcW w:w="10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3,097</w:t>
            </w:r>
          </w:p>
        </w:tc>
        <w:tc>
          <w:tcPr>
            <w:tcW w:w="0" w:type="dxa"/>
            <w:vAlign w:val="bottom"/>
          </w:tcPr>
          <w:p>
            <w:pPr>
              <w:spacing w:after="0"/>
              <w:rPr>
                <w:sz w:val="1"/>
                <w:szCs w:val="1"/>
                <w:color w:val="auto"/>
              </w:rPr>
            </w:pPr>
          </w:p>
        </w:tc>
      </w:tr>
      <w:tr>
        <w:trPr>
          <w:trHeight w:val="171"/>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 ..................</w:t>
            </w:r>
          </w:p>
        </w:tc>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Actuarial (gain) loss ................</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18,623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(2,470)</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Plan amendments ......................</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4,331</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 .....</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Benefits paid ........................</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(6,840)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(5,496)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(6,253)</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(6,055)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(1,028)</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Translation adjustments ..............</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10,065</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(18,370)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Benefit obligation at end of year ....</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perscript"/>
              </w:rPr>
              <w:t>--------</w:t>
            </w:r>
            <w:r>
              <w:rPr>
                <w:rFonts w:ascii="Courier New" w:cs="Courier New" w:eastAsia="Courier New" w:hAnsi="Courier New"/>
                <w:sz w:val="10"/>
                <w:szCs w:val="10"/>
                <w:color w:val="auto"/>
                <w:w w:val="70"/>
              </w:rPr>
              <w:t>188,095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$158,736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$184,910</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$153,758</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$55,933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$46,808</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w w:val="97"/>
              </w:rPr>
              <w:t>Changes in pension plan assets were:</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U.S. Plans</w:t>
            </w:r>
          </w:p>
        </w:tc>
        <w:tc>
          <w:tcPr>
            <w:tcW w:w="21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Non-U.S. Plans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9"/>
                <w:szCs w:val="19"/>
                <w:color w:val="auto"/>
                <w:w w:val="75"/>
                <w:vertAlign w:val="subscript"/>
              </w:rPr>
              <w:t>1998</w:t>
            </w:r>
          </w:p>
        </w:tc>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1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7"/>
              </w:rPr>
              <w:t>(Dollars 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w w:val="99"/>
              </w:rPr>
              <w:t>Fair value of plan assets at beginning of year .............</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$202,417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$164,334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$148,067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$148,094</w:t>
            </w:r>
          </w:p>
        </w:tc>
        <w:tc>
          <w:tcPr>
            <w:tcW w:w="0" w:type="dxa"/>
            <w:vAlign w:val="bottom"/>
          </w:tcPr>
          <w:p>
            <w:pPr>
              <w:spacing w:after="0"/>
              <w:rPr>
                <w:sz w:val="1"/>
                <w:szCs w:val="1"/>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84"/>
              </w:rPr>
              <w:t>Actual return on plan assets ...............................</w:t>
            </w:r>
          </w:p>
        </w:tc>
        <w:tc>
          <w:tcPr>
            <w:tcW w:w="8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38,044</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37,598</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8,341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17,565</w:t>
            </w:r>
          </w:p>
        </w:tc>
        <w:tc>
          <w:tcPr>
            <w:tcW w:w="0" w:type="dxa"/>
            <w:vAlign w:val="bottom"/>
          </w:tcPr>
          <w:p>
            <w:pPr>
              <w:spacing w:after="0"/>
              <w:rPr>
                <w:sz w:val="1"/>
                <w:szCs w:val="1"/>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84"/>
              </w:rPr>
              <w:t>Employer contributions .....................................</w:t>
            </w:r>
          </w:p>
        </w:tc>
        <w:tc>
          <w:tcPr>
            <w:tcW w:w="8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5,981</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5,319</w:t>
            </w:r>
          </w:p>
        </w:tc>
        <w:tc>
          <w:tcPr>
            <w:tcW w:w="0" w:type="dxa"/>
            <w:vAlign w:val="bottom"/>
          </w:tcPr>
          <w:p>
            <w:pPr>
              <w:spacing w:after="0"/>
              <w:rPr>
                <w:sz w:val="1"/>
                <w:szCs w:val="1"/>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84"/>
              </w:rPr>
              <w:t>Plan participants' contributions ...........................</w:t>
            </w:r>
          </w:p>
        </w:tc>
        <w:tc>
          <w:tcPr>
            <w:tcW w:w="8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84"/>
              </w:rPr>
              <w:t>Benefits paid ..............................................</w:t>
            </w:r>
          </w:p>
        </w:tc>
        <w:tc>
          <w:tcPr>
            <w:tcW w:w="8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(6,840)</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(6,055)</w:t>
            </w:r>
          </w:p>
        </w:tc>
        <w:tc>
          <w:tcPr>
            <w:tcW w:w="0" w:type="dxa"/>
            <w:vAlign w:val="bottom"/>
          </w:tcPr>
          <w:p>
            <w:pPr>
              <w:spacing w:after="0"/>
              <w:rPr>
                <w:sz w:val="1"/>
                <w:szCs w:val="1"/>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84"/>
              </w:rPr>
              <w:t>Translation adjustments ....................................</w:t>
            </w:r>
          </w:p>
        </w:tc>
        <w:tc>
          <w:tcPr>
            <w:tcW w:w="8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9,009</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(16,950)</w:t>
            </w: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Fair value of plan assets at end of year</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perscript"/>
              </w:rPr>
              <w:t>--------</w:t>
            </w:r>
            <w:r>
              <w:rPr>
                <w:rFonts w:ascii="Courier New" w:cs="Courier New" w:eastAsia="Courier New" w:hAnsi="Courier New"/>
                <w:sz w:val="13"/>
                <w:szCs w:val="13"/>
                <w:color w:val="auto"/>
                <w:w w:val="72"/>
              </w:rPr>
              <w:t>236,468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vMerge w:val="continue"/>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$202,417</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$164,803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$148,067</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funded status of pension and postretirement plans at December 31 was: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U.S. Pension Plans</w:t>
            </w:r>
          </w:p>
        </w:tc>
        <w:tc>
          <w:tcPr>
            <w:tcW w:w="22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Non-U.S. Pension Plans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Postretirement Benefits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vMerge w:val="restart"/>
          </w:tcPr>
          <w:p>
            <w:pPr>
              <w:ind w:left="14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1998</w:t>
            </w: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2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(Dollars in thousands)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580" w:type="dxa"/>
            <w:vAlign w:val="bottom"/>
          </w:tcPr>
          <w:p>
            <w:pPr>
              <w:spacing w:after="0"/>
              <w:rPr>
                <w:sz w:val="20"/>
                <w:szCs w:val="20"/>
                <w:color w:val="auto"/>
              </w:rPr>
            </w:pPr>
            <w:r>
              <w:rPr>
                <w:rFonts w:ascii="Courier New" w:cs="Courier New" w:eastAsia="Courier New" w:hAnsi="Courier New"/>
                <w:sz w:val="15"/>
                <w:szCs w:val="15"/>
                <w:color w:val="auto"/>
              </w:rPr>
              <w:t>Plan assets in excess of (less than)</w:t>
            </w:r>
          </w:p>
        </w:tc>
        <w:tc>
          <w:tcPr>
            <w:tcW w:w="1120" w:type="dxa"/>
            <w:vAlign w:val="bottom"/>
            <w:vMerge w:val="restart"/>
          </w:tcPr>
          <w:p>
            <w:pPr>
              <w:jc w:val="right"/>
              <w:ind w:right="290"/>
              <w:spacing w:after="0"/>
              <w:rPr>
                <w:sz w:val="20"/>
                <w:szCs w:val="20"/>
                <w:color w:val="auto"/>
              </w:rPr>
            </w:pPr>
            <w:r>
              <w:rPr>
                <w:rFonts w:ascii="Courier New" w:cs="Courier New" w:eastAsia="Courier New" w:hAnsi="Courier New"/>
                <w:sz w:val="15"/>
                <w:szCs w:val="15"/>
                <w:color w:val="auto"/>
              </w:rPr>
              <w:t>$48,373</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5"/>
              </w:rPr>
              <w:t>$43,681</w:t>
            </w:r>
          </w:p>
        </w:tc>
        <w:tc>
          <w:tcPr>
            <w:tcW w:w="12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$(20,107)</w:t>
            </w:r>
          </w:p>
        </w:tc>
        <w:tc>
          <w:tcPr>
            <w:tcW w:w="10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$(5,691)</w:t>
            </w:r>
          </w:p>
        </w:tc>
        <w:tc>
          <w:tcPr>
            <w:tcW w:w="11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$(55,933)</w:t>
            </w:r>
          </w:p>
        </w:tc>
        <w:tc>
          <w:tcPr>
            <w:tcW w:w="10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$(46,808)</w:t>
            </w:r>
          </w:p>
        </w:tc>
        <w:tc>
          <w:tcPr>
            <w:tcW w:w="0" w:type="dxa"/>
            <w:vAlign w:val="bottom"/>
          </w:tcPr>
          <w:p>
            <w:pPr>
              <w:spacing w:after="0"/>
              <w:rPr>
                <w:sz w:val="1"/>
                <w:szCs w:val="1"/>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projected benefit obligation .........</w:t>
            </w:r>
          </w:p>
        </w:tc>
        <w:tc>
          <w:tcPr>
            <w:tcW w:w="1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Remaining balance of unrecognized</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net (asset) liability established</w:t>
            </w:r>
          </w:p>
        </w:tc>
        <w:tc>
          <w:tcPr>
            <w:tcW w:w="1120" w:type="dxa"/>
            <w:vAlign w:val="bottom"/>
            <w:vMerge w:val="restart"/>
          </w:tcPr>
          <w:p>
            <w:pPr>
              <w:jc w:val="right"/>
              <w:ind w:right="210"/>
              <w:spacing w:after="0"/>
              <w:rPr>
                <w:sz w:val="20"/>
                <w:szCs w:val="20"/>
                <w:color w:val="auto"/>
              </w:rPr>
            </w:pPr>
            <w:r>
              <w:rPr>
                <w:rFonts w:ascii="Courier New" w:cs="Courier New" w:eastAsia="Courier New" w:hAnsi="Courier New"/>
                <w:sz w:val="15"/>
                <w:szCs w:val="15"/>
                <w:color w:val="auto"/>
              </w:rPr>
              <w:t>(2,856)</w:t>
            </w:r>
          </w:p>
        </w:tc>
        <w:tc>
          <w:tcPr>
            <w:tcW w:w="84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(3,477)</w:t>
            </w:r>
          </w:p>
        </w:tc>
        <w:tc>
          <w:tcPr>
            <w:tcW w:w="12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1,589</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1,526</w:t>
            </w:r>
          </w:p>
        </w:tc>
        <w:tc>
          <w:tcPr>
            <w:tcW w:w="11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at adoption of FAS 87 ................</w:t>
            </w:r>
          </w:p>
        </w:tc>
        <w:tc>
          <w:tcPr>
            <w:tcW w:w="1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Unrecognized prior service cost .......</w:t>
            </w:r>
          </w:p>
        </w:tc>
        <w:tc>
          <w:tcPr>
            <w:tcW w:w="112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4,505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6,371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6,585</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Unrecognized net (gain) loss ..........</w:t>
            </w:r>
          </w:p>
        </w:tc>
        <w:tc>
          <w:tcPr>
            <w:tcW w:w="112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(45,384)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(38,811)</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10,996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(3,841)</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6,348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w:t>
            </w:r>
          </w:p>
        </w:tc>
        <w:tc>
          <w:tcPr>
            <w:tcW w:w="0" w:type="dxa"/>
            <w:vAlign w:val="bottom"/>
          </w:tcPr>
          <w:p>
            <w:pPr>
              <w:spacing w:after="0"/>
              <w:rPr>
                <w:sz w:val="1"/>
                <w:szCs w:val="1"/>
                <w:color w:val="auto"/>
              </w:rPr>
            </w:pPr>
          </w:p>
        </w:tc>
      </w:tr>
      <w:tr>
        <w:trPr>
          <w:trHeight w:val="171"/>
        </w:trPr>
        <w:tc>
          <w:tcPr>
            <w:tcW w:w="358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Net asset (liability) .................</w:t>
            </w:r>
          </w:p>
        </w:tc>
        <w:tc>
          <w:tcPr>
            <w:tcW w:w="1120" w:type="dxa"/>
            <w:vAlign w:val="bottom"/>
            <w:vMerge w:val="restart"/>
          </w:tcPr>
          <w:p>
            <w:pPr>
              <w:jc w:val="right"/>
              <w:ind w:right="290"/>
              <w:spacing w:after="0"/>
              <w:rPr>
                <w:sz w:val="20"/>
                <w:szCs w:val="20"/>
                <w:color w:val="auto"/>
              </w:rPr>
            </w:pP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4,638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$ 6,297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(1,151)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$(49,411)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$(46,211)</w:t>
            </w:r>
          </w:p>
        </w:tc>
        <w:tc>
          <w:tcPr>
            <w:tcW w:w="0" w:type="dxa"/>
            <w:vAlign w:val="bottom"/>
          </w:tcPr>
          <w:p>
            <w:pPr>
              <w:spacing w:after="0"/>
              <w:rPr>
                <w:sz w:val="1"/>
                <w:szCs w:val="1"/>
                <w:color w:val="auto"/>
              </w:rPr>
            </w:pPr>
          </w:p>
        </w:tc>
      </w:tr>
      <w:tr>
        <w:trPr>
          <w:trHeight w:val="249"/>
        </w:trPr>
        <w:tc>
          <w:tcPr>
            <w:tcW w:w="358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assets and liabilities included in the Consolidated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880" w:type="dxa"/>
            <w:vAlign w:val="bottom"/>
          </w:tcPr>
          <w:p>
            <w:pPr>
              <w:spacing w:after="0"/>
              <w:rPr>
                <w:sz w:val="20"/>
                <w:szCs w:val="20"/>
                <w:color w:val="auto"/>
              </w:rPr>
            </w:pPr>
            <w:r>
              <w:rPr>
                <w:rFonts w:ascii="Courier New" w:cs="Courier New" w:eastAsia="Courier New" w:hAnsi="Courier New"/>
                <w:sz w:val="15"/>
                <w:szCs w:val="15"/>
                <w:color w:val="auto"/>
              </w:rPr>
              <w:t>at December 31 were:</w:t>
            </w: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160" w:type="dxa"/>
            <w:vAlign w:val="bottom"/>
            <w:gridSpan w:val="2"/>
          </w:tcPr>
          <w:p>
            <w:pPr>
              <w:jc w:val="right"/>
              <w:ind w:right="706"/>
              <w:spacing w:after="0"/>
              <w:rPr>
                <w:sz w:val="20"/>
                <w:szCs w:val="20"/>
                <w:color w:val="auto"/>
              </w:rPr>
            </w:pPr>
            <w:r>
              <w:rPr>
                <w:rFonts w:ascii="Courier New" w:cs="Courier New" w:eastAsia="Courier New" w:hAnsi="Courier New"/>
                <w:sz w:val="15"/>
                <w:szCs w:val="15"/>
                <w:color w:val="auto"/>
              </w:rPr>
              <w:t>U.S. Plans</w:t>
            </w:r>
          </w:p>
        </w:tc>
        <w:tc>
          <w:tcPr>
            <w:tcW w:w="2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Non-U.S. Plans</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0" w:type="dxa"/>
            <w:vAlign w:val="bottom"/>
            <w:vMerge w:val="restart"/>
          </w:tcPr>
          <w:p>
            <w:pPr>
              <w:ind w:left="220"/>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4"/>
                <w:szCs w:val="14"/>
                <w:color w:val="auto"/>
                <w:w w:val="76"/>
                <w:vertAlign w:val="subscript"/>
              </w:rPr>
              <w:t>1998</w:t>
            </w:r>
          </w:p>
        </w:tc>
        <w:tc>
          <w:tcPr>
            <w:tcW w:w="9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2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(Dollars in thousands)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0"/>
                <w:szCs w:val="20"/>
                <w:color w:val="auto"/>
              </w:rPr>
            </w:pPr>
            <w:r>
              <w:rPr>
                <w:rFonts w:ascii="Courier New" w:cs="Courier New" w:eastAsia="Courier New" w:hAnsi="Courier New"/>
                <w:sz w:val="15"/>
                <w:szCs w:val="15"/>
                <w:color w:val="auto"/>
              </w:rPr>
              <w:t>Prepaid benefit cost ..........</w:t>
            </w:r>
          </w:p>
        </w:tc>
        <w:tc>
          <w:tcPr>
            <w:tcW w:w="120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$ 20,331</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$ 19,845</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$ 6,191</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$ 5,291</w:t>
            </w:r>
          </w:p>
        </w:tc>
        <w:tc>
          <w:tcPr>
            <w:tcW w:w="0" w:type="dxa"/>
            <w:vAlign w:val="bottom"/>
          </w:tcPr>
          <w:p>
            <w:pPr>
              <w:spacing w:after="0"/>
              <w:rPr>
                <w:sz w:val="1"/>
                <w:szCs w:val="1"/>
                <w:color w:val="auto"/>
              </w:rPr>
            </w:pPr>
          </w:p>
        </w:tc>
      </w:tr>
      <w:tr>
        <w:trPr>
          <w:trHeight w:val="249"/>
        </w:trPr>
        <w:tc>
          <w:tcPr>
            <w:tcW w:w="2880" w:type="dxa"/>
            <w:vAlign w:val="bottom"/>
          </w:tcPr>
          <w:p>
            <w:pPr>
              <w:spacing w:after="0"/>
              <w:rPr>
                <w:sz w:val="20"/>
                <w:szCs w:val="20"/>
                <w:color w:val="auto"/>
              </w:rPr>
            </w:pPr>
            <w:r>
              <w:rPr>
                <w:rFonts w:ascii="Courier New" w:cs="Courier New" w:eastAsia="Courier New" w:hAnsi="Courier New"/>
                <w:sz w:val="15"/>
                <w:szCs w:val="15"/>
                <w:color w:val="auto"/>
              </w:rPr>
              <w:t>Accrued benefit liability .....</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(15,693)</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(13,548)</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(6,712)</w:t>
            </w:r>
          </w:p>
        </w:tc>
        <w:tc>
          <w:tcPr>
            <w:tcW w:w="0" w:type="dxa"/>
            <w:vAlign w:val="bottom"/>
          </w:tcPr>
          <w:p>
            <w:pPr>
              <w:spacing w:after="0"/>
              <w:rPr>
                <w:sz w:val="1"/>
                <w:szCs w:val="1"/>
                <w:color w:val="auto"/>
              </w:rPr>
            </w:pPr>
          </w:p>
        </w:tc>
      </w:tr>
      <w:tr>
        <w:trPr>
          <w:trHeight w:val="512"/>
        </w:trPr>
        <w:tc>
          <w:tcPr>
            <w:tcW w:w="2880" w:type="dxa"/>
            <w:vAlign w:val="bottom"/>
          </w:tcPr>
          <w:p>
            <w:pPr>
              <w:spacing w:after="0"/>
              <w:rPr>
                <w:sz w:val="24"/>
                <w:szCs w:val="24"/>
                <w:color w:val="auto"/>
              </w:rPr>
            </w:pPr>
          </w:p>
        </w:tc>
        <w:tc>
          <w:tcPr>
            <w:tcW w:w="120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27</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401" w:gutter="0" w:footer="0" w:header="0"/>
        </w:sectPr>
      </w:pPr>
    </w:p>
    <w:bookmarkStart w:id="30" w:name="page31"/>
    <w:bookmarkEnd w:id="30"/>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Principal weighted average actuarial assumptions used to determine the above pension data were: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U.S. Plans</w:t>
            </w: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Non-U.S. Plans</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160" w:type="dxa"/>
            <w:vAlign w:val="bottom"/>
            <w:vMerge w:val="restart"/>
          </w:tcPr>
          <w:p>
            <w:pPr>
              <w:ind w:left="180"/>
              <w:spacing w:after="0"/>
              <w:rPr>
                <w:sz w:val="20"/>
                <w:szCs w:val="20"/>
                <w:color w:val="auto"/>
              </w:rPr>
            </w:pPr>
            <w:r>
              <w:rPr>
                <w:rFonts w:ascii="Courier New" w:cs="Courier New" w:eastAsia="Courier New" w:hAnsi="Courier New"/>
                <w:sz w:val="19"/>
                <w:szCs w:val="19"/>
                <w:color w:val="auto"/>
                <w:w w:val="74"/>
                <w:vertAlign w:val="subscript"/>
              </w:rPr>
              <w:t>1998</w:t>
            </w:r>
            <w:r>
              <w:rPr>
                <w:rFonts w:ascii="Courier New" w:cs="Courier New" w:eastAsia="Courier New" w:hAnsi="Courier New"/>
                <w:sz w:val="11"/>
                <w:szCs w:val="11"/>
                <w:color w:val="auto"/>
                <w:w w:val="74"/>
              </w:rPr>
              <w:t>---------------</w:t>
            </w:r>
          </w:p>
        </w:tc>
        <w:tc>
          <w:tcPr>
            <w:tcW w:w="6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88"/>
              </w:rPr>
              <w:t>1997</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Discount rate ..........................</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6.7%</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7.2%</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5.3%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rate of</w:t>
            </w:r>
          </w:p>
        </w:tc>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4.5%</w:t>
            </w:r>
          </w:p>
        </w:tc>
        <w:tc>
          <w:tcPr>
            <w:tcW w:w="6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88"/>
              </w:rPr>
              <w:t>4.5%</w:t>
            </w:r>
          </w:p>
        </w:tc>
        <w:tc>
          <w:tcPr>
            <w:tcW w:w="9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2.8%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compensation increase ................</w:t>
            </w:r>
          </w:p>
        </w:tc>
        <w:tc>
          <w:tcPr>
            <w:tcW w:w="1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Long-term rate of return</w:t>
            </w:r>
          </w:p>
        </w:tc>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8.0%</w:t>
            </w:r>
          </w:p>
        </w:tc>
        <w:tc>
          <w:tcPr>
            <w:tcW w:w="6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88"/>
              </w:rPr>
              <w:t>8.0%</w:t>
            </w:r>
          </w:p>
        </w:tc>
        <w:tc>
          <w:tcPr>
            <w:tcW w:w="9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7.3%</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249"/>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on plan assets .......................</w:t>
            </w:r>
          </w:p>
        </w:tc>
        <w:tc>
          <w:tcPr>
            <w:tcW w:w="11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Principal actuarial assumptions used to determine the above postretirement data were: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Discount rate ..................................</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Initial medical cost trend rate ................</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Ultimate medical cost trend rate ...............</w:t>
            </w: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Medical cost trend rate decreases to</w:t>
            </w:r>
          </w:p>
        </w:tc>
        <w:tc>
          <w:tcPr>
            <w:tcW w:w="106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2003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9"/>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ultimate rate in year ........................</w:t>
            </w:r>
          </w:p>
        </w:tc>
        <w:tc>
          <w:tcPr>
            <w:tcW w:w="10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effect of a 1% increase in the assumed medical rate of inflation would increase the accumulated postretirement benefit obligation, and the annual postretirement expense, by approximately $9,900,000 and $1,100,000, respectively; a 1% decrease in the rate would decrease the obligation and expense by approximately $7,800,000 and $800,000, respectively.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FINANCIAL INSTRUMENTS AND CONCENTRATIONS OF CREDIT RISK</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 uses forward exchange contracts to reduce its exposure to fluctuations in foreign currency exchange rates. These contracts, the counterparties to which are major international financial institutions, generally involve the exchange of one currency for a second currency at a future date, and have maturities which do not exceed six months. Gains and losses on such contracts are recognized in income as incurred, effectively offsetting the losses and gains on the foreign currency transactions that are hedged. At December 31, 1998 and 1997, the value of outstanding foreign currency exchange contracts was not material.</w:t>
      </w:r>
    </w:p>
    <w:p>
      <w:pPr>
        <w:spacing w:after="0" w:line="8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Company has no significant concentrations of risk in financial instruments. Temporary cash investments are made in a well-diversified portfolio of high-quality, liquid obligations of government, corporate and financial institutions. There are also limited concentrations of credit risk with respect to trade receivables because of the large number of customers spread across many industries and geographic areas.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CONTINGENT LIABILITIES</w:t>
      </w:r>
    </w:p>
    <w:p>
      <w:pPr>
        <w:spacing w:after="0" w:line="171"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liability resulting from those actions or claims will not have a material adverse effect on the Company's financial condition, results of operations or liquidity.</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775" w:right="1440" w:bottom="1440" w:gutter="0" w:footer="0" w:header="0"/>
        </w:sectPr>
      </w:pPr>
    </w:p>
    <w:bookmarkStart w:id="31" w:name="page32"/>
    <w:bookmarkEnd w:id="31"/>
    <w:p>
      <w:pPr>
        <w:ind w:left="21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145"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In our opinion, the consolidated financial statements listed in the index appearing under Item 8 on page 13 present fairly, in all material respects, the financial position of International Flavors &amp; Fragrances Inc. and its subsidiaries at December 31, 1998 and 1997, and the results of their operations and their cash flows for each of the three years in the period ended December 31,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1301 Avenue of the Americas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75" w:right="1440" w:bottom="1440" w:gutter="0" w:footer="0" w:header="0"/>
        </w:sectPr>
      </w:pPr>
    </w:p>
    <w:bookmarkStart w:id="32" w:name="page33"/>
    <w:bookmarkEnd w:id="32"/>
    <w:p>
      <w:pPr>
        <w:spacing w:after="0" w:line="8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1" w:lineRule="exact"/>
        <w:rPr>
          <w:sz w:val="20"/>
          <w:szCs w:val="20"/>
          <w:color w:val="auto"/>
        </w:rPr>
      </w:pPr>
    </w:p>
    <w:p>
      <w:pPr>
        <w:ind w:left="780" w:hanging="34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Item 8 on page 13.</w:t>
      </w:r>
    </w:p>
    <w:p>
      <w:pPr>
        <w:spacing w:after="0" w:line="171" w:lineRule="exact"/>
        <w:rPr>
          <w:rFonts w:ascii="Courier New" w:cs="Courier New" w:eastAsia="Courier New" w:hAnsi="Courier New"/>
          <w:sz w:val="15"/>
          <w:szCs w:val="15"/>
          <w:color w:val="auto"/>
        </w:rPr>
      </w:pPr>
    </w:p>
    <w:p>
      <w:pPr>
        <w:ind w:left="780" w:right="3579" w:hanging="345"/>
        <w:spacing w:after="0" w:line="353"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on Form 8-K was filed during the last quarter of the year ended December 31, 1998 on October 5, 1998.</w:t>
      </w:r>
    </w:p>
    <w:p>
      <w:pPr>
        <w:spacing w:after="0" w:line="1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580" w:hanging="1323"/>
        <w:spacing w:after="0"/>
        <w:tabs>
          <w:tab w:leader="none" w:pos="1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45" w:lineRule="exact"/>
        <w:rPr>
          <w:sz w:val="20"/>
          <w:szCs w:val="20"/>
          <w:color w:val="auto"/>
        </w:rPr>
      </w:pPr>
    </w:p>
    <w:p>
      <w:pPr>
        <w:ind w:left="1580" w:right="3119" w:hanging="1323"/>
        <w:spacing w:after="0" w:line="278"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Registrant, incorporated by reference to Exhibit 3 to Registrant's Report on Form 10-K for fiscal year ended December 31, 1993 (File No. 1-4858).</w:t>
      </w:r>
    </w:p>
    <w:p>
      <w:pPr>
        <w:spacing w:after="0" w:line="6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By-laws of Registrant, incorporated by reference to Exhibit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3(b) to Registrant's Report on Form 10-K for fiscal year ended</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December 31, 1993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to By-laws adopted December 12, 1996, incorporated</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by reference to Exhibit 3(c) to Registrant's Report on Form</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10-K for the fiscal year ended December 31, 1996 (File No.</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to By-laws adopted May 8, 1997, incorporated by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reference to Exhibit 3(a) to Registrant's Report on Form 10-Q</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August 13, 1997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Amendments to By-laws adopted March 10, 1998, incorporated by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reference to Exhibit 3(a) to Registrant's Report on Form 10-Q</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May 14, 1998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Shareholder Protection Rights Agreement dated as of February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20, 1990 between Registrant and The Bank of New York, as</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Rights Agent, incorporated by reference to Exhibit 4(a)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Registrant's Report on Form 10-Q dated May 14, 1997 (File No.</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No. 1 dated as of April 6, 1990 to Shareholder</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Protection Rights Agreement,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Exhibit 4(b) to Registrant's Report on Form 10-Q dated May 14,</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1997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No. 2 dated as of March 8, 1994 to Shareholder</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Protection Rights Agreement,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Exhibit 4(c) to Registrant's Report on Form 10-K for fiscal</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year ended December 31, 1993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Amended and Restated Shareholder Protection Rights Agreement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as of September 25, 1998,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Exhibit (4) to Registrant's Report on Form 8-K dated September</w:t>
            </w:r>
          </w:p>
        </w:tc>
      </w:tr>
      <w:tr>
        <w:trPr>
          <w:trHeight w:val="249"/>
        </w:trPr>
        <w:tc>
          <w:tcPr>
            <w:tcW w:w="920" w:type="dxa"/>
            <w:vAlign w:val="bottom"/>
          </w:tcPr>
          <w:p>
            <w:pPr>
              <w:spacing w:after="0"/>
              <w:rPr>
                <w:sz w:val="21"/>
                <w:szCs w:val="21"/>
                <w:color w:val="auto"/>
              </w:rPr>
            </w:pP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25,</w:t>
            </w:r>
          </w:p>
        </w:tc>
        <w:tc>
          <w:tcPr>
            <w:tcW w:w="5200" w:type="dxa"/>
            <w:vAlign w:val="bottom"/>
          </w:tcPr>
          <w:p>
            <w:pPr>
              <w:jc w:val="right"/>
              <w:ind w:right="4646"/>
              <w:spacing w:after="0"/>
              <w:rPr>
                <w:sz w:val="20"/>
                <w:szCs w:val="20"/>
                <w:color w:val="auto"/>
              </w:rPr>
            </w:pPr>
            <w:r>
              <w:rPr>
                <w:rFonts w:ascii="Courier New" w:cs="Courier New" w:eastAsia="Courier New" w:hAnsi="Courier New"/>
                <w:sz w:val="15"/>
                <w:szCs w:val="15"/>
                <w:color w:val="auto"/>
              </w:rPr>
              <w:t>1998.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4(ccc)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First Amendment dated as of March 9, 1999 to the Amended and</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Restated Shareholder Protection Rights Agreement.</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Specimen certificates of Registrant's Common Stock bearing</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legend notifying of Shareholder Protection Rights Agreement,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incorporated by reference to Exhibit 4(d) to Registrant's</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Report on Form 10-Q dated May 14, 1997 (File No. 1-4858).</w:t>
            </w:r>
          </w:p>
        </w:tc>
      </w:tr>
    </w:tbl>
    <w:p>
      <w:pPr>
        <w:spacing w:after="0" w:line="92" w:lineRule="exact"/>
        <w:rPr>
          <w:sz w:val="20"/>
          <w:szCs w:val="20"/>
          <w:color w:val="auto"/>
        </w:rPr>
      </w:pPr>
    </w:p>
    <w:p>
      <w:pPr>
        <w:ind w:left="1580" w:hanging="1323"/>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Agreement dated as of January 1, 1997 between Registrant and</w:t>
            </w:r>
          </w:p>
        </w:tc>
      </w:tr>
      <w:tr>
        <w:trPr>
          <w:trHeight w:val="171"/>
        </w:trPr>
        <w:tc>
          <w:tcPr>
            <w:tcW w:w="940" w:type="dxa"/>
            <w:vAlign w:val="bottom"/>
          </w:tcPr>
          <w:p>
            <w:pPr>
              <w:spacing w:after="0"/>
              <w:rPr>
                <w:sz w:val="14"/>
                <w:szCs w:val="14"/>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Eugene P. Grisanti, Chairman and President</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of Registrant,</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incorporated</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Exhibit 10(a)</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to Registrant's</w:t>
            </w:r>
          </w:p>
        </w:tc>
      </w:tr>
      <w:tr>
        <w:trPr>
          <w:trHeight w:val="249"/>
        </w:trPr>
        <w:tc>
          <w:tcPr>
            <w:tcW w:w="940" w:type="dxa"/>
            <w:vAlign w:val="bottom"/>
          </w:tcPr>
          <w:p>
            <w:pPr>
              <w:spacing w:after="0"/>
              <w:rPr>
                <w:sz w:val="21"/>
                <w:szCs w:val="21"/>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Report on Form 10-Q dated May 14, 1997 (File No. 1-4858).</w:t>
            </w: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Form of Executive Severance Agreement approved by Registrant's</w:t>
            </w:r>
          </w:p>
        </w:tc>
      </w:tr>
      <w:tr>
        <w:trPr>
          <w:trHeight w:val="171"/>
        </w:trPr>
        <w:tc>
          <w:tcPr>
            <w:tcW w:w="940" w:type="dxa"/>
            <w:vAlign w:val="bottom"/>
          </w:tcPr>
          <w:p>
            <w:pPr>
              <w:spacing w:after="0"/>
              <w:rPr>
                <w:sz w:val="14"/>
                <w:szCs w:val="14"/>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Board of Directors on February 14, 1989 incorporated by</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reference to</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Exhibit 10(b) to Registrant's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Report on Form</w:t>
            </w:r>
          </w:p>
        </w:tc>
      </w:tr>
      <w:tr>
        <w:trPr>
          <w:trHeight w:val="249"/>
        </w:trPr>
        <w:tc>
          <w:tcPr>
            <w:tcW w:w="940" w:type="dxa"/>
            <w:vAlign w:val="bottom"/>
          </w:tcPr>
          <w:p>
            <w:pPr>
              <w:spacing w:after="0"/>
              <w:rPr>
                <w:sz w:val="21"/>
                <w:szCs w:val="21"/>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10-Q dated May 14, 1997 (File No. 1-4858).</w:t>
            </w:r>
          </w:p>
        </w:tc>
        <w:tc>
          <w:tcPr>
            <w:tcW w:w="1740" w:type="dxa"/>
            <w:vAlign w:val="bottom"/>
          </w:tcPr>
          <w:p>
            <w:pPr>
              <w:spacing w:after="0"/>
              <w:rPr>
                <w:sz w:val="21"/>
                <w:szCs w:val="21"/>
                <w:color w:val="auto"/>
              </w:rPr>
            </w:pP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Death Benefit Plan effective July 1,</w:t>
            </w:r>
          </w:p>
        </w:tc>
      </w:tr>
      <w:tr>
        <w:trPr>
          <w:trHeight w:val="171"/>
        </w:trPr>
        <w:tc>
          <w:tcPr>
            <w:tcW w:w="940" w:type="dxa"/>
            <w:vAlign w:val="bottom"/>
          </w:tcPr>
          <w:p>
            <w:pPr>
              <w:spacing w:after="0"/>
              <w:rPr>
                <w:sz w:val="14"/>
                <w:szCs w:val="14"/>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1990, incorporated by reference to Exhibit</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10(c) to</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Report on Form 10-Q dated May</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14, 1997 (File No.</w:t>
            </w:r>
          </w:p>
        </w:tc>
      </w:tr>
      <w:tr>
        <w:trPr>
          <w:trHeight w:val="249"/>
        </w:trPr>
        <w:tc>
          <w:tcPr>
            <w:tcW w:w="940" w:type="dxa"/>
            <w:vAlign w:val="bottom"/>
          </w:tcPr>
          <w:p>
            <w:pPr>
              <w:spacing w:after="0"/>
              <w:rPr>
                <w:sz w:val="21"/>
                <w:szCs w:val="21"/>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1-4858).</w:t>
            </w:r>
          </w:p>
        </w:tc>
        <w:tc>
          <w:tcPr>
            <w:tcW w:w="26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Supplemental</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Retirement Investment Plan adopted by</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Board of Directors on November 14, 1989</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incorporated</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Exhibit 10(d)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to Registrant's</w:t>
            </w:r>
          </w:p>
        </w:tc>
      </w:tr>
      <w:tr>
        <w:trPr>
          <w:trHeight w:val="249"/>
        </w:trPr>
        <w:tc>
          <w:tcPr>
            <w:tcW w:w="940" w:type="dxa"/>
            <w:vAlign w:val="bottom"/>
          </w:tcPr>
          <w:p>
            <w:pPr>
              <w:spacing w:after="0"/>
              <w:rPr>
                <w:sz w:val="21"/>
                <w:szCs w:val="21"/>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Report on Form 10-Q dated May 14, 1997 (File No. 1-4858).</w:t>
            </w: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Supplemental</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Retirement Plan adopted by Board of Directors on</w:t>
            </w:r>
          </w:p>
        </w:tc>
      </w:tr>
      <w:tr>
        <w:trPr>
          <w:trHeight w:val="171"/>
        </w:trPr>
        <w:tc>
          <w:tcPr>
            <w:tcW w:w="940" w:type="dxa"/>
            <w:vAlign w:val="bottom"/>
          </w:tcPr>
          <w:p>
            <w:pPr>
              <w:spacing w:after="0"/>
              <w:rPr>
                <w:sz w:val="14"/>
                <w:szCs w:val="14"/>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October 29, 1986, incorporated by reference to Exhibit 10(e)</w:t>
            </w:r>
          </w:p>
        </w:tc>
      </w:tr>
      <w:tr>
        <w:trPr>
          <w:trHeight w:val="249"/>
        </w:trPr>
        <w:tc>
          <w:tcPr>
            <w:tcW w:w="940" w:type="dxa"/>
            <w:vAlign w:val="bottom"/>
          </w:tcPr>
          <w:p>
            <w:pPr>
              <w:spacing w:after="0"/>
              <w:rPr>
                <w:sz w:val="21"/>
                <w:szCs w:val="21"/>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to Registrant's Report on Form 10-Q dated May 14, 1997 (File</w:t>
            </w:r>
          </w:p>
        </w:tc>
      </w:tr>
    </w:tbl>
    <w:p>
      <w:pPr>
        <w:sectPr>
          <w:pgSz w:w="11900" w:h="16926" w:orient="portrait"/>
          <w:cols w:equalWidth="0" w:num="1">
            <w:col w:w="10219"/>
          </w:cols>
          <w:pgMar w:left="240" w:top="775" w:right="1440" w:bottom="0" w:gutter="0" w:footer="0" w:header="0"/>
        </w:sectPr>
      </w:pPr>
    </w:p>
    <w:bookmarkStart w:id="33" w:name="page34"/>
    <w:bookmarkEnd w:id="33"/>
    <w:p>
      <w:pPr>
        <w:ind w:left="380"/>
        <w:spacing w:after="0"/>
        <w:rPr>
          <w:sz w:val="20"/>
          <w:szCs w:val="20"/>
          <w:color w:val="auto"/>
        </w:rPr>
      </w:pPr>
      <w:r>
        <w:rPr>
          <w:rFonts w:ascii="Courier New" w:cs="Courier New" w:eastAsia="Courier New" w:hAnsi="Courier New"/>
          <w:sz w:val="15"/>
          <w:szCs w:val="15"/>
          <w:color w:val="auto"/>
        </w:rPr>
        <w:t>No. 1-4858).</w:t>
      </w:r>
    </w:p>
    <w:p>
      <w:pPr>
        <w:spacing w:after="0" w:line="171"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115"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6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w w:val="98"/>
              </w:rPr>
              <w:t>Restated Management Incentive Compensation Plan of Registrant,</w:t>
            </w:r>
          </w:p>
        </w:tc>
        <w:tc>
          <w:tcPr>
            <w:tcW w:w="0" w:type="dxa"/>
            <w:vAlign w:val="bottom"/>
          </w:tcPr>
          <w:p>
            <w:pPr>
              <w:spacing w:after="0"/>
              <w:rPr>
                <w:sz w:val="1"/>
                <w:szCs w:val="1"/>
                <w:color w:val="auto"/>
              </w:rPr>
            </w:pPr>
          </w:p>
        </w:tc>
      </w:tr>
      <w:tr>
        <w:trPr>
          <w:trHeight w:val="17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10(f)</w:t>
            </w:r>
          </w:p>
        </w:tc>
        <w:tc>
          <w:tcPr>
            <w:tcW w:w="5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incorporated</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A to the Registrant's</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Proxy Statement dated March 28, 1995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10(h)</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Stock Option</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Plan for Non-Employee Directors, incorporated by</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10(h) to Registrant's Report on Form 10-Q</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dated May 14, 1997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10(i)</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Directors' Deferred Compensation Plan adopted by</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Board of Directors on September 15, 1981,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incorporated</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10(i) to Registrant's</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Report on Form 10-Q dated May 14, 1997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10(j)</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Director Charitable Contribution Program adopted by the Board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of Directors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on February 14, 1995 incorporated by reference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Exhibit 10(j) to Registrant's Report on Form 10-K for the</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fiscal year ended December 31, 1994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10(k)</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as of July 22, 1996 between Registrant and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Hugh R. Kirkpatrick, former Senior Vice-President and Director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Registrant incorporated by reference to Exhibit 10(k)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for the fiscal year ended</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December 31,</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1996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10(l)</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1997 Employee Stock Option Plan, incorporated by reference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Exhibit A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Proxy Statement dated March 27,</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1997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10(m)</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June 19, 1997 between Registrant and Hendrik</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 van Baaren, former Senior Vice-President and Director of</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Registrant, incorporated by reference to Exhibit 10(m)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for the fiscal year ended</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December 31,</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1997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10(n)</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September 2, 1998 between Registrant and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David G. Bluestein, former Director and Senior Vice-President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Registrant, incorporated by reference to Exhibit 10(c)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Report on Form 10-Q dated November 13, 1998 (File</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No. 1-4858).</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10(o)</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July 27, 1998 between Registrant and Stuart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 Maconochie, Vice-President of Registrant, incorporated by</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10(b) to Registrant's Report on Form 10-Q</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dated November 13, 1998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10(p)</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June 23, 1998 between Registrant and Carlos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 Lobbosco,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Vice-President of Registrant, incorporated by</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10(a) to Registrant's Report on Form 10-Q</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dated November 13, 1998 (File No. 1-4858).</w:t>
            </w: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10(q)</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July 2, 1998 between Registrant and Brian 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Chadbourne, former Director and Senior Vice-President of</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Registrant, incorporated by reference to Exhibit 10(a) to</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dated August 14, 1998 (File</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No. 1-4858).</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10(r)</w:t>
            </w: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 dated February 25, 1998 between Registrant and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Thomas H. Hoppel, former Vice-President, Chief Financial</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Officer and Director of Registrant, incorporated by reference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to Exhibit 10(a) to Registrant's Report on Form 10-Q dated May</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14, 1998 (File No. 1-4858).</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580" w:hanging="1411"/>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16</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applicable.</w:t>
            </w:r>
          </w:p>
        </w:tc>
      </w:tr>
      <w:tr>
        <w:trPr>
          <w:trHeight w:val="341"/>
        </w:trPr>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18</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applicable.</w:t>
            </w:r>
          </w:p>
        </w:tc>
      </w:tr>
    </w:tbl>
    <w:p>
      <w:pPr>
        <w:spacing w:after="0" w:line="92" w:lineRule="exact"/>
        <w:rPr>
          <w:sz w:val="20"/>
          <w:szCs w:val="20"/>
          <w:color w:val="auto"/>
        </w:rPr>
      </w:pPr>
    </w:p>
    <w:p>
      <w:pPr>
        <w:ind w:left="1580" w:right="4019" w:hanging="1411"/>
        <w:spacing w:after="0" w:line="353"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Principal Subsidiaries. See page E-1 of this Form 10-K.</w:t>
      </w:r>
    </w:p>
    <w:p>
      <w:pPr>
        <w:spacing w:after="0" w:line="12"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right="3479" w:hanging="1411"/>
        <w:spacing w:after="0" w:line="353"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PricewaterhouseCoopers LLP. See page 33 of this Form 10-K.</w:t>
      </w:r>
    </w:p>
    <w:p>
      <w:pPr>
        <w:spacing w:after="0" w:line="12" w:lineRule="exact"/>
        <w:rPr>
          <w:rFonts w:ascii="Courier New" w:cs="Courier New" w:eastAsia="Courier New" w:hAnsi="Courier New"/>
          <w:sz w:val="15"/>
          <w:szCs w:val="15"/>
          <w:color w:val="auto"/>
        </w:rPr>
      </w:pPr>
    </w:p>
    <w:p>
      <w:pPr>
        <w:ind w:left="1580" w:right="3119" w:hanging="1411"/>
        <w:spacing w:after="0" w:line="297"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authorizing George Rowe, Jr. and Stephen A. Block to sign this report and amendments thereto on behalf of certain directors and officers of the Registrant.</w:t>
      </w:r>
    </w:p>
    <w:p>
      <w:pPr>
        <w:spacing w:after="0" w:line="52" w:lineRule="exact"/>
        <w:rPr>
          <w:sz w:val="20"/>
          <w:szCs w:val="20"/>
          <w:color w:val="auto"/>
        </w:rPr>
      </w:pPr>
    </w:p>
    <w:p>
      <w:pPr>
        <w:ind w:left="1580" w:hanging="1411"/>
        <w:spacing w:after="0"/>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version only).</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160"/>
        <w:spacing w:after="0"/>
        <w:tabs>
          <w:tab w:leader="none" w:pos="156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None.</w:t>
      </w:r>
    </w:p>
    <w:p>
      <w:pPr>
        <w:sectPr>
          <w:pgSz w:w="11900" w:h="16838" w:orient="portrait"/>
          <w:cols w:equalWidth="0" w:num="1">
            <w:col w:w="10219"/>
          </w:cols>
          <w:pgMar w:left="240" w:top="775" w:right="1440" w:bottom="0" w:gutter="0" w:footer="0" w:header="0"/>
        </w:sectPr>
      </w:pPr>
    </w:p>
    <w:bookmarkStart w:id="35" w:name="page36"/>
    <w:bookmarkEnd w:id="35"/>
    <w:p>
      <w:pPr>
        <w:ind w:left="22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9019"/>
          </w:cols>
          <w:pgMar w:left="1440" w:top="115" w:right="1440" w:bottom="1440" w:gutter="0" w:footer="0" w:header="0"/>
        </w:sectPr>
      </w:pPr>
    </w:p>
    <w:bookmarkStart w:id="36" w:name="page37"/>
    <w:bookmarkEnd w:id="36"/>
    <w:p>
      <w:pPr>
        <w:jc w:val="both"/>
        <w:ind w:right="3299" w:firstLine="444"/>
        <w:spacing w:after="0" w:line="297" w:lineRule="auto"/>
        <w:rPr>
          <w:sz w:val="20"/>
          <w:szCs w:val="20"/>
          <w:color w:val="auto"/>
        </w:rPr>
      </w:pPr>
      <w:r>
        <w:rPr>
          <w:rFonts w:ascii="Courier New" w:cs="Courier New" w:eastAsia="Courier New" w:hAnsi="Courier New"/>
          <w:sz w:val="15"/>
          <w:szCs w:val="15"/>
          <w:color w:val="auto"/>
        </w:rPr>
        <w:t>PURSUANT TO THE REQUIREMENTS OF SECTION 13 OF THE SECURITIES EXCHANGE ACT OF 1934, THE REGISTRANT HAS DULY CAUSED THIS REPORT TO BE SIGNED ON ITS BEHALF BY THE UNDERSIGNED HEREUNTO DULY AUTHORIZED.</w:t>
      </w:r>
    </w:p>
    <w:p>
      <w:pPr>
        <w:spacing w:after="0" w:line="22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INTERNATIONAL FLAVORS &amp; FRAGRANCES INC.</w:t>
      </w:r>
    </w:p>
    <w:p>
      <w:pPr>
        <w:spacing w:after="0" w:line="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(REGISTRANT)</w:t>
      </w:r>
    </w:p>
    <w:p>
      <w:pPr>
        <w:spacing w:after="0" w:line="31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DOUGLAS J. WETMORE</w:t>
      </w:r>
    </w:p>
    <w:p>
      <w:pPr>
        <w:spacing w:after="0" w:line="27"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Douglas J. Wetmore</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Vice-President and Chief Financial</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Officer</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30, 1999</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EUGENE P. GRISANTI</w:t>
      </w:r>
    </w:p>
    <w:p>
      <w:pPr>
        <w:spacing w:after="0" w:line="2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President, Chairman of the Board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and Chief Executive Officer</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DOUGLAS J. WETMORE</w:t>
            </w:r>
          </w:p>
        </w:tc>
        <w:tc>
          <w:tcPr>
            <w:tcW w:w="3700" w:type="dxa"/>
            <w:vAlign w:val="bottom"/>
          </w:tcPr>
          <w:p>
            <w:pPr>
              <w:ind w:left="220"/>
              <w:spacing w:after="0"/>
              <w:rPr>
                <w:sz w:val="20"/>
                <w:szCs w:val="20"/>
                <w:color w:val="auto"/>
              </w:rPr>
            </w:pPr>
            <w:r>
              <w:rPr>
                <w:rFonts w:ascii="Courier New" w:cs="Courier New" w:eastAsia="Courier New" w:hAnsi="Courier New"/>
                <w:sz w:val="15"/>
                <w:szCs w:val="15"/>
                <w:color w:val="auto"/>
              </w:rPr>
              <w:t>By: /s/ STEPHEN A. BLOCK</w:t>
            </w:r>
          </w:p>
        </w:tc>
        <w:tc>
          <w:tcPr>
            <w:tcW w:w="0" w:type="dxa"/>
            <w:vAlign w:val="bottom"/>
          </w:tcPr>
          <w:p>
            <w:pPr>
              <w:spacing w:after="0"/>
              <w:rPr>
                <w:sz w:val="1"/>
                <w:szCs w:val="1"/>
                <w:color w:val="auto"/>
              </w:rPr>
            </w:pPr>
          </w:p>
        </w:tc>
      </w:tr>
      <w:tr>
        <w:trPr>
          <w:trHeight w:val="171"/>
        </w:trPr>
        <w:tc>
          <w:tcPr>
            <w:tcW w:w="3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Vice-President and Chief Financial</w:t>
            </w:r>
          </w:p>
        </w:tc>
        <w:tc>
          <w:tcPr>
            <w:tcW w:w="3700" w:type="dxa"/>
            <w:vAlign w:val="bottom"/>
            <w:vMerge w:val="restart"/>
          </w:tcPr>
          <w:p>
            <w:pPr>
              <w:ind w:left="580"/>
              <w:spacing w:after="0"/>
              <w:rPr>
                <w:sz w:val="20"/>
                <w:szCs w:val="20"/>
                <w:color w:val="auto"/>
              </w:rPr>
            </w:pPr>
            <w:r>
              <w:rPr>
                <w:rFonts w:ascii="Courier New" w:cs="Courier New" w:eastAsia="Courier New" w:hAnsi="Courier New"/>
                <w:sz w:val="26"/>
                <w:szCs w:val="26"/>
                <w:color w:val="auto"/>
                <w:w w:val="70"/>
                <w:vertAlign w:val="subscript"/>
              </w:rPr>
              <w:t>Stephen</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A.Block</w:t>
            </w:r>
          </w:p>
        </w:tc>
        <w:tc>
          <w:tcPr>
            <w:tcW w:w="0" w:type="dxa"/>
            <w:vAlign w:val="bottom"/>
          </w:tcPr>
          <w:p>
            <w:pPr>
              <w:spacing w:after="0"/>
              <w:rPr>
                <w:sz w:val="1"/>
                <w:szCs w:val="1"/>
                <w:color w:val="auto"/>
              </w:rPr>
            </w:pPr>
          </w:p>
        </w:tc>
      </w:tr>
      <w:tr>
        <w:trPr>
          <w:trHeight w:val="171"/>
        </w:trPr>
        <w:tc>
          <w:tcPr>
            <w:tcW w:w="34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Officer and Director</w:t>
            </w: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1"/>
                <w:szCs w:val="21"/>
                <w:color w:val="auto"/>
              </w:rPr>
            </w:pPr>
          </w:p>
        </w:tc>
        <w:tc>
          <w:tcPr>
            <w:tcW w:w="3700" w:type="dxa"/>
            <w:vAlign w:val="bottom"/>
          </w:tcPr>
          <w:p>
            <w:pPr>
              <w:ind w:left="580"/>
              <w:spacing w:after="0"/>
              <w:rPr>
                <w:sz w:val="20"/>
                <w:szCs w:val="20"/>
                <w:color w:val="auto"/>
              </w:rPr>
            </w:pPr>
            <w:r>
              <w:rPr>
                <w:rFonts w:ascii="Courier New" w:cs="Courier New" w:eastAsia="Courier New" w:hAnsi="Courier New"/>
                <w:sz w:val="15"/>
                <w:szCs w:val="15"/>
                <w:color w:val="auto"/>
              </w:rPr>
              <w:t>Attorney-in-fact</w:t>
            </w:r>
          </w:p>
        </w:tc>
        <w:tc>
          <w:tcPr>
            <w:tcW w:w="0" w:type="dxa"/>
            <w:vAlign w:val="bottom"/>
          </w:tcPr>
          <w:p>
            <w:pPr>
              <w:spacing w:after="0"/>
              <w:rPr>
                <w:sz w:val="1"/>
                <w:szCs w:val="1"/>
                <w:color w:val="auto"/>
              </w:rPr>
            </w:pPr>
          </w:p>
        </w:tc>
      </w:tr>
      <w:tr>
        <w:trPr>
          <w:trHeight w:val="341"/>
        </w:trPr>
        <w:tc>
          <w:tcPr>
            <w:tcW w:w="3400" w:type="dxa"/>
            <w:vAlign w:val="bottom"/>
          </w:tcPr>
          <w:p>
            <w:pPr>
              <w:jc w:val="right"/>
              <w:ind w:right="2446"/>
              <w:spacing w:after="0"/>
              <w:rPr>
                <w:sz w:val="20"/>
                <w:szCs w:val="20"/>
                <w:color w:val="auto"/>
              </w:rPr>
            </w:pPr>
            <w:r>
              <w:rPr>
                <w:rFonts w:ascii="Courier New" w:cs="Courier New" w:eastAsia="Courier New" w:hAnsi="Courier New"/>
                <w:sz w:val="15"/>
                <w:szCs w:val="15"/>
                <w:color w:val="auto"/>
                <w:w w:val="95"/>
              </w:rPr>
              <w:t>DIRECTORS:</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8"/>
              </w:rPr>
              <w:t>MARGARET HAYES ADAME</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ROBERT G. CORBETT</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ROBIN CHANDLER DUKE</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8"/>
              </w:rPr>
              <w:t>RICHARD M. FURLAUD</w:t>
            </w:r>
          </w:p>
        </w:tc>
        <w:tc>
          <w:tcPr>
            <w:tcW w:w="3700" w:type="dxa"/>
            <w:vAlign w:val="bottom"/>
            <w:vMerge w:val="restart"/>
          </w:tcPr>
          <w:p>
            <w:pPr>
              <w:ind w:left="940"/>
              <w:spacing w:after="0"/>
              <w:rPr>
                <w:sz w:val="20"/>
                <w:szCs w:val="20"/>
                <w:color w:val="auto"/>
              </w:rPr>
            </w:pPr>
            <w:r>
              <w:rPr>
                <w:rFonts w:ascii="Courier New" w:cs="Courier New" w:eastAsia="Courier New" w:hAnsi="Courier New"/>
                <w:sz w:val="15"/>
                <w:szCs w:val="15"/>
                <w:color w:val="auto"/>
              </w:rPr>
              <w:t>March 30, 1999</w:t>
            </w:r>
          </w:p>
        </w:tc>
        <w:tc>
          <w:tcPr>
            <w:tcW w:w="0" w:type="dxa"/>
            <w:vAlign w:val="bottom"/>
          </w:tcPr>
          <w:p>
            <w:pPr>
              <w:spacing w:after="0"/>
              <w:rPr>
                <w:sz w:val="1"/>
                <w:szCs w:val="1"/>
                <w:color w:val="auto"/>
              </w:rPr>
            </w:pPr>
          </w:p>
        </w:tc>
      </w:tr>
      <w:tr>
        <w:trPr>
          <w:trHeight w:val="171"/>
        </w:trPr>
        <w:tc>
          <w:tcPr>
            <w:tcW w:w="340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8"/>
              </w:rPr>
              <w:t>STUART R. MACONOCHIE</w:t>
            </w: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8"/>
              </w:rPr>
              <w:t>GEORGE ROWE, JR.</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8"/>
              </w:rPr>
              <w:t>STANLEY M. RUMBOUGH, JR.</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8"/>
              </w:rPr>
              <w:t>HENRY P. VAN AMERINGEN</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00" w:type="dxa"/>
            <w:vAlign w:val="bottom"/>
          </w:tcPr>
          <w:p>
            <w:pPr>
              <w:jc w:val="center"/>
              <w:ind w:left="406"/>
              <w:spacing w:after="0"/>
              <w:rPr>
                <w:sz w:val="20"/>
                <w:szCs w:val="20"/>
                <w:color w:val="auto"/>
              </w:rPr>
            </w:pPr>
            <w:r>
              <w:rPr>
                <w:rFonts w:ascii="Courier New" w:cs="Courier New" w:eastAsia="Courier New" w:hAnsi="Courier New"/>
                <w:sz w:val="15"/>
                <w:szCs w:val="15"/>
                <w:color w:val="auto"/>
                <w:w w:val="98"/>
              </w:rPr>
              <w:t>WILLIAM D. VAN DYKE, III</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ORIGINAL POWERS OF ATTORNEY AUTHORIZING GEORGE ROWE, JR. AND STEPHEN A. BLOCK, AND EACH OF THEM, TO SIGN THIS REPORT ON BEHALF OF CERTAIN DIRECTORS AND OFFICERS OF THE REGISTRANT HAVE BEEN FILED WITH THE SECURITIES AND EXCHANGE COMMISSION.</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775" w:right="1440" w:bottom="1440" w:gutter="0" w:footer="0" w:header="0"/>
        </w:sectPr>
      </w:pPr>
    </w:p>
    <w:bookmarkStart w:id="37" w:name="page38"/>
    <w:bookmarkEnd w:id="37"/>
    <w:p>
      <w:pPr>
        <w:jc w:val="center"/>
        <w:ind w:right="313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1"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S-3 (No. 333-59689, No. 33-66756 and No. 33-47856) and the Registration Statement on Form S-8 (No. 33-54423) of International Flavors &amp; Fragrances Inc. of our report dated January 28, 1999 relating to the financial statements and financial statement schedules, which appears on page 29 of this Form 10-K.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1301 Avenue of the Americas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1999</w:t>
      </w: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7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9"/>
        </w:trPr>
        <w:tc>
          <w:tcPr>
            <w:tcW w:w="4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SCHEDULE VIII</w:t>
            </w:r>
          </w:p>
        </w:tc>
        <w:tc>
          <w:tcPr>
            <w:tcW w:w="0" w:type="dxa"/>
            <w:vAlign w:val="bottom"/>
          </w:tcPr>
          <w:p>
            <w:pPr>
              <w:spacing w:after="0"/>
              <w:rPr>
                <w:sz w:val="1"/>
                <w:szCs w:val="1"/>
                <w:color w:val="auto"/>
              </w:rPr>
            </w:pPr>
          </w:p>
        </w:tc>
      </w:tr>
      <w:tr>
        <w:trPr>
          <w:trHeight w:val="341"/>
        </w:trPr>
        <w:tc>
          <w:tcPr>
            <w:tcW w:w="772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rPr>
              <w:t>INTERNATIONAL FLAVORS &amp; FRAGRANCES INC. AND SUBSIDIARIES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SCHEDULE VIII--VALUATION</w:t>
            </w:r>
          </w:p>
        </w:tc>
        <w:tc>
          <w:tcPr>
            <w:tcW w:w="33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QUALIFYING ACCOUNTS AND RESERVES</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520" w:type="dxa"/>
            <w:vAlign w:val="bottom"/>
            <w:gridSpan w:val="3"/>
          </w:tcPr>
          <w:p>
            <w:pPr>
              <w:ind w:left="3800"/>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FOR THE YEAR</w:t>
            </w:r>
          </w:p>
        </w:tc>
        <w:tc>
          <w:tcPr>
            <w:tcW w:w="2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1998</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8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w:t>
            </w:r>
          </w:p>
        </w:tc>
        <w:tc>
          <w:tcPr>
            <w:tcW w:w="12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charged to</w:t>
            </w:r>
          </w:p>
        </w:tc>
        <w:tc>
          <w:tcPr>
            <w:tcW w:w="12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Accounts</w:t>
            </w: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lation</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beginning</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200" w:type="dxa"/>
            <w:vAlign w:val="bottom"/>
            <w:vMerge w:val="continue"/>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of period</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 off</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ments</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of period</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Allowance for doubtful accounts ...............</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$8,101</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$2,228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241</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$9,517</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FOR THE YEAR</w:t>
            </w:r>
          </w:p>
        </w:tc>
        <w:tc>
          <w:tcPr>
            <w:tcW w:w="2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1997</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8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w:t>
            </w:r>
          </w:p>
        </w:tc>
        <w:tc>
          <w:tcPr>
            <w:tcW w:w="12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charged to</w:t>
            </w:r>
          </w:p>
        </w:tc>
        <w:tc>
          <w:tcPr>
            <w:tcW w:w="12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Accounts</w:t>
            </w: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lation</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beginning</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200" w:type="dxa"/>
            <w:vAlign w:val="bottom"/>
            <w:vMerge w:val="continue"/>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of period</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 off</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ments</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of period</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Allowance for doubtful accounts ...............</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$8,733</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$1,506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$8,101</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FOR THE YEAR</w:t>
            </w:r>
          </w:p>
        </w:tc>
        <w:tc>
          <w:tcPr>
            <w:tcW w:w="2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1996</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8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w:t>
            </w:r>
          </w:p>
        </w:tc>
        <w:tc>
          <w:tcPr>
            <w:tcW w:w="12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charged to</w:t>
            </w:r>
          </w:p>
        </w:tc>
        <w:tc>
          <w:tcPr>
            <w:tcW w:w="12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Accounts</w:t>
            </w: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lation</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beginning</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200" w:type="dxa"/>
            <w:vAlign w:val="bottom"/>
            <w:vMerge w:val="continue"/>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of period</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 off</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ments</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of period</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Allowance for doubtful accounts ...............</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$8,602</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$1,564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$8,733</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53"/>
        </w:trPr>
        <w:tc>
          <w:tcPr>
            <w:tcW w:w="434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S-1</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87" w:right="1440" w:bottom="1440" w:gutter="0" w:footer="0" w:header="0"/>
        </w:sectPr>
      </w:pPr>
    </w:p>
    <w:bookmarkStart w:id="39" w:name="page40"/>
    <w:bookmarkEnd w:id="39"/>
    <w:p>
      <w:pPr>
        <w:ind w:left="6200"/>
        <w:spacing w:after="0"/>
        <w:rPr>
          <w:sz w:val="20"/>
          <w:szCs w:val="20"/>
          <w:color w:val="auto"/>
        </w:rPr>
      </w:pPr>
      <w:r>
        <w:rPr>
          <w:rFonts w:ascii="Courier New" w:cs="Courier New" w:eastAsia="Courier New" w:hAnsi="Courier New"/>
          <w:sz w:val="15"/>
          <w:szCs w:val="15"/>
          <w:color w:val="auto"/>
        </w:rPr>
        <w:t>EXHIBIT 21</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LIST OF REGISTRANT'S PRINCIPAL SUBSIDIARIES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There is furnished below a list of the principal subsidiaries of Registrant. All the voting stock of each subsidiary, other than directors' qualifying shares, if any, is wholly owned by Registrant or a subsidiary of Registrant, except that International Flavors &amp; Fragrances I.F.F. (France) S.a.r.1. is owned 70% by International Flavors &amp; Fragrances I.F.F. (Nederland) B.V. and 30% by Registrant, I.F.F. Essencias e Fragrancias Ltda. is owned 63% by Registrant and 37% by International Flavors &amp; Fragrances I.F.F. (Nederland) B.V., and International Flavours &amp; Fragrances I.F.F. (Great Britain) Ltd. is owned 49% by International Flavors &amp; Fragrances I.F.F. (Nederland) B.V. and 51% by Aromatics Holdings Limited.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4720" w:type="dxa"/>
            <w:vAlign w:val="bottom"/>
            <w:vMerge w:val="restart"/>
          </w:tcPr>
          <w:p>
            <w:pPr>
              <w:jc w:val="right"/>
              <w:ind w:right="3308"/>
              <w:spacing w:after="0"/>
              <w:rPr>
                <w:sz w:val="20"/>
                <w:szCs w:val="20"/>
                <w:color w:val="auto"/>
              </w:rPr>
            </w:pPr>
            <w:r>
              <w:rPr>
                <w:rFonts w:ascii="Courier New" w:cs="Courier New" w:eastAsia="Courier New" w:hAnsi="Courier New"/>
                <w:sz w:val="15"/>
                <w:szCs w:val="15"/>
                <w:color w:val="auto"/>
                <w:w w:val="97"/>
              </w:rPr>
              <w:t>Name of Company</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Organized under</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laws of</w:t>
            </w:r>
          </w:p>
        </w:tc>
        <w:tc>
          <w:tcPr>
            <w:tcW w:w="0" w:type="dxa"/>
            <w:vAlign w:val="bottom"/>
          </w:tcPr>
          <w:p>
            <w:pPr>
              <w:spacing w:after="0"/>
              <w:rPr>
                <w:sz w:val="1"/>
                <w:szCs w:val="1"/>
                <w:color w:val="auto"/>
              </w:rPr>
            </w:pPr>
          </w:p>
        </w:tc>
      </w:tr>
      <w:tr>
        <w:trPr>
          <w:trHeight w:val="249"/>
        </w:trPr>
        <w:tc>
          <w:tcPr>
            <w:tcW w:w="2200" w:type="dxa"/>
            <w:vAlign w:val="bottom"/>
          </w:tcPr>
          <w:p>
            <w:pPr>
              <w:spacing w:after="0"/>
              <w:rPr>
                <w:sz w:val="21"/>
                <w:szCs w:val="21"/>
                <w:color w:val="auto"/>
              </w:rPr>
            </w:pPr>
          </w:p>
        </w:tc>
        <w:tc>
          <w:tcPr>
            <w:tcW w:w="4720" w:type="dxa"/>
            <w:vAlign w:val="bottom"/>
          </w:tcPr>
          <w:p>
            <w:pPr>
              <w:jc w:val="right"/>
              <w:ind w:right="3308"/>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w w:val="98"/>
              </w:rPr>
              <w:t>International Flavors &amp; Fragrances Inc.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 &amp;</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Fragrances I.F.F. (Nederland) B.V.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The Netherlands</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Aromatics Holdings Limited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Ireland</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IFF-Benicarlo, S.A.</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Spain</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International Flavours &amp; Fragrances (China) Ltd.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China</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Irish Flavours and Fragrances Limited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Ireland</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International Flavours &amp; Fragrances I.F.F. (Great Britain) Ltd.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England</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International Flavors &amp; Fragrances I.F.F. (Italia) S.r.l.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Italy</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w:t>
            </w:r>
          </w:p>
        </w:tc>
        <w:tc>
          <w:tcPr>
            <w:tcW w:w="4720" w:type="dxa"/>
            <w:vAlign w:val="bottom"/>
          </w:tcPr>
          <w:p>
            <w:pPr>
              <w:jc w:val="right"/>
              <w:ind w:right="1628"/>
              <w:spacing w:after="0"/>
              <w:rPr>
                <w:sz w:val="20"/>
                <w:szCs w:val="20"/>
                <w:color w:val="auto"/>
              </w:rPr>
            </w:pPr>
            <w:r>
              <w:rPr>
                <w:rFonts w:ascii="Courier New" w:cs="Courier New" w:eastAsia="Courier New" w:hAnsi="Courier New"/>
                <w:sz w:val="15"/>
                <w:szCs w:val="15"/>
                <w:color w:val="auto"/>
              </w:rPr>
              <w:t>&amp; Fragrances I.F.F. (Deutschland)</w:t>
            </w:r>
          </w:p>
        </w:tc>
        <w:tc>
          <w:tcPr>
            <w:tcW w:w="15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Germany</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7"/>
                <w:szCs w:val="7"/>
                <w:color w:val="auto"/>
                <w:w w:val="73"/>
              </w:rPr>
              <w:t>G.m.b.H. ..............................................................</w:t>
            </w:r>
          </w:p>
        </w:tc>
        <w:tc>
          <w:tcPr>
            <w:tcW w:w="47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&amp; Fragrances I.F.F. (Switzerland) A.G. ...........</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w:t>
            </w:r>
          </w:p>
        </w:tc>
        <w:tc>
          <w:tcPr>
            <w:tcW w:w="4720" w:type="dxa"/>
            <w:vAlign w:val="bottom"/>
            <w:vMerge w:val="continue"/>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Switzerland</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&amp; Fragrances I.F.F. (France) S.a.r.l.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&amp; Fragrances (Hong Kong) Ltd.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Hong Kong</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&amp; Fragrances (Japan) Ltd.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 &amp;</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Fragrances S.A.C.I.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Argentina</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I.F.F. Essencias e Fragrancias Ltda.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Brazil</w:t>
            </w:r>
          </w:p>
        </w:tc>
        <w:tc>
          <w:tcPr>
            <w:tcW w:w="0" w:type="dxa"/>
            <w:vAlign w:val="bottom"/>
          </w:tcPr>
          <w:p>
            <w:pPr>
              <w:spacing w:after="0"/>
              <w:rPr>
                <w:sz w:val="1"/>
                <w:szCs w:val="1"/>
                <w:color w:val="auto"/>
              </w:rPr>
            </w:pPr>
          </w:p>
        </w:tc>
      </w:tr>
      <w:tr>
        <w:trPr>
          <w:trHeight w:val="171"/>
        </w:trPr>
        <w:tc>
          <w:tcPr>
            <w:tcW w:w="69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rPr>
              <w:t>International Flavours &amp; Fragrances (Australia) Pty. Ltd.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Australia</w:t>
            </w:r>
          </w:p>
        </w:tc>
        <w:tc>
          <w:tcPr>
            <w:tcW w:w="0" w:type="dxa"/>
            <w:vAlign w:val="bottom"/>
          </w:tcPr>
          <w:p>
            <w:pPr>
              <w:spacing w:after="0"/>
              <w:rPr>
                <w:sz w:val="1"/>
                <w:szCs w:val="1"/>
                <w:color w:val="auto"/>
              </w:rPr>
            </w:pPr>
          </w:p>
        </w:tc>
      </w:tr>
      <w:tr>
        <w:trPr>
          <w:trHeight w:val="171"/>
        </w:trPr>
        <w:tc>
          <w:tcPr>
            <w:tcW w:w="2200" w:type="dxa"/>
            <w:vAlign w:val="bottom"/>
          </w:tcPr>
          <w:p>
            <w:pPr>
              <w:jc w:val="right"/>
              <w:ind w:right="8"/>
              <w:spacing w:after="0"/>
              <w:rPr>
                <w:sz w:val="20"/>
                <w:szCs w:val="20"/>
                <w:color w:val="auto"/>
              </w:rPr>
            </w:pPr>
            <w:r>
              <w:rPr>
                <w:rFonts w:ascii="Courier New" w:cs="Courier New" w:eastAsia="Courier New" w:hAnsi="Courier New"/>
                <w:sz w:val="15"/>
                <w:szCs w:val="15"/>
                <w:color w:val="auto"/>
              </w:rPr>
              <w:t>P.T. Essence Indonesia</w:t>
            </w:r>
          </w:p>
        </w:tc>
        <w:tc>
          <w:tcPr>
            <w:tcW w:w="472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Fragrances(Mexico)S.A.deC.V..................</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Indonesia</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 &amp;</w:t>
            </w:r>
          </w:p>
        </w:tc>
        <w:tc>
          <w:tcPr>
            <w:tcW w:w="4720" w:type="dxa"/>
            <w:vAlign w:val="bottom"/>
            <w:vMerge w:val="continue"/>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Mexico</w:t>
            </w:r>
          </w:p>
        </w:tc>
        <w:tc>
          <w:tcPr>
            <w:tcW w:w="0" w:type="dxa"/>
            <w:vAlign w:val="bottom"/>
          </w:tcPr>
          <w:p>
            <w:pPr>
              <w:spacing w:after="0"/>
              <w:rPr>
                <w:sz w:val="1"/>
                <w:szCs w:val="1"/>
                <w:color w:val="auto"/>
              </w:rPr>
            </w:pPr>
          </w:p>
        </w:tc>
      </w:tr>
      <w:tr>
        <w:trPr>
          <w:trHeight w:val="171"/>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International Flavors &amp;</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Fragrances I.F.F. (Espana) S.A. ..................</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Spain</w:t>
            </w:r>
          </w:p>
        </w:tc>
        <w:tc>
          <w:tcPr>
            <w:tcW w:w="0" w:type="dxa"/>
            <w:vAlign w:val="bottom"/>
          </w:tcPr>
          <w:p>
            <w:pPr>
              <w:spacing w:after="0"/>
              <w:rPr>
                <w:sz w:val="1"/>
                <w:szCs w:val="1"/>
                <w:color w:val="auto"/>
              </w:rPr>
            </w:pPr>
          </w:p>
        </w:tc>
      </w:tr>
      <w:tr>
        <w:trPr>
          <w:trHeight w:val="249"/>
        </w:trPr>
        <w:tc>
          <w:tcPr>
            <w:tcW w:w="2200" w:type="dxa"/>
            <w:vAlign w:val="bottom"/>
          </w:tcPr>
          <w:p>
            <w:pPr>
              <w:jc w:val="right"/>
              <w:ind w:right="8"/>
              <w:spacing w:after="0"/>
              <w:rPr>
                <w:sz w:val="20"/>
                <w:szCs w:val="20"/>
                <w:color w:val="auto"/>
              </w:rPr>
            </w:pPr>
            <w:r>
              <w:rPr>
                <w:rFonts w:ascii="Courier New" w:cs="Courier New" w:eastAsia="Courier New" w:hAnsi="Courier New"/>
                <w:sz w:val="15"/>
                <w:szCs w:val="15"/>
                <w:color w:val="auto"/>
              </w:rPr>
              <w:t>ALVA Insurance Limited</w:t>
            </w:r>
          </w:p>
        </w:tc>
        <w:tc>
          <w:tcPr>
            <w:tcW w:w="4720" w:type="dxa"/>
            <w:vAlign w:val="bottom"/>
          </w:tcPr>
          <w:p>
            <w:pPr>
              <w:jc w:val="right"/>
              <w:ind w:right="108"/>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Bermuda</w:t>
            </w:r>
          </w:p>
        </w:tc>
        <w:tc>
          <w:tcPr>
            <w:tcW w:w="0" w:type="dxa"/>
            <w:vAlign w:val="bottom"/>
          </w:tcPr>
          <w:p>
            <w:pPr>
              <w:spacing w:after="0"/>
              <w:rPr>
                <w:sz w:val="1"/>
                <w:szCs w:val="1"/>
                <w:color w:val="auto"/>
              </w:rPr>
            </w:pPr>
          </w:p>
        </w:tc>
      </w:tr>
      <w:tr>
        <w:trPr>
          <w:trHeight w:val="683"/>
        </w:trPr>
        <w:tc>
          <w:tcPr>
            <w:tcW w:w="2200" w:type="dxa"/>
            <w:vAlign w:val="bottom"/>
          </w:tcPr>
          <w:p>
            <w:pPr>
              <w:spacing w:after="0"/>
              <w:rPr>
                <w:sz w:val="24"/>
                <w:szCs w:val="24"/>
                <w:color w:val="auto"/>
              </w:rPr>
            </w:pPr>
          </w:p>
        </w:tc>
        <w:tc>
          <w:tcPr>
            <w:tcW w:w="4720" w:type="dxa"/>
            <w:vAlign w:val="bottom"/>
          </w:tcPr>
          <w:p>
            <w:pPr>
              <w:jc w:val="right"/>
              <w:ind w:right="3228"/>
              <w:spacing w:after="0"/>
              <w:rPr>
                <w:sz w:val="20"/>
                <w:szCs w:val="20"/>
                <w:color w:val="auto"/>
              </w:rPr>
            </w:pPr>
            <w:r>
              <w:rPr>
                <w:rFonts w:ascii="Courier New" w:cs="Courier New" w:eastAsia="Courier New" w:hAnsi="Courier New"/>
                <w:sz w:val="15"/>
                <w:szCs w:val="15"/>
                <w:color w:val="auto"/>
              </w:rPr>
              <w:t>E-1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5" w:right="1440" w:bottom="1440" w:gutter="0" w:footer="0" w:header="0"/>
        </w:sectPr>
      </w:pPr>
    </w:p>
    <w:bookmarkStart w:id="40" w:name="page41"/>
    <w:bookmarkEnd w:id="40"/>
    <w:p>
      <w:pPr>
        <w:ind w:left="30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05"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65" w:lineRule="exact"/>
        <w:rPr>
          <w:sz w:val="20"/>
          <w:szCs w:val="20"/>
          <w:color w:val="auto"/>
        </w:rPr>
      </w:pPr>
    </w:p>
    <w:p>
      <w:pPr>
        <w:sectPr>
          <w:pgSz w:w="11900" w:h="16838" w:orient="portrait"/>
          <w:cols w:equalWidth="0" w:num="2">
            <w:col w:w="2380" w:space="720"/>
            <w:col w:w="7119"/>
          </w:cols>
          <w:pgMar w:left="240" w:top="605" w:right="1440" w:bottom="1440" w:gutter="0" w:footer="0" w:header="0"/>
          <w:type w:val="continuous"/>
        </w:sectPr>
      </w:pPr>
    </w:p>
    <w:p>
      <w:pPr>
        <w:ind w:left="1580" w:hanging="1323"/>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93" w:lineRule="exact"/>
        <w:rPr>
          <w:sz w:val="20"/>
          <w:szCs w:val="20"/>
          <w:color w:val="auto"/>
        </w:rPr>
      </w:pPr>
    </w:p>
    <w:p>
      <w:pPr>
        <w:ind w:left="1580" w:right="3119" w:hanging="1323"/>
        <w:spacing w:after="0" w:line="278"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Registrant, incorporated by reference to Exhibit 3 to Registrant's Report on Form 10-K for fiscal year ended December 31, 1993 (File No. 1-4858).</w:t>
      </w:r>
    </w:p>
    <w:p>
      <w:pPr>
        <w:spacing w:after="0" w:line="6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By-laws of Registrant, incorporated by reference to Exhibit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3(b) to Registrant's Report on Form 10-K for fiscal year ended</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December 31, 1993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to By-laws adopted December 12, 1996, incorporated</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by reference to Exhibit 3(c) to Registrant's Report on Form</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10-K for the fiscal year ended December 31, 1996 (File No.</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to By-laws adopted May 8, 1997, incorporated by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reference to Exhibit 3(a) to Registrant's Report on Form 10-Q</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August 13, 1997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Amendments to By-laws adopted March 10, 1998, incorporated by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reference to Exhibit 3(a) to Registrant's Report on Form 10-Q</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May 14, 1998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Shareholder Protection Rights Agreement dated as of February</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20, 1990 between Registrant and The Bank of New York, as</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Rights Agent, incorporated by reference to Exhibit 4(a)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Registrant's Report on Form 10-Q dated May 14, 1997 (File No.</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No. 1 dated as of April 6, 1990 to Shareholder</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Protection Rights Agreement,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Exhibit 4(b) to Registrant's Report on Form 10-Q dated May 14,</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1997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Amendment No. 2 dated as of March 8, 1994 to Shareholder</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Protection Rights Agreement,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Exhibit 4(c) to Registrant's Report on Form 10-K for fiscal</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year ended December 31, 1993 (File No. 1-4858).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Amended and Restated Shareholder Protection Rights Agreement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as of September 25, 1998, incorporated by reference to</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Exhibit (4) to Registrant's Report on Form 8-K dated September</w:t>
            </w:r>
          </w:p>
        </w:tc>
      </w:tr>
      <w:tr>
        <w:trPr>
          <w:trHeight w:val="249"/>
        </w:trPr>
        <w:tc>
          <w:tcPr>
            <w:tcW w:w="920" w:type="dxa"/>
            <w:vAlign w:val="bottom"/>
          </w:tcPr>
          <w:p>
            <w:pPr>
              <w:spacing w:after="0"/>
              <w:rPr>
                <w:sz w:val="21"/>
                <w:szCs w:val="21"/>
                <w:color w:val="auto"/>
              </w:rPr>
            </w:pP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25,</w:t>
            </w:r>
          </w:p>
        </w:tc>
        <w:tc>
          <w:tcPr>
            <w:tcW w:w="5200" w:type="dxa"/>
            <w:vAlign w:val="bottom"/>
          </w:tcPr>
          <w:p>
            <w:pPr>
              <w:jc w:val="right"/>
              <w:ind w:right="4646"/>
              <w:spacing w:after="0"/>
              <w:rPr>
                <w:sz w:val="20"/>
                <w:szCs w:val="20"/>
                <w:color w:val="auto"/>
              </w:rPr>
            </w:pPr>
            <w:r>
              <w:rPr>
                <w:rFonts w:ascii="Courier New" w:cs="Courier New" w:eastAsia="Courier New" w:hAnsi="Courier New"/>
                <w:sz w:val="15"/>
                <w:szCs w:val="15"/>
                <w:color w:val="auto"/>
              </w:rPr>
              <w:t>1998.</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4(ccc)</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First Amendment dated as of March 9, 1999 to the Amended and</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Restated Shareholder Protection Rights Agreement.</w:t>
            </w:r>
          </w:p>
        </w:tc>
      </w:tr>
      <w:tr>
        <w:trPr>
          <w:trHeight w:val="263"/>
        </w:trPr>
        <w:tc>
          <w:tcPr>
            <w:tcW w:w="92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Specimen certificates of Registrant's Common Stock bearing</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legend notifying of Shareholder Protection Rights Agreement,</w:t>
            </w:r>
          </w:p>
        </w:tc>
      </w:tr>
      <w:tr>
        <w:trPr>
          <w:trHeight w:val="171"/>
        </w:trPr>
        <w:tc>
          <w:tcPr>
            <w:tcW w:w="92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incorporated by reference to Exhibit 4(d) to Registrant's</w:t>
            </w:r>
          </w:p>
        </w:tc>
      </w:tr>
      <w:tr>
        <w:trPr>
          <w:trHeight w:val="249"/>
        </w:trPr>
        <w:tc>
          <w:tcPr>
            <w:tcW w:w="92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Report on Form 10-Q dated May 14, 1997 (File No. 1-4858).</w:t>
            </w:r>
          </w:p>
        </w:tc>
      </w:tr>
    </w:tbl>
    <w:p>
      <w:pPr>
        <w:spacing w:after="0" w:line="92" w:lineRule="exact"/>
        <w:rPr>
          <w:sz w:val="20"/>
          <w:szCs w:val="20"/>
          <w:color w:val="auto"/>
        </w:rPr>
      </w:pPr>
    </w:p>
    <w:p>
      <w:pPr>
        <w:ind w:left="1580" w:hanging="1323"/>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Agreement dated as of January 1, 1997 between Registrant and</w:t>
            </w:r>
          </w:p>
        </w:tc>
      </w:tr>
      <w:tr>
        <w:trPr>
          <w:trHeight w:val="171"/>
        </w:trPr>
        <w:tc>
          <w:tcPr>
            <w:tcW w:w="940" w:type="dxa"/>
            <w:vAlign w:val="bottom"/>
          </w:tcPr>
          <w:p>
            <w:pPr>
              <w:spacing w:after="0"/>
              <w:rPr>
                <w:sz w:val="14"/>
                <w:szCs w:val="14"/>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Eugene P. Grisanti, Chairman and President</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of Registrant,</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incorporated</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Exhibit 10(a)</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to Registrant's</w:t>
            </w:r>
          </w:p>
        </w:tc>
      </w:tr>
      <w:tr>
        <w:trPr>
          <w:trHeight w:val="249"/>
        </w:trPr>
        <w:tc>
          <w:tcPr>
            <w:tcW w:w="940" w:type="dxa"/>
            <w:vAlign w:val="bottom"/>
          </w:tcPr>
          <w:p>
            <w:pPr>
              <w:spacing w:after="0"/>
              <w:rPr>
                <w:sz w:val="21"/>
                <w:szCs w:val="21"/>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Report on Form 10-Q dated May 14, 1997 (File No. 1-4858).</w:t>
            </w: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Form of Executive Severance Agreement approved by Registrant's</w:t>
            </w:r>
          </w:p>
        </w:tc>
      </w:tr>
      <w:tr>
        <w:trPr>
          <w:trHeight w:val="171"/>
        </w:trPr>
        <w:tc>
          <w:tcPr>
            <w:tcW w:w="940" w:type="dxa"/>
            <w:vAlign w:val="bottom"/>
          </w:tcPr>
          <w:p>
            <w:pPr>
              <w:spacing w:after="0"/>
              <w:rPr>
                <w:sz w:val="14"/>
                <w:szCs w:val="14"/>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Board of Directors on February 14, 1989 incorporated by</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reference to</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Exhibit 10(b) to Registrant's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Report on Form</w:t>
            </w:r>
          </w:p>
        </w:tc>
      </w:tr>
      <w:tr>
        <w:trPr>
          <w:trHeight w:val="249"/>
        </w:trPr>
        <w:tc>
          <w:tcPr>
            <w:tcW w:w="940" w:type="dxa"/>
            <w:vAlign w:val="bottom"/>
          </w:tcPr>
          <w:p>
            <w:pPr>
              <w:spacing w:after="0"/>
              <w:rPr>
                <w:sz w:val="21"/>
                <w:szCs w:val="21"/>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10-Q dated May 14, 1997 (File No. 1-4858).</w:t>
            </w:r>
          </w:p>
        </w:tc>
        <w:tc>
          <w:tcPr>
            <w:tcW w:w="1740" w:type="dxa"/>
            <w:vAlign w:val="bottom"/>
          </w:tcPr>
          <w:p>
            <w:pPr>
              <w:spacing w:after="0"/>
              <w:rPr>
                <w:sz w:val="21"/>
                <w:szCs w:val="21"/>
                <w:color w:val="auto"/>
              </w:rPr>
            </w:pP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Death Benefit Plan effective July 1,</w:t>
            </w:r>
          </w:p>
        </w:tc>
      </w:tr>
      <w:tr>
        <w:trPr>
          <w:trHeight w:val="171"/>
        </w:trPr>
        <w:tc>
          <w:tcPr>
            <w:tcW w:w="940" w:type="dxa"/>
            <w:vAlign w:val="bottom"/>
          </w:tcPr>
          <w:p>
            <w:pPr>
              <w:spacing w:after="0"/>
              <w:rPr>
                <w:sz w:val="14"/>
                <w:szCs w:val="14"/>
                <w:color w:val="auto"/>
              </w:rPr>
            </w:pPr>
          </w:p>
        </w:tc>
        <w:tc>
          <w:tcPr>
            <w:tcW w:w="42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1990, incorporated by reference to Exhibit</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10(c) to</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Report on Form 10-Q dated May</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14, 1997 (File No.</w:t>
            </w:r>
          </w:p>
        </w:tc>
      </w:tr>
      <w:tr>
        <w:trPr>
          <w:trHeight w:val="249"/>
        </w:trPr>
        <w:tc>
          <w:tcPr>
            <w:tcW w:w="940" w:type="dxa"/>
            <w:vAlign w:val="bottom"/>
          </w:tcPr>
          <w:p>
            <w:pPr>
              <w:spacing w:after="0"/>
              <w:rPr>
                <w:sz w:val="21"/>
                <w:szCs w:val="21"/>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1-4858).</w:t>
            </w:r>
          </w:p>
        </w:tc>
        <w:tc>
          <w:tcPr>
            <w:tcW w:w="26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Supplemental</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Retirement Investment Plan adopted by</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Board of Directors on November 14, 1989</w:t>
            </w:r>
          </w:p>
        </w:tc>
      </w:tr>
      <w:tr>
        <w:trPr>
          <w:trHeight w:val="171"/>
        </w:trPr>
        <w:tc>
          <w:tcPr>
            <w:tcW w:w="94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incorporated</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Exhibit 10(d)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to Registrant's</w:t>
            </w:r>
          </w:p>
        </w:tc>
      </w:tr>
      <w:tr>
        <w:trPr>
          <w:trHeight w:val="249"/>
        </w:trPr>
        <w:tc>
          <w:tcPr>
            <w:tcW w:w="940" w:type="dxa"/>
            <w:vAlign w:val="bottom"/>
          </w:tcPr>
          <w:p>
            <w:pPr>
              <w:spacing w:after="0"/>
              <w:rPr>
                <w:sz w:val="21"/>
                <w:szCs w:val="21"/>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Report on Form 10-Q dated May 14, 1997 (File No. 1-4858).</w:t>
            </w:r>
          </w:p>
        </w:tc>
      </w:tr>
      <w:tr>
        <w:trPr>
          <w:trHeight w:val="263"/>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Supplemental</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Retirement Plan adopted by Board of Directors on</w:t>
            </w:r>
          </w:p>
        </w:tc>
      </w:tr>
      <w:tr>
        <w:trPr>
          <w:trHeight w:val="171"/>
        </w:trPr>
        <w:tc>
          <w:tcPr>
            <w:tcW w:w="940" w:type="dxa"/>
            <w:vAlign w:val="bottom"/>
          </w:tcPr>
          <w:p>
            <w:pPr>
              <w:spacing w:after="0"/>
              <w:rPr>
                <w:sz w:val="14"/>
                <w:szCs w:val="14"/>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October 29, 1986, incorporated by reference to Exhibit 10(e)</w:t>
            </w:r>
          </w:p>
        </w:tc>
      </w:tr>
      <w:tr>
        <w:trPr>
          <w:trHeight w:val="171"/>
        </w:trPr>
        <w:tc>
          <w:tcPr>
            <w:tcW w:w="940" w:type="dxa"/>
            <w:vAlign w:val="bottom"/>
          </w:tcPr>
          <w:p>
            <w:pPr>
              <w:spacing w:after="0"/>
              <w:rPr>
                <w:sz w:val="14"/>
                <w:szCs w:val="14"/>
                <w:color w:val="auto"/>
              </w:rPr>
            </w:pPr>
          </w:p>
        </w:tc>
        <w:tc>
          <w:tcPr>
            <w:tcW w:w="6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to Registrant's Report on Form 10-Q dated May 14, 1997 (File</w:t>
            </w:r>
          </w:p>
        </w:tc>
      </w:tr>
      <w:tr>
        <w:trPr>
          <w:trHeight w:val="249"/>
        </w:trPr>
        <w:tc>
          <w:tcPr>
            <w:tcW w:w="940" w:type="dxa"/>
            <w:vAlign w:val="bottom"/>
          </w:tcPr>
          <w:p>
            <w:pPr>
              <w:spacing w:after="0"/>
              <w:rPr>
                <w:sz w:val="21"/>
                <w:szCs w:val="21"/>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5"/>
                <w:szCs w:val="15"/>
                <w:color w:val="auto"/>
              </w:rPr>
              <w:t>No. 1-4858).</w:t>
            </w:r>
          </w:p>
        </w:tc>
        <w:tc>
          <w:tcPr>
            <w:tcW w:w="2660" w:type="dxa"/>
            <w:vAlign w:val="bottom"/>
          </w:tcPr>
          <w:p>
            <w:pPr>
              <w:spacing w:after="0"/>
              <w:rPr>
                <w:sz w:val="21"/>
                <w:szCs w:val="21"/>
                <w:color w:val="auto"/>
              </w:rPr>
            </w:pPr>
          </w:p>
        </w:tc>
        <w:tc>
          <w:tcPr>
            <w:tcW w:w="1740" w:type="dxa"/>
            <w:vAlign w:val="bottom"/>
          </w:tcPr>
          <w:p>
            <w:pPr>
              <w:spacing w:after="0"/>
              <w:rPr>
                <w:sz w:val="21"/>
                <w:szCs w:val="21"/>
                <w:color w:val="auto"/>
              </w:rPr>
            </w:pPr>
          </w:p>
        </w:tc>
      </w:tr>
    </w:tbl>
    <w:p>
      <w:pPr>
        <w:sectPr>
          <w:pgSz w:w="11900" w:h="16838" w:orient="portrait"/>
          <w:cols w:equalWidth="0" w:num="1">
            <w:col w:w="10219"/>
          </w:cols>
          <w:pgMar w:left="240" w:top="605" w:right="1440" w:bottom="144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5"/>
              </w:rPr>
              <w:t>EXHIBIT</w:t>
            </w:r>
          </w:p>
        </w:tc>
        <w:tc>
          <w:tcPr>
            <w:tcW w:w="1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 -------</w:t>
            </w:r>
          </w:p>
        </w:tc>
        <w:tc>
          <w:tcPr>
            <w:tcW w:w="5920" w:type="dxa"/>
            <w:vAlign w:val="bottom"/>
            <w:gridSpan w:val="2"/>
            <w:vMerge w:val="restart"/>
          </w:tcPr>
          <w:p>
            <w:pPr>
              <w:ind w:left="400"/>
              <w:spacing w:after="0"/>
              <w:rPr>
                <w:sz w:val="20"/>
                <w:szCs w:val="20"/>
                <w:color w:val="auto"/>
              </w:rPr>
            </w:pPr>
            <w:r>
              <w:rPr>
                <w:rFonts w:ascii="Courier New" w:cs="Courier New" w:eastAsia="Courier New" w:hAnsi="Courier New"/>
                <w:sz w:val="15"/>
                <w:szCs w:val="15"/>
                <w:color w:val="auto"/>
                <w:w w:val="98"/>
              </w:rPr>
              <w:t>Restated Management Incentive Compensation Plan of Registrant,</w:t>
            </w:r>
          </w:p>
        </w:tc>
        <w:tc>
          <w:tcPr>
            <w:tcW w:w="0" w:type="dxa"/>
            <w:vAlign w:val="bottom"/>
          </w:tcPr>
          <w:p>
            <w:pPr>
              <w:spacing w:after="0"/>
              <w:rPr>
                <w:sz w:val="1"/>
                <w:szCs w:val="1"/>
                <w:color w:val="auto"/>
              </w:rPr>
            </w:pPr>
          </w:p>
        </w:tc>
      </w:tr>
      <w:tr>
        <w:trPr>
          <w:trHeight w:val="171"/>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10(f)</w:t>
            </w:r>
          </w:p>
        </w:tc>
        <w:tc>
          <w:tcPr>
            <w:tcW w:w="5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incorporated</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A to the Registrant's</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Proxy Statement dated March 28, 1995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10(h)</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Stock Option</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Plan for Non-Employee Directors, incorporated by</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10(h) to Registrant's Report on Form 10-Q</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May 14, 1997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10(i)</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Directors' Deferred Compensation Plan adopted by</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Board of Directors on September 15, 1981,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incorporated</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10(i) to Registrant's</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Report on Form 10-Q dated May 14, 1997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10(j)</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Charitable Contribution Program adopted by the Board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of Directors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on February 14, 1995 incorporated by reference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Exhibit 10(j) to Registrant's Report on Form 10-K for the</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fiscal year ended December 31, 1994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10(k)</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as of July 22, 1996 between Registrant and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Hugh R. Kirkpatrick, former Senior Vice-President and Director</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of Registrant incorporated by reference to Exhibit 10(k)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for the fiscal year ended</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December 31,</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1996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10(l)</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1997 Employee Stock Option Plan, incorporated by reference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Exhibit A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Proxy Statement dated March 27,</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1997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10(m)</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June 19, 1997 between Registrant and Hendrik</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 van Baaren, former Senior Vice-President and Director of</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Registrant, incorporated by reference to Exhibit 10(m)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for the fiscal year ended</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December 31,</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1997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10(n)</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September 2, 1998 between Registrant and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David G. Bluestein, former Director and Senior Vice-President</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of Registrant, incorporated by reference to Exhibit 10(c)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Report on Form 10-Q dated November 13, 1998 (File</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No. 1-4858).</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10(o)</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July 27, 1998 between Registrant and Stuart</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 Maconochie, Vice-President of Registrant, incorporated by</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10(b) to Registrant's Report on Form 10-Q</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November 13, 1998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10(p)</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June 23, 1998 between Registrant and Carlos</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A. Lobbosco,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Vice-President of Registrant, incorporated by</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reference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Exhibit 10(a) to Registrant's Report on Form 10-Q</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dated November 13, 1998 (File No. 1-4858).</w:t>
            </w: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10(q)</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July 2, 1998 between Registrant and Brian 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Chadbourne, former Director and Senior Vice-President of</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Registrant, incorporated by reference to Exhibit 10(a) to</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Registrant's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dated August 14, 1998 (File</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No. 1-4858).</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10(r)</w:t>
            </w: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dated February 25, 1998 between Registrant and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Thomas H. Hoppel, former Vice-President, Chief Financial</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Officer and Director of Registrant, incorporated by reference</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to Exhibit 10(a) to Registrant's Report on Form 10-Q dated May</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14, 1998 (File No. 1-4858).</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580" w:hanging="1411"/>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16</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applicable.</w:t>
            </w:r>
          </w:p>
        </w:tc>
      </w:tr>
      <w:tr>
        <w:trPr>
          <w:trHeight w:val="341"/>
        </w:trPr>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18</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applicable.</w:t>
            </w:r>
          </w:p>
        </w:tc>
      </w:tr>
    </w:tbl>
    <w:p>
      <w:pPr>
        <w:spacing w:after="0" w:line="92" w:lineRule="exact"/>
        <w:rPr>
          <w:sz w:val="20"/>
          <w:szCs w:val="20"/>
          <w:color w:val="auto"/>
        </w:rPr>
      </w:pPr>
    </w:p>
    <w:p>
      <w:pPr>
        <w:ind w:left="1580" w:right="4019" w:hanging="1411"/>
        <w:spacing w:after="0" w:line="353"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Principal Subsidiaries. See page E-1 of this Form 10-K.</w:t>
      </w:r>
    </w:p>
    <w:p>
      <w:pPr>
        <w:spacing w:after="0" w:line="12"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rFonts w:ascii="Courier New" w:cs="Courier New" w:eastAsia="Courier New" w:hAnsi="Courier New"/>
          <w:sz w:val="15"/>
          <w:szCs w:val="15"/>
          <w:color w:val="auto"/>
        </w:rPr>
      </w:pPr>
    </w:p>
    <w:p>
      <w:pPr>
        <w:ind w:left="1580" w:right="3479" w:hanging="1411"/>
        <w:spacing w:after="0" w:line="353"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PricewaterhouseCoopers LLP. See page 33 of this Form 10-K.</w:t>
      </w:r>
    </w:p>
    <w:p>
      <w:pPr>
        <w:spacing w:after="0" w:line="12" w:lineRule="exact"/>
        <w:rPr>
          <w:rFonts w:ascii="Courier New" w:cs="Courier New" w:eastAsia="Courier New" w:hAnsi="Courier New"/>
          <w:sz w:val="15"/>
          <w:szCs w:val="15"/>
          <w:color w:val="auto"/>
        </w:rPr>
      </w:pPr>
    </w:p>
    <w:p>
      <w:pPr>
        <w:ind w:left="1580" w:right="3119" w:hanging="1411"/>
        <w:spacing w:after="0" w:line="297"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authorizing George Rowe, Jr. and Stephen A. Block to sign this report and amendments thereto on behalf of certain directors and officers of the Registrant.</w:t>
      </w:r>
    </w:p>
    <w:p>
      <w:pPr>
        <w:spacing w:after="0" w:line="52" w:lineRule="exact"/>
        <w:rPr>
          <w:sz w:val="20"/>
          <w:szCs w:val="20"/>
          <w:color w:val="auto"/>
        </w:rPr>
      </w:pPr>
    </w:p>
    <w:p>
      <w:pPr>
        <w:ind w:left="1580" w:hanging="1411"/>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version only).</w:t>
      </w:r>
    </w:p>
    <w:p>
      <w:pPr>
        <w:spacing w:after="0" w:line="171" w:lineRule="exact"/>
        <w:rPr>
          <w:rFonts w:ascii="Courier New" w:cs="Courier New" w:eastAsia="Courier New" w:hAnsi="Courier New"/>
          <w:sz w:val="15"/>
          <w:szCs w:val="15"/>
          <w:color w:val="auto"/>
        </w:rPr>
      </w:pPr>
    </w:p>
    <w:p>
      <w:pPr>
        <w:ind w:left="1580" w:hanging="1411"/>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160"/>
        <w:spacing w:after="0"/>
        <w:tabs>
          <w:tab w:leader="none" w:pos="156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None.</w:t>
      </w:r>
    </w:p>
    <w:p>
      <w:pPr>
        <w:sectPr>
          <w:pgSz w:w="11900" w:h="16838" w:orient="portrait"/>
          <w:cols w:equalWidth="0" w:num="1">
            <w:col w:w="10219"/>
          </w:cols>
          <w:pgMar w:left="240" w:top="775" w:right="1440" w:bottom="0" w:gutter="0" w:footer="0" w:header="0"/>
        </w:sectPr>
      </w:pPr>
    </w:p>
    <w:bookmarkStart w:id="42" w:name="page43"/>
    <w:bookmarkEnd w:id="42"/>
    <w:p>
      <w:pPr>
        <w:jc w:val="center"/>
        <w:ind w:right="3039"/>
        <w:spacing w:after="0"/>
        <w:rPr>
          <w:sz w:val="20"/>
          <w:szCs w:val="20"/>
          <w:color w:val="auto"/>
        </w:rPr>
      </w:pPr>
      <w:r>
        <w:rPr>
          <w:rFonts w:ascii="Courier New" w:cs="Courier New" w:eastAsia="Courier New" w:hAnsi="Courier New"/>
          <w:sz w:val="15"/>
          <w:szCs w:val="15"/>
          <w:color w:val="auto"/>
        </w:rPr>
        <w:t>FIRST AMENDMENT TO THE AMENDED AND RESTATED</w:t>
      </w:r>
    </w:p>
    <w:p>
      <w:pPr>
        <w:spacing w:after="0" w:line="2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SHAREHOLDER PROTECTION RIGHTS AGREEMENT</w:t>
      </w:r>
    </w:p>
    <w:p>
      <w:pPr>
        <w:spacing w:after="0" w:line="145"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This FIRST AMENDMENT to the AMENDED AND RESTATED SHAREHOLDER PROTECTION RIGHTS AGREEMENT (this "Amendment"), is made as of March 9, 1999, between International Flavors &amp; Fragrances Inc., a New York corporation (the "Company"), and The Bank of New York, a New York banking corporation, as Rights Agent (the "Rights Agent"), which term shall include any successor Rights Agent hereunder). All capitalized terms used herein and not otherwise defined in this Amendment shall have the meanings set forth in the Shareholder Protection Rights Agreement (as defined below), as amended by this Amendment.</w:t>
      </w:r>
    </w:p>
    <w:p>
      <w:pPr>
        <w:spacing w:after="0" w:line="80" w:lineRule="exact"/>
        <w:rPr>
          <w:sz w:val="20"/>
          <w:szCs w:val="20"/>
          <w:color w:val="auto"/>
        </w:rPr>
      </w:pPr>
    </w:p>
    <w:p>
      <w:pPr>
        <w:ind w:right="3479" w:firstLine="444"/>
        <w:spacing w:after="0" w:line="278" w:lineRule="auto"/>
        <w:rPr>
          <w:sz w:val="20"/>
          <w:szCs w:val="20"/>
          <w:color w:val="auto"/>
        </w:rPr>
      </w:pPr>
      <w:r>
        <w:rPr>
          <w:rFonts w:ascii="Courier New" w:cs="Courier New" w:eastAsia="Courier New" w:hAnsi="Courier New"/>
          <w:sz w:val="15"/>
          <w:szCs w:val="15"/>
          <w:color w:val="auto"/>
        </w:rPr>
        <w:t>WHEREAS, the Company and the Rights Agent entered into a Shareholder Protection Rights Agreement (the "Shareholder Protection Rights Agreement"), dated as of February 20, 1990 (as amended and restated as of September 25, 1998); and</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the Board of Directors has the authority pursuant to Section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5.4(iii) of the Shareholder Protection Rights Agreement to amend the Shareholder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Protection Rights Agreement in order to cure any ambiguity or to correct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 any provision contained therein which may be inconsistent with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 therein or otherwise defective.</w:t>
      </w:r>
    </w:p>
    <w:p>
      <w:pPr>
        <w:spacing w:after="0" w:line="145"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NOW, THEREFORE, in consideration of $10.00 and other good and valuable consideration, the receipt and sufficiency of which are hereby acknowledged, the parties hereto agree as follows:</w:t>
      </w:r>
    </w:p>
    <w:p>
      <w:pPr>
        <w:spacing w:after="0" w:line="52" w:lineRule="exact"/>
        <w:rPr>
          <w:sz w:val="20"/>
          <w:szCs w:val="20"/>
          <w:color w:val="auto"/>
        </w:rPr>
      </w:pPr>
    </w:p>
    <w:p>
      <w:pPr>
        <w:ind w:left="880" w:right="3219" w:hanging="445"/>
        <w:spacing w:after="0" w:line="326"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Protection Rights Agreement is hereby amended by replacing the third clause of the definition of "Expiration Time" contained in Section 1.1 in its entirety with the following sentence:</w:t>
      </w:r>
    </w:p>
    <w:p>
      <w:pPr>
        <w:spacing w:after="0" w:line="36" w:lineRule="exact"/>
        <w:rPr>
          <w:sz w:val="20"/>
          <w:szCs w:val="20"/>
          <w:color w:val="auto"/>
        </w:rPr>
      </w:pPr>
    </w:p>
    <w:p>
      <w:pPr>
        <w:ind w:left="1320" w:right="3119"/>
        <w:spacing w:after="0" w:line="353" w:lineRule="auto"/>
        <w:rPr>
          <w:sz w:val="20"/>
          <w:szCs w:val="20"/>
          <w:color w:val="auto"/>
        </w:rPr>
      </w:pPr>
      <w:r>
        <w:rPr>
          <w:rFonts w:ascii="Courier New" w:cs="Courier New" w:eastAsia="Courier New" w:hAnsi="Courier New"/>
          <w:sz w:val="15"/>
          <w:szCs w:val="15"/>
          <w:color w:val="auto"/>
        </w:rPr>
        <w:t>"(iii) the close of business on the tenth-year anniversary of the date hereof (February 20, 2000) and".</w:t>
      </w:r>
    </w:p>
    <w:p>
      <w:pPr>
        <w:spacing w:after="0" w:line="12" w:lineRule="exact"/>
        <w:rPr>
          <w:sz w:val="20"/>
          <w:szCs w:val="20"/>
          <w:color w:val="auto"/>
        </w:rPr>
      </w:pPr>
    </w:p>
    <w:p>
      <w:pPr>
        <w:ind w:left="880" w:right="3399" w:hanging="445"/>
        <w:spacing w:after="0" w:line="29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the Shareholder Protection Rights Agreement shall remain and continue in full force and effect and are hereby confirmed in all respects.</w:t>
      </w:r>
    </w:p>
    <w:p>
      <w:pPr>
        <w:spacing w:after="0" w:line="51" w:lineRule="exact"/>
        <w:rPr>
          <w:rFonts w:ascii="Courier New" w:cs="Courier New" w:eastAsia="Courier New" w:hAnsi="Courier New"/>
          <w:sz w:val="15"/>
          <w:szCs w:val="15"/>
          <w:color w:val="auto"/>
        </w:rPr>
      </w:pPr>
    </w:p>
    <w:p>
      <w:pPr>
        <w:ind w:left="880" w:right="3219" w:hanging="445"/>
        <w:spacing w:after="0" w:line="353"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AND CONSTRUED IN ACCORDANCE WITH THE LAWS OF THE STATE OF NEW YORK AND APPLICABLE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3"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FEDERAL LAW WITHOUT REGARD TO CHOICE OF LAW RULES.</w:t>
      </w:r>
    </w:p>
    <w:p>
      <w:pPr>
        <w:spacing w:after="0" w:line="171" w:lineRule="exact"/>
        <w:rPr>
          <w:rFonts w:ascii="Courier New" w:cs="Courier New" w:eastAsia="Courier New" w:hAnsi="Courier New"/>
          <w:sz w:val="15"/>
          <w:szCs w:val="15"/>
          <w:color w:val="auto"/>
        </w:rPr>
      </w:pPr>
    </w:p>
    <w:p>
      <w:pPr>
        <w:ind w:left="880" w:right="3219" w:hanging="445"/>
        <w:spacing w:after="0" w:line="303"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 and by the different parties hereto on separate counterparts, each of which, when so executed and delivered, shall be an original, but all the counterparts shall together constitute one and the same instrument.</w:t>
      </w:r>
    </w:p>
    <w:p>
      <w:pPr>
        <w:spacing w:after="0" w:line="5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INTERNATIONAL FLAVORS &amp;</w:t>
      </w:r>
    </w:p>
    <w:p>
      <w:pPr>
        <w:spacing w:after="0" w:line="27"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FRAGRANCES INC.</w:t>
      </w:r>
    </w:p>
    <w:p>
      <w:pPr>
        <w:spacing w:after="0" w:line="31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/s/ STEPHEN A. BLOCK</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Stephen A. Block</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Vice President &amp; Secretary</w:t>
      </w: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THE BANK OF NEW YORK,</w:t>
      </w:r>
    </w:p>
    <w:p>
      <w:pPr>
        <w:spacing w:after="0" w:line="2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as Rights Agent</w:t>
      </w:r>
    </w:p>
    <w:p>
      <w:pPr>
        <w:spacing w:after="0" w:line="31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/s/ LESLIE A. DeLUCA</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Leslie A. DeLuca</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286" w:right="1440" w:bottom="1440" w:gutter="0" w:footer="0" w:header="0"/>
        </w:sectPr>
      </w:pPr>
    </w:p>
    <w:bookmarkStart w:id="43" w:name="page44"/>
    <w:bookmarkEnd w:id="43"/>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MARGARET HAYES ADAME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Margaret Hayes Adame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ROBERT G. CORBETT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Robert G. Corbett</w:t>
      </w:r>
    </w:p>
    <w:p>
      <w:pPr>
        <w:sectPr>
          <w:pgSz w:w="11900" w:h="16838" w:orient="portrait"/>
          <w:cols w:equalWidth="0" w:num="1">
            <w:col w:w="10219"/>
          </w:cols>
          <w:pgMar w:left="240" w:top="286" w:right="1440" w:bottom="1440" w:gutter="0" w:footer="0" w:header="0"/>
        </w:sectPr>
      </w:pPr>
    </w:p>
    <w:bookmarkStart w:id="44" w:name="page45"/>
    <w:bookmarkEnd w:id="44"/>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ROBIN CHANDLER DUKE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Robin Chandler Duke</w:t>
      </w:r>
    </w:p>
    <w:p>
      <w:pPr>
        <w:sectPr>
          <w:pgSz w:w="11900" w:h="16838" w:orient="portrait"/>
          <w:cols w:equalWidth="0" w:num="1">
            <w:col w:w="10219"/>
          </w:cols>
          <w:pgMar w:left="240" w:top="775" w:right="1440" w:bottom="1440" w:gutter="0" w:footer="0" w:header="0"/>
        </w:sectPr>
      </w:pPr>
    </w:p>
    <w:bookmarkStart w:id="45" w:name="page46"/>
    <w:bookmarkEnd w:id="45"/>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/s/ RICHARD M. FURLAUD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Richard M. Furlaud</w:t>
      </w:r>
    </w:p>
    <w:p>
      <w:pPr>
        <w:sectPr>
          <w:pgSz w:w="11900" w:h="16838" w:orient="portrait"/>
          <w:cols w:equalWidth="0" w:num="1">
            <w:col w:w="10219"/>
          </w:cols>
          <w:pgMar w:left="240" w:top="775" w:right="1440" w:bottom="1440" w:gutter="0" w:footer="0" w:header="0"/>
        </w:sectPr>
      </w:pPr>
    </w:p>
    <w:bookmarkStart w:id="46" w:name="page47"/>
    <w:bookmarkEnd w:id="46"/>
    <w:p>
      <w:pPr>
        <w:ind w:left="2740"/>
        <w:spacing w:after="0"/>
        <w:rPr>
          <w:sz w:val="20"/>
          <w:szCs w:val="20"/>
          <w:color w:val="auto"/>
        </w:rPr>
      </w:pPr>
      <w:r>
        <w:rPr>
          <w:rFonts w:ascii="Courier New" w:cs="Courier New" w:eastAsia="Courier New" w:hAnsi="Courier New"/>
          <w:sz w:val="15"/>
          <w:szCs w:val="15"/>
          <w:color w:val="auto"/>
        </w:rPr>
        <w:t>POWER OF ATTORNEY</w:t>
      </w:r>
    </w:p>
    <w:p>
      <w:pPr>
        <w:spacing w:after="0" w:line="342"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/s/ EUGENE P. GRISANTI</w:t>
      </w:r>
    </w:p>
    <w:p>
      <w:pPr>
        <w:spacing w:after="0" w:line="27"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Eugene P. Grisanti</w:t>
      </w:r>
    </w:p>
    <w:p>
      <w:pPr>
        <w:sectPr>
          <w:pgSz w:w="11900" w:h="16838" w:orient="portrait"/>
          <w:cols w:equalWidth="0" w:num="1">
            <w:col w:w="10219"/>
          </w:cols>
          <w:pgMar w:left="240" w:top="605" w:right="1440" w:bottom="1440" w:gutter="0" w:footer="0" w:header="0"/>
        </w:sectPr>
      </w:pPr>
    </w:p>
    <w:bookmarkStart w:id="47" w:name="page48"/>
    <w:bookmarkEnd w:id="47"/>
    <w:p>
      <w:pPr>
        <w:jc w:val="center"/>
        <w:ind w:right="3059"/>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710"/>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STUART R. MACONOCHIE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Stuart R. Maconochie</w:t>
      </w:r>
    </w:p>
    <w:p>
      <w:pPr>
        <w:sectPr>
          <w:pgSz w:w="11900" w:h="16838" w:orient="portrait"/>
          <w:cols w:equalWidth="0" w:num="1">
            <w:col w:w="10219"/>
          </w:cols>
          <w:pgMar w:left="240" w:top="775" w:right="1440" w:bottom="1440" w:gutter="0" w:footer="0" w:header="0"/>
        </w:sectPr>
      </w:pPr>
    </w:p>
    <w:bookmarkStart w:id="48" w:name="page49"/>
    <w:bookmarkEnd w:id="48"/>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 GEORGE ROWE, JR.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George Rowe, Jr.</w:t>
      </w:r>
    </w:p>
    <w:p>
      <w:pPr>
        <w:sectPr>
          <w:pgSz w:w="11900" w:h="16838" w:orient="portrait"/>
          <w:cols w:equalWidth="0" w:num="1">
            <w:col w:w="10219"/>
          </w:cols>
          <w:pgMar w:left="240" w:top="775" w:right="1440" w:bottom="1440" w:gutter="0" w:footer="0" w:header="0"/>
        </w:sectPr>
      </w:pPr>
    </w:p>
    <w:bookmarkStart w:id="49" w:name="page50"/>
    <w:bookmarkEnd w:id="49"/>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STANLEY M. RUMBOUGH, JR.(L.S.)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Stanley M. Rumbough, Jr.</w:t>
      </w:r>
    </w:p>
    <w:p>
      <w:pPr>
        <w:sectPr>
          <w:pgSz w:w="11900" w:h="16838" w:orient="portrait"/>
          <w:cols w:equalWidth="0" w:num="1">
            <w:col w:w="10219"/>
          </w:cols>
          <w:pgMar w:left="240" w:top="775" w:right="1440" w:bottom="1440" w:gutter="0" w:footer="0" w:header="0"/>
        </w:sectPr>
      </w:pPr>
    </w:p>
    <w:bookmarkStart w:id="50" w:name="page51"/>
    <w:bookmarkEnd w:id="50"/>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HENRY P. VAN AMERINGEN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Henry P. van Ameringen</w:t>
      </w:r>
    </w:p>
    <w:p>
      <w:pPr>
        <w:sectPr>
          <w:pgSz w:w="11900" w:h="16838" w:orient="portrait"/>
          <w:cols w:equalWidth="0" w:num="1">
            <w:col w:w="10219"/>
          </w:cols>
          <w:pgMar w:left="240" w:top="775" w:right="1440" w:bottom="1440" w:gutter="0" w:footer="0" w:header="0"/>
        </w:sectPr>
      </w:pPr>
    </w:p>
    <w:bookmarkStart w:id="51" w:name="page52"/>
    <w:bookmarkEnd w:id="51"/>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WILLIAM D. VAN DYKE, III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William D. van Dyke, III</w:t>
      </w:r>
    </w:p>
    <w:p>
      <w:pPr>
        <w:sectPr>
          <w:pgSz w:w="11900" w:h="16838" w:orient="portrait"/>
          <w:cols w:equalWidth="0" w:num="1">
            <w:col w:w="10219"/>
          </w:cols>
          <w:pgMar w:left="240" w:top="775" w:right="1440" w:bottom="1440" w:gutter="0" w:footer="0" w:header="0"/>
        </w:sectPr>
      </w:pPr>
    </w:p>
    <w:bookmarkStart w:id="52" w:name="page53"/>
    <w:bookmarkEnd w:id="52"/>
    <w:p>
      <w:pPr>
        <w:ind w:left="2840"/>
        <w:spacing w:after="0"/>
        <w:rPr>
          <w:sz w:val="20"/>
          <w:szCs w:val="20"/>
          <w:color w:val="auto"/>
        </w:rPr>
      </w:pPr>
      <w:r>
        <w:rPr>
          <w:rFonts w:ascii="Courier New" w:cs="Courier New" w:eastAsia="Courier New" w:hAnsi="Courier New"/>
          <w:sz w:val="15"/>
          <w:szCs w:val="15"/>
          <w:color w:val="auto"/>
        </w:rPr>
        <w:t>POWER OF ATTORNEY</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The undersigned director and/or officer of International Flavors &amp; Fragrances Inc., a New York corporation, which is about to file with the Securities and Exchange Commission, under the provisions of Section 13 or 15(d) of the Securities Exchange Act of 1934, as amended, an Annual Report on Form 10-K for the Year Ended December 31, 1998, hereby constitutes and appoints George Rowe, Jr. and Stephen A. Block his (her) attorneys, and each of them his (her) attorney with power to act without the other, with full power of substitution and resubstitution, for him (her) and in his (her) name, place and stead to sign in any and all capacities such Annual Report, and any and all amendments thereto, and to file the same with all exhibits thereto and other documents in connection therewith, granting unto said attorneys, and each of them, full power and authority to do so and to perform all and every act necessary to be done in connection therewith, as fully to all intents and purposes as he (she) might or could do if personally present, hereby ratifying the acts of his (her) said attorneys and each of them.</w:t>
      </w:r>
    </w:p>
    <w:p>
      <w:pPr>
        <w:spacing w:after="0" w:line="86"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undersigned has hereunto set his (her) hand and seal this 9th day of February 1999.</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DOUGLAS J. WETMORE (L.S.)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Douglas J. Wetmore</w:t>
      </w:r>
    </w:p>
    <w:p>
      <w:pPr>
        <w:sectPr>
          <w:pgSz w:w="11900" w:h="16838" w:orient="portrait"/>
          <w:cols w:equalWidth="0" w:num="1">
            <w:col w:w="10219"/>
          </w:cols>
          <w:pgMar w:left="240" w:top="775" w:right="1440" w:bottom="1440" w:gutter="0" w:footer="0" w:header="0"/>
        </w:sectPr>
      </w:pPr>
    </w:p>
    <w:bookmarkStart w:id="53" w:name="page54"/>
    <w:bookmarkEnd w:id="53"/>
    <w:p>
      <w:pPr>
        <w:ind w:left="210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5"/>
          <w:szCs w:val="15"/>
          <w:color w:val="auto"/>
        </w:rPr>
        <w:t>The schedule contains summary financial information extracted from the Consolidated Balance Sheet &amp; Consolidated Statement of Income and is qualified in its entirety by reference to such financial statements. Amounts in thousands of dollars, except per share amounts.</w:t>
      </w:r>
    </w:p>
    <w:p>
      <w:pPr>
        <w:spacing w:after="0" w:line="6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2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114,960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1,039</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264,352</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9,517</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403,961</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848,028</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913,397</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414,613</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1,388,064</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272,908</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4,341</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14,470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930,581</w:t>
      </w:r>
    </w:p>
    <w:p>
      <w:pPr>
        <w:spacing w:after="0" w:line="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1,388,064</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1,407,349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1,407,349</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763,482</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1,098,367</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(6,356)</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2,228</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2,042</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311,068</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107,283</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203,785</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203,785</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1.90</w:t>
      </w:r>
    </w:p>
    <w:sectPr>
      <w:pgSz w:w="11900" w:h="16838" w:orient="portrait"/>
      <w:cols w:equalWidth="0" w:num="1">
        <w:col w:w="10199"/>
      </w:cols>
      <w:pgMar w:left="26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55"/>
    </w:lvl>
  </w:abstractNum>
  <w:abstractNum w:abstractNumId="3">
    <w:nsid w:val="66EF438D"/>
    <w:multiLevelType w:val="hybridMultilevel"/>
    <w:lvl w:ilvl="0">
      <w:lvlJc w:val="left"/>
      <w:lvlText w:val="%1"/>
      <w:numFmt w:val="decimal"/>
      <w:start w:val="49"/>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9"/>
      <w:numFmt w:val="bullet"/>
      <w:start w:val="1"/>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21"/>
    </w:lvl>
  </w:abstractNum>
  <w:abstractNum w:abstractNumId="11">
    <w:nsid w:val="6B68079A"/>
    <w:multiLevelType w:val="hybridMultilevel"/>
    <w:lvl w:ilvl="0">
      <w:lvlJc w:val="left"/>
      <w:lvlText w:val="%1"/>
      <w:numFmt w:val="decimal"/>
      <w:start w:val="27"/>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9"/>
      <w:numFmt w:val="bullet"/>
      <w:start w:val="1"/>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21"/>
    </w:lvl>
  </w:abstractNum>
  <w:abstractNum w:abstractNumId="17">
    <w:nsid w:val="7C83E458"/>
    <w:multiLevelType w:val="hybridMultilevel"/>
    <w:lvl w:ilvl="0">
      <w:lvlJc w:val="left"/>
      <w:lvlText w:val="%1"/>
      <w:numFmt w:val="decimal"/>
      <w:start w:val="27"/>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2020-02-22T10:15:29Z</dcterms:created>
  <dcterms:modified xsi:type="dcterms:W3CDTF">2020-02-22T10:15:29Z</dcterms:modified>
</cp:coreProperties>
</file>