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Mantas Jesus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WEST 57TH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INTERNATIONAL FLAVORS &amp; FRAGRANCES INC</w:t>
              </w:r>
            </w:hyperlink>
            <w:r>
              <w:rPr/>
              <w:t xml:space="preserve"> [ </w:t>
            </w:r>
            <w:r>
              <w:rPr>
                <w:rFonts w:ascii="Times;serif" w:hAnsi="Times;serif"/>
                <w:color w:val="0000FF"/>
                <w:sz w:val="24"/>
                <w:shd w:fill="FFFFFF" w:val="clear"/>
              </w:rPr>
              <w:t>IFF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666"/>
        <w:gridCol w:w="906"/>
        <w:gridCol w:w="801"/>
        <w:gridCol w:w="891"/>
        <w:gridCol w:w="68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2,281</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RSUs granted under the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 2025, the reporting person was granted 2,281 RSUs, all of which vested on May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Upon the vesting of RSUs on May 1, 2026, the reporting person deferred the receipt of 2,281 shares of Common Stock and received instead 2,281 Stock Equivalent Units ("Units") pursuant to the Company's deferredcompensation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Units are payable in Common Stock upon the earlier of the reporting person ceasing to serve as a member of the Company's Board of Directors or January 1 following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Chrystalla Potamitou,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331" TargetMode="External"/><Relationship Id="rId5" Type="http://schemas.openxmlformats.org/officeDocument/2006/relationships/hyperlink" Target="http://www.sec.gov/cgi-bin/browse-edgar?action=getcompany&amp;CIK=0000051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3795</Characters>
  <CharactersWithSpaces>4427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