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9"/>
          <w:szCs w:val="19"/>
          <w:color w:val="auto"/>
        </w:rPr>
        <w:t>Filing pursuant to Rule 425 under the</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9"/>
          <w:szCs w:val="19"/>
          <w:color w:val="auto"/>
        </w:rPr>
        <w:t>Securities Act of 1933, as amended</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9"/>
          <w:szCs w:val="19"/>
          <w:color w:val="auto"/>
        </w:rPr>
        <w:t>Filer: International Flavors &amp; Fragrances Inc.</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Subject Companies: International Flavors &amp; Fragrances Inc.; Frutarom Industries Ltd.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9"/>
          <w:szCs w:val="19"/>
          <w:color w:val="auto"/>
        </w:rPr>
        <w:t>Filer’s Commission File Number: 1-4858</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9"/>
          <w:szCs w:val="19"/>
          <w:color w:val="auto"/>
        </w:rPr>
        <w:t>Date: June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153035</wp:posOffset>
            </wp:positionV>
            <wp:extent cx="7312025" cy="4116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ectPr>
          <w:pgSz w:w="11900" w:h="16838" w:orient="portrait"/>
          <w:cols w:equalWidth="0" w:num="1">
            <w:col w:w="10220"/>
          </w:cols>
          <w:pgMar w:left="1440" w:top="227"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Cautionary Statement Regarding Forward Looking Statements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inability to obtain the requisite Frutarom shareholder approval of the transaction,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21"/>
          <w:szCs w:val="21"/>
          <w:color w:val="auto"/>
        </w:rPr>
        <w:t>In addition to the factors set forth above, other factors that may affect IFF’s plans, results or stock price are set forth in IFF’s Annual Report on Form 10-K, Quarterly Reports on Form 10-Q and Current Reports on Form 8-K.</w:t>
      </w:r>
    </w:p>
    <w:p>
      <w:pPr>
        <w:sectPr>
          <w:pgSz w:w="11900" w:h="16838" w:orient="portrait"/>
          <w:cols w:equalWidth="0" w:num="1">
            <w:col w:w="11380"/>
          </w:cols>
          <w:pgMar w:left="240" w:top="256" w:right="279" w:bottom="1440" w:gutter="0" w:footer="0" w:header="0"/>
        </w:sectPr>
      </w:pPr>
    </w:p>
    <w:bookmarkStart w:id="51" w:name="page52"/>
    <w:bookmarkEnd w:id="51"/>
    <w:p>
      <w:pPr>
        <w:jc w:val="both"/>
        <w:ind w:right="220"/>
        <w:spacing w:after="0" w:line="26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Important Additional Information and Where to Find It</w:t>
      </w: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IFF will file with the SEC a registration statement on Form S-4 that will include a proxy statement of Frutarom that also constitutes a prospectus of IFF. INVESTORS AND SECURITY HOLDERS OF FRUTAROM ARE URGED TO READ THE DEFINITIVE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(when available) and other documents filed with the SEC by the parties through the website maintained by the SEC at http://www.sec.gov. Copies of the documents filed with the SEC by IFF will be available free of charge on IFF’s internet website at ir.iff.com.</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2</w:t>
      </w:r>
    </w:p>
    <w:sectPr>
      <w:pgSz w:w="11900" w:h="16838" w:orient="portrait"/>
      <w:cols w:equalWidth="0" w:num="1">
        <w:col w:w="11280"/>
      </w:cols>
      <w:pgMar w:left="240" w:top="26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2019-12-05T06:34:17Z</dcterms:created>
  <dcterms:modified xsi:type="dcterms:W3CDTF">2019-12-05T06:34:17Z</dcterms:modified>
</cp:coreProperties>
</file>