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139065</wp:posOffset>
            </wp:positionH>
            <wp:positionV relativeFrom="page">
              <wp:posOffset>139065</wp:posOffset>
            </wp:positionV>
            <wp:extent cx="3779520" cy="69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9520" cy="69215"/>
                    </a:xfrm>
                    <a:prstGeom prst="rect">
                      <a:avLst/>
                    </a:prstGeom>
                    <a:noFill/>
                  </pic:spPr>
                </pic:pic>
              </a:graphicData>
            </a:graphic>
          </wp:anchor>
        </w:drawing>
        <w:t>SECURITIES AND EXCHANGE COMMISSION</w:t>
      </w:r>
    </w:p>
    <w:p>
      <w:pPr>
        <w:spacing w:after="0" w:line="83" w:lineRule="exact"/>
        <w:rPr>
          <w:sz w:val="24"/>
          <w:szCs w:val="24"/>
          <w:color w:val="auto"/>
        </w:rPr>
      </w:pPr>
    </w:p>
    <w:p>
      <w:pPr>
        <w:jc w:val="center"/>
        <w:ind w:right="4219"/>
        <w:spacing w:after="0"/>
        <w:rPr>
          <w:sz w:val="20"/>
          <w:szCs w:val="20"/>
          <w:color w:val="auto"/>
        </w:rPr>
      </w:pPr>
      <w:r>
        <w:rPr>
          <w:rFonts w:ascii="Arial" w:cs="Arial" w:eastAsia="Arial" w:hAnsi="Arial"/>
          <w:sz w:val="13"/>
          <w:szCs w:val="13"/>
          <w:b w:val="1"/>
          <w:bCs w:val="1"/>
          <w:color w:val="auto"/>
        </w:rPr>
        <w:t>Washington, D.C. 20549</w:t>
      </w:r>
    </w:p>
    <w:p>
      <w:pPr>
        <w:spacing w:after="0" w:line="80" w:lineRule="exact"/>
        <w:rPr>
          <w:sz w:val="24"/>
          <w:szCs w:val="24"/>
          <w:color w:val="auto"/>
        </w:rPr>
      </w:pPr>
    </w:p>
    <w:p>
      <w:pPr>
        <w:jc w:val="center"/>
        <w:ind w:right="4219"/>
        <w:spacing w:after="0"/>
        <w:rPr>
          <w:sz w:val="20"/>
          <w:szCs w:val="20"/>
          <w:color w:val="auto"/>
        </w:rPr>
      </w:pPr>
      <w:r>
        <w:rPr>
          <w:rFonts w:ascii="Arial" w:cs="Arial" w:eastAsia="Arial" w:hAnsi="Arial"/>
          <w:sz w:val="16"/>
          <w:szCs w:val="16"/>
          <w:b w:val="1"/>
          <w:bCs w:val="1"/>
          <w:color w:val="auto"/>
        </w:rPr>
        <w:t>FORM 10-K</w:t>
      </w:r>
    </w:p>
    <w:p>
      <w:pPr>
        <w:spacing w:after="0" w:line="81" w:lineRule="exact"/>
        <w:rPr>
          <w:sz w:val="24"/>
          <w:szCs w:val="24"/>
          <w:color w:val="auto"/>
        </w:rPr>
      </w:pPr>
    </w:p>
    <w:p>
      <w:pPr>
        <w:jc w:val="center"/>
        <w:ind w:right="4219"/>
        <w:spacing w:after="0"/>
        <w:rPr>
          <w:sz w:val="20"/>
          <w:szCs w:val="20"/>
          <w:color w:val="auto"/>
        </w:rPr>
      </w:pPr>
      <w:r>
        <w:rPr>
          <w:rFonts w:ascii="Arial" w:cs="Arial" w:eastAsia="Arial" w:hAnsi="Arial"/>
          <w:sz w:val="13"/>
          <w:szCs w:val="13"/>
          <w:b w:val="1"/>
          <w:bCs w:val="1"/>
          <w:color w:val="auto"/>
        </w:rPr>
        <w:t>Annual Report Pursuant to Section 13 or 15(d) of</w:t>
      </w:r>
    </w:p>
    <w:p>
      <w:pPr>
        <w:spacing w:after="0" w:line="20" w:lineRule="exact"/>
        <w:rPr>
          <w:sz w:val="24"/>
          <w:szCs w:val="24"/>
          <w:color w:val="auto"/>
        </w:rPr>
      </w:pPr>
    </w:p>
    <w:p>
      <w:pPr>
        <w:jc w:val="center"/>
        <w:ind w:right="4219"/>
        <w:spacing w:after="0"/>
        <w:rPr>
          <w:sz w:val="20"/>
          <w:szCs w:val="20"/>
          <w:color w:val="auto"/>
        </w:rPr>
      </w:pPr>
      <w:r>
        <w:rPr>
          <w:rFonts w:ascii="Arial" w:cs="Arial" w:eastAsia="Arial" w:hAnsi="Arial"/>
          <w:sz w:val="13"/>
          <w:szCs w:val="13"/>
          <w:b w:val="1"/>
          <w:bCs w:val="1"/>
          <w:color w:val="auto"/>
        </w:rPr>
        <w:t>the Securities Exchange Act of 1934</w:t>
      </w:r>
    </w:p>
    <w:p>
      <w:pPr>
        <w:spacing w:after="0" w:line="81" w:lineRule="exact"/>
        <w:rPr>
          <w:sz w:val="24"/>
          <w:szCs w:val="24"/>
          <w:color w:val="auto"/>
        </w:rPr>
      </w:pPr>
    </w:p>
    <w:p>
      <w:pPr>
        <w:jc w:val="center"/>
        <w:ind w:right="4219"/>
        <w:spacing w:after="0"/>
        <w:rPr>
          <w:sz w:val="20"/>
          <w:szCs w:val="20"/>
          <w:color w:val="auto"/>
        </w:rPr>
      </w:pPr>
      <w:r>
        <w:rPr>
          <w:rFonts w:ascii="Arial" w:cs="Arial" w:eastAsia="Arial" w:hAnsi="Arial"/>
          <w:sz w:val="13"/>
          <w:szCs w:val="13"/>
          <w:color w:val="auto"/>
        </w:rPr>
        <w:t>For the fiscal year ended December 31, 2006</w:t>
      </w:r>
    </w:p>
    <w:p>
      <w:pPr>
        <w:spacing w:after="0" w:line="84" w:lineRule="exact"/>
        <w:rPr>
          <w:sz w:val="24"/>
          <w:szCs w:val="24"/>
          <w:color w:val="auto"/>
        </w:rPr>
      </w:pPr>
    </w:p>
    <w:p>
      <w:pPr>
        <w:jc w:val="center"/>
        <w:ind w:right="4219"/>
        <w:spacing w:after="0"/>
        <w:rPr>
          <w:sz w:val="20"/>
          <w:szCs w:val="20"/>
          <w:color w:val="auto"/>
        </w:rPr>
      </w:pPr>
      <w:r>
        <w:rPr>
          <w:rFonts w:ascii="Arial" w:cs="Arial" w:eastAsia="Arial" w:hAnsi="Arial"/>
          <w:sz w:val="13"/>
          <w:szCs w:val="13"/>
          <w:b w:val="1"/>
          <w:bCs w:val="1"/>
          <w:color w:val="auto"/>
        </w:rPr>
        <w:t>Commission File Number 1-4858</w:t>
      </w:r>
    </w:p>
    <w:p>
      <w:pPr>
        <w:spacing w:after="0" w:line="77" w:lineRule="exact"/>
        <w:rPr>
          <w:sz w:val="24"/>
          <w:szCs w:val="24"/>
          <w:color w:val="auto"/>
        </w:rPr>
      </w:pPr>
    </w:p>
    <w:p>
      <w:pPr>
        <w:jc w:val="center"/>
        <w:ind w:right="4219"/>
        <w:spacing w:after="0"/>
        <w:rPr>
          <w:sz w:val="20"/>
          <w:szCs w:val="20"/>
          <w:color w:val="auto"/>
        </w:rPr>
      </w:pPr>
      <w:r>
        <w:rPr>
          <w:rFonts w:ascii="Arial" w:cs="Arial" w:eastAsia="Arial" w:hAnsi="Arial"/>
          <w:sz w:val="21"/>
          <w:szCs w:val="21"/>
          <w:b w:val="1"/>
          <w:bCs w:val="1"/>
          <w:color w:val="auto"/>
        </w:rPr>
        <w:t>INTERNATIONAL FLAVORS &amp; FRAGRANCES INC.</w:t>
      </w:r>
    </w:p>
    <w:p>
      <w:pPr>
        <w:spacing w:after="0" w:line="96" w:lineRule="exact"/>
        <w:rPr>
          <w:sz w:val="24"/>
          <w:szCs w:val="24"/>
          <w:color w:val="auto"/>
        </w:rPr>
      </w:pPr>
    </w:p>
    <w:p>
      <w:pPr>
        <w:ind w:left="1900"/>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350" cy="62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229" w:lineRule="exact"/>
        <w:rPr>
          <w:sz w:val="24"/>
          <w:szCs w:val="24"/>
          <w:color w:val="auto"/>
        </w:rPr>
      </w:pPr>
    </w:p>
    <w:tbl>
      <w:tblPr>
        <w:tblLayout w:type="fixed"/>
        <w:tblInd w:w="500" w:type="dxa"/>
        <w:tblCellMar>
          <w:top w:w="0" w:type="dxa"/>
          <w:left w:w="0" w:type="dxa"/>
          <w:bottom w:w="0" w:type="dxa"/>
          <w:right w:w="0" w:type="dxa"/>
        </w:tblCellMar>
      </w:tblPr>
      <w:tr>
        <w:trPr>
          <w:trHeight w:val="169"/>
        </w:trPr>
        <w:tc>
          <w:tcPr>
            <w:tcW w:w="3120" w:type="dxa"/>
            <w:vAlign w:val="bottom"/>
          </w:tcPr>
          <w:p>
            <w:pPr>
              <w:jc w:val="center"/>
              <w:ind w:right="442"/>
              <w:spacing w:after="0"/>
              <w:rPr>
                <w:sz w:val="20"/>
                <w:szCs w:val="20"/>
                <w:color w:val="auto"/>
              </w:rPr>
            </w:pPr>
            <w:r>
              <w:rPr>
                <w:rFonts w:ascii="Arial" w:cs="Arial" w:eastAsia="Arial" w:hAnsi="Arial"/>
                <w:sz w:val="13"/>
                <w:szCs w:val="13"/>
                <w:b w:val="1"/>
                <w:bCs w:val="1"/>
                <w:color w:val="auto"/>
              </w:rPr>
              <w:t>NEW YORK</w:t>
            </w:r>
          </w:p>
        </w:tc>
        <w:tc>
          <w:tcPr>
            <w:tcW w:w="1940" w:type="dxa"/>
            <w:vAlign w:val="bottom"/>
          </w:tcPr>
          <w:p>
            <w:pPr>
              <w:jc w:val="right"/>
              <w:ind w:right="341"/>
              <w:spacing w:after="0"/>
              <w:rPr>
                <w:sz w:val="20"/>
                <w:szCs w:val="20"/>
                <w:color w:val="auto"/>
              </w:rPr>
            </w:pPr>
            <w:r>
              <w:rPr>
                <w:rFonts w:ascii="Arial" w:cs="Arial" w:eastAsia="Arial" w:hAnsi="Arial"/>
                <w:sz w:val="13"/>
                <w:szCs w:val="13"/>
                <w:b w:val="1"/>
                <w:bCs w:val="1"/>
                <w:color w:val="auto"/>
              </w:rPr>
              <w:t>13-1432060</w:t>
            </w:r>
          </w:p>
        </w:tc>
      </w:tr>
      <w:tr>
        <w:trPr>
          <w:trHeight w:val="137"/>
        </w:trPr>
        <w:tc>
          <w:tcPr>
            <w:tcW w:w="3120" w:type="dxa"/>
            <w:vAlign w:val="bottom"/>
          </w:tcPr>
          <w:p>
            <w:pPr>
              <w:jc w:val="center"/>
              <w:ind w:right="442"/>
              <w:spacing w:after="0"/>
              <w:rPr>
                <w:sz w:val="20"/>
                <w:szCs w:val="20"/>
                <w:color w:val="auto"/>
              </w:rPr>
            </w:pPr>
            <w:r>
              <w:rPr>
                <w:rFonts w:ascii="Arial" w:cs="Arial" w:eastAsia="Arial" w:hAnsi="Arial"/>
                <w:sz w:val="11"/>
                <w:szCs w:val="11"/>
                <w:color w:val="auto"/>
                <w:w w:val="88"/>
              </w:rPr>
              <w:t>(State or other jurisdiction of</w:t>
            </w:r>
          </w:p>
        </w:tc>
        <w:tc>
          <w:tcPr>
            <w:tcW w:w="1940" w:type="dxa"/>
            <w:vAlign w:val="bottom"/>
          </w:tcPr>
          <w:p>
            <w:pPr>
              <w:jc w:val="center"/>
              <w:ind w:left="441"/>
              <w:spacing w:after="0"/>
              <w:rPr>
                <w:sz w:val="20"/>
                <w:szCs w:val="20"/>
                <w:color w:val="auto"/>
              </w:rPr>
            </w:pPr>
            <w:r>
              <w:rPr>
                <w:rFonts w:ascii="Arial" w:cs="Arial" w:eastAsia="Arial" w:hAnsi="Arial"/>
                <w:sz w:val="11"/>
                <w:szCs w:val="11"/>
                <w:color w:val="auto"/>
                <w:w w:val="89"/>
              </w:rPr>
              <w:t>(IRS Employer Identification No.)</w:t>
            </w:r>
          </w:p>
        </w:tc>
      </w:tr>
      <w:tr>
        <w:trPr>
          <w:trHeight w:val="132"/>
        </w:trPr>
        <w:tc>
          <w:tcPr>
            <w:tcW w:w="3120" w:type="dxa"/>
            <w:vAlign w:val="bottom"/>
          </w:tcPr>
          <w:p>
            <w:pPr>
              <w:jc w:val="center"/>
              <w:ind w:right="442"/>
              <w:spacing w:after="0"/>
              <w:rPr>
                <w:sz w:val="20"/>
                <w:szCs w:val="20"/>
                <w:color w:val="auto"/>
              </w:rPr>
            </w:pPr>
            <w:r>
              <w:rPr>
                <w:rFonts w:ascii="Arial" w:cs="Arial" w:eastAsia="Arial" w:hAnsi="Arial"/>
                <w:sz w:val="11"/>
                <w:szCs w:val="11"/>
                <w:color w:val="auto"/>
                <w:w w:val="88"/>
              </w:rPr>
              <w:t>incorporation or organization)</w:t>
            </w:r>
          </w:p>
        </w:tc>
        <w:tc>
          <w:tcPr>
            <w:tcW w:w="1940" w:type="dxa"/>
            <w:vAlign w:val="bottom"/>
          </w:tcPr>
          <w:p>
            <w:pPr>
              <w:spacing w:after="0"/>
              <w:rPr>
                <w:sz w:val="11"/>
                <w:szCs w:val="11"/>
                <w:color w:val="auto"/>
              </w:rPr>
            </w:pPr>
          </w:p>
        </w:tc>
      </w:tr>
      <w:tr>
        <w:trPr>
          <w:trHeight w:val="265"/>
        </w:trPr>
        <w:tc>
          <w:tcPr>
            <w:tcW w:w="3120" w:type="dxa"/>
            <w:vAlign w:val="bottom"/>
          </w:tcPr>
          <w:p>
            <w:pPr>
              <w:jc w:val="center"/>
              <w:ind w:right="442"/>
              <w:spacing w:after="0"/>
              <w:rPr>
                <w:sz w:val="20"/>
                <w:szCs w:val="20"/>
                <w:color w:val="auto"/>
              </w:rPr>
            </w:pPr>
            <w:r>
              <w:rPr>
                <w:rFonts w:ascii="Arial" w:cs="Arial" w:eastAsia="Arial" w:hAnsi="Arial"/>
                <w:sz w:val="13"/>
                <w:szCs w:val="13"/>
                <w:b w:val="1"/>
                <w:bCs w:val="1"/>
                <w:color w:val="auto"/>
                <w:w w:val="99"/>
              </w:rPr>
              <w:t>521 WEST 57TH STREET, NEW YORK, N.Y.</w:t>
            </w:r>
          </w:p>
        </w:tc>
        <w:tc>
          <w:tcPr>
            <w:tcW w:w="1940" w:type="dxa"/>
            <w:vAlign w:val="bottom"/>
          </w:tcPr>
          <w:p>
            <w:pPr>
              <w:jc w:val="right"/>
              <w:ind w:right="501"/>
              <w:spacing w:after="0"/>
              <w:rPr>
                <w:sz w:val="20"/>
                <w:szCs w:val="20"/>
                <w:color w:val="auto"/>
              </w:rPr>
            </w:pPr>
            <w:r>
              <w:rPr>
                <w:rFonts w:ascii="Arial" w:cs="Arial" w:eastAsia="Arial" w:hAnsi="Arial"/>
                <w:sz w:val="13"/>
                <w:szCs w:val="13"/>
                <w:b w:val="1"/>
                <w:bCs w:val="1"/>
                <w:color w:val="auto"/>
              </w:rPr>
              <w:t>10019</w:t>
            </w:r>
          </w:p>
        </w:tc>
      </w:tr>
      <w:tr>
        <w:trPr>
          <w:trHeight w:val="140"/>
        </w:trPr>
        <w:tc>
          <w:tcPr>
            <w:tcW w:w="3120" w:type="dxa"/>
            <w:vAlign w:val="bottom"/>
          </w:tcPr>
          <w:p>
            <w:pPr>
              <w:jc w:val="center"/>
              <w:ind w:right="442"/>
              <w:spacing w:after="0"/>
              <w:rPr>
                <w:sz w:val="20"/>
                <w:szCs w:val="20"/>
                <w:color w:val="auto"/>
              </w:rPr>
            </w:pPr>
            <w:r>
              <w:rPr>
                <w:rFonts w:ascii="Arial" w:cs="Arial" w:eastAsia="Arial" w:hAnsi="Arial"/>
                <w:sz w:val="11"/>
                <w:szCs w:val="11"/>
                <w:color w:val="auto"/>
                <w:w w:val="88"/>
              </w:rPr>
              <w:t>(Address of principal executive offices)</w:t>
            </w:r>
          </w:p>
        </w:tc>
        <w:tc>
          <w:tcPr>
            <w:tcW w:w="1940" w:type="dxa"/>
            <w:vAlign w:val="bottom"/>
          </w:tcPr>
          <w:p>
            <w:pPr>
              <w:jc w:val="center"/>
              <w:ind w:left="461"/>
              <w:spacing w:after="0"/>
              <w:rPr>
                <w:sz w:val="20"/>
                <w:szCs w:val="20"/>
                <w:color w:val="auto"/>
              </w:rPr>
            </w:pPr>
            <w:r>
              <w:rPr>
                <w:rFonts w:ascii="Arial" w:cs="Arial" w:eastAsia="Arial" w:hAnsi="Arial"/>
                <w:sz w:val="11"/>
                <w:szCs w:val="11"/>
                <w:color w:val="auto"/>
                <w:w w:val="8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-533400</wp:posOffset>
            </wp:positionV>
            <wp:extent cx="37674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7455" cy="63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-483235</wp:posOffset>
            </wp:positionV>
            <wp:extent cx="63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-483235</wp:posOffset>
            </wp:positionV>
            <wp:extent cx="63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-344805</wp:posOffset>
            </wp:positionV>
            <wp:extent cx="63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-344805</wp:posOffset>
            </wp:positionV>
            <wp:extent cx="63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-175260</wp:posOffset>
            </wp:positionV>
            <wp:extent cx="63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-175260</wp:posOffset>
            </wp:positionV>
            <wp:extent cx="63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-43815</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-43815</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6350" cy="62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169" w:lineRule="exact"/>
        <w:rPr>
          <w:sz w:val="24"/>
          <w:szCs w:val="24"/>
          <w:color w:val="auto"/>
        </w:rPr>
      </w:pPr>
    </w:p>
    <w:p>
      <w:pPr>
        <w:jc w:val="center"/>
        <w:ind w:right="4219"/>
        <w:spacing w:after="0"/>
        <w:rPr>
          <w:sz w:val="20"/>
          <w:szCs w:val="20"/>
          <w:color w:val="auto"/>
        </w:rPr>
      </w:pPr>
      <w:r>
        <w:rPr>
          <w:rFonts w:ascii="Arial" w:cs="Arial" w:eastAsia="Arial" w:hAnsi="Arial"/>
          <w:sz w:val="13"/>
          <w:szCs w:val="13"/>
          <w:color w:val="auto"/>
        </w:rPr>
        <w:t>Registrant’s telephone number, including area code (212) 765-5500</w:t>
      </w:r>
    </w:p>
    <w:p>
      <w:pPr>
        <w:spacing w:after="0" w:line="84" w:lineRule="exact"/>
        <w:rPr>
          <w:sz w:val="24"/>
          <w:szCs w:val="24"/>
          <w:color w:val="auto"/>
        </w:rPr>
      </w:pPr>
    </w:p>
    <w:p>
      <w:pPr>
        <w:jc w:val="center"/>
        <w:ind w:right="42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355981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810" cy="6350"/>
                    </a:xfrm>
                    <a:prstGeom prst="rect">
                      <a:avLst/>
                    </a:prstGeom>
                    <a:noFill/>
                  </pic:spPr>
                </pic:pic>
              </a:graphicData>
            </a:graphic>
          </wp:anchor>
        </w:drawing>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b w:val="1"/>
                <w:bCs w:val="1"/>
                <w:color w:val="auto"/>
                <w:w w:val="96"/>
              </w:rPr>
              <w:t>NAME OF EACH EXCHANGE ON</w:t>
            </w:r>
          </w:p>
        </w:tc>
      </w:tr>
      <w:tr>
        <w:trPr>
          <w:trHeight w:val="136"/>
        </w:trPr>
        <w:tc>
          <w:tcPr>
            <w:tcW w:w="274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TITLE OF EACH CLASS</w:t>
            </w:r>
          </w:p>
        </w:tc>
        <w:tc>
          <w:tcPr>
            <w:tcW w:w="120" w:type="dxa"/>
            <w:vAlign w:val="bottom"/>
          </w:tcPr>
          <w:p>
            <w:pPr>
              <w:spacing w:after="0"/>
              <w:rPr>
                <w:sz w:val="11"/>
                <w:szCs w:val="11"/>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WHICH REGISTERED</w:t>
            </w:r>
          </w:p>
        </w:tc>
      </w:tr>
      <w:tr>
        <w:trPr>
          <w:trHeight w:val="155"/>
        </w:trPr>
        <w:tc>
          <w:tcPr>
            <w:tcW w:w="2740" w:type="dxa"/>
            <w:vAlign w:val="bottom"/>
          </w:tcPr>
          <w:p>
            <w:pPr>
              <w:ind w:left="260"/>
              <w:spacing w:after="0"/>
              <w:rPr>
                <w:sz w:val="20"/>
                <w:szCs w:val="20"/>
                <w:color w:val="auto"/>
              </w:rPr>
            </w:pPr>
            <w:r>
              <w:rPr>
                <w:rFonts w:ascii="Arial" w:cs="Arial" w:eastAsia="Arial" w:hAnsi="Arial"/>
                <w:sz w:val="13"/>
                <w:szCs w:val="13"/>
                <w:color w:val="auto"/>
              </w:rPr>
              <w:t>Common Stock, par value 12½¢ per share</w:t>
            </w:r>
          </w:p>
        </w:tc>
        <w:tc>
          <w:tcPr>
            <w:tcW w:w="12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Arial" w:cs="Arial" w:eastAsia="Arial" w:hAnsi="Arial"/>
                <w:sz w:val="13"/>
                <w:szCs w:val="13"/>
                <w:color w:val="auto"/>
                <w:w w:val="92"/>
              </w:rPr>
              <w:t>New York Stock Exchange</w:t>
            </w:r>
          </w:p>
        </w:tc>
      </w:tr>
      <w:tr>
        <w:trPr>
          <w:trHeight w:val="340"/>
        </w:trPr>
        <w:tc>
          <w:tcPr>
            <w:tcW w:w="5640" w:type="dxa"/>
            <w:vAlign w:val="bottom"/>
            <w:gridSpan w:val="3"/>
          </w:tcPr>
          <w:p>
            <w:pPr>
              <w:ind w:left="760"/>
              <w:spacing w:after="0"/>
              <w:rPr>
                <w:sz w:val="20"/>
                <w:szCs w:val="20"/>
                <w:color w:val="auto"/>
              </w:rPr>
            </w:pPr>
            <w:r>
              <w:rPr>
                <w:rFonts w:ascii="Arial" w:cs="Arial" w:eastAsia="Arial" w:hAnsi="Arial"/>
                <w:sz w:val="13"/>
                <w:szCs w:val="13"/>
                <w:b w:val="1"/>
                <w:bCs w:val="1"/>
                <w:color w:val="auto"/>
              </w:rPr>
              <w:t>SECURITIES REGISTERED PURSUANT TO SECTION 12(g) OF THE ACT:</w:t>
            </w:r>
          </w:p>
        </w:tc>
      </w:tr>
      <w:tr>
        <w:trPr>
          <w:trHeight w:val="165"/>
        </w:trPr>
        <w:tc>
          <w:tcPr>
            <w:tcW w:w="2740" w:type="dxa"/>
            <w:vAlign w:val="bottom"/>
          </w:tcPr>
          <w:p>
            <w:pPr>
              <w:spacing w:after="0"/>
              <w:rPr>
                <w:sz w:val="14"/>
                <w:szCs w:val="14"/>
                <w:color w:val="auto"/>
              </w:rPr>
            </w:pPr>
          </w:p>
        </w:tc>
        <w:tc>
          <w:tcPr>
            <w:tcW w:w="2900" w:type="dxa"/>
            <w:vAlign w:val="bottom"/>
            <w:gridSpan w:val="2"/>
          </w:tcPr>
          <w:p>
            <w:pPr>
              <w:ind w:left="120"/>
              <w:spacing w:after="0"/>
              <w:rPr>
                <w:sz w:val="20"/>
                <w:szCs w:val="20"/>
                <w:color w:val="auto"/>
              </w:rPr>
            </w:pPr>
            <w:r>
              <w:rPr>
                <w:rFonts w:ascii="Arial" w:cs="Arial" w:eastAsia="Arial" w:hAnsi="Arial"/>
                <w:sz w:val="13"/>
                <w:szCs w:val="13"/>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1744980</wp:posOffset>
            </wp:positionH>
            <wp:positionV relativeFrom="paragraph">
              <wp:posOffset>-519430</wp:posOffset>
            </wp:positionV>
            <wp:extent cx="63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-519430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-381635</wp:posOffset>
            </wp:positionV>
            <wp:extent cx="63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-381635</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-318770</wp:posOffset>
            </wp:positionV>
            <wp:extent cx="6350" cy="62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52" w:lineRule="exact"/>
        <w:rPr>
          <w:sz w:val="24"/>
          <w:szCs w:val="24"/>
          <w:color w:val="auto"/>
        </w:rPr>
      </w:pPr>
    </w:p>
    <w:p>
      <w:pPr>
        <w:ind w:left="2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Act. Yes </w:t>
      </w:r>
      <w:r>
        <w:rPr>
          <w:sz w:val="1"/>
          <w:szCs w:val="1"/>
          <w:color w:val="auto"/>
        </w:rPr>
        <w:drawing>
          <wp:inline distT="0" distB="0" distL="0" distR="0">
            <wp:extent cx="62865" cy="62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62865" cy="628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81" w:lineRule="exact"/>
        <w:rPr>
          <w:sz w:val="24"/>
          <w:szCs w:val="24"/>
          <w:color w:val="auto"/>
        </w:rPr>
      </w:pPr>
    </w:p>
    <w:p>
      <w:pPr>
        <w:ind w:right="4339" w:firstLine="263"/>
        <w:spacing w:after="0" w:line="307"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and (2) has been subject to such</w:t>
      </w:r>
    </w:p>
    <w:p>
      <w:pPr>
        <w:spacing w:after="0"/>
        <w:rPr>
          <w:sz w:val="20"/>
          <w:szCs w:val="20"/>
          <w:color w:val="auto"/>
        </w:rPr>
      </w:pPr>
      <w:r>
        <w:rPr>
          <w:rFonts w:ascii="Arial" w:cs="Arial" w:eastAsia="Arial" w:hAnsi="Arial"/>
          <w:sz w:val="13"/>
          <w:szCs w:val="13"/>
          <w:color w:val="auto"/>
        </w:rPr>
        <w:t xml:space="preserve">filing requirements for the past 90 days. Yes </w:t>
      </w:r>
      <w:r>
        <w:rPr>
          <w:sz w:val="1"/>
          <w:szCs w:val="1"/>
          <w:color w:val="auto"/>
        </w:rPr>
        <w:drawing>
          <wp:inline distT="0" distB="0" distL="0" distR="0">
            <wp:extent cx="62865" cy="628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62865" cy="628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81" w:lineRule="exact"/>
        <w:rPr>
          <w:sz w:val="24"/>
          <w:szCs w:val="24"/>
          <w:color w:val="auto"/>
        </w:rPr>
      </w:pPr>
    </w:p>
    <w:p>
      <w:pPr>
        <w:ind w:left="260"/>
        <w:spacing w:after="0"/>
        <w:rPr>
          <w:sz w:val="20"/>
          <w:szCs w:val="20"/>
          <w:color w:val="auto"/>
        </w:rPr>
      </w:pPr>
      <w:r>
        <w:rPr>
          <w:rFonts w:ascii="Arial" w:cs="Arial" w:eastAsia="Arial" w:hAnsi="Arial"/>
          <w:sz w:val="12"/>
          <w:szCs w:val="12"/>
          <w:color w:val="auto"/>
        </w:rPr>
        <w:t>Indicate by check mark whether the Registrant is not required to file reports pursuant to Section 13 or</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Section 15(d) of the Act. Yes </w:t>
      </w:r>
      <w:r>
        <w:rPr>
          <w:sz w:val="1"/>
          <w:szCs w:val="1"/>
          <w:color w:val="auto"/>
        </w:rPr>
        <w:drawing>
          <wp:inline distT="0" distB="0" distL="0" distR="0">
            <wp:extent cx="62865" cy="628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62865" cy="628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81" w:lineRule="exact"/>
        <w:rPr>
          <w:sz w:val="24"/>
          <w:szCs w:val="24"/>
          <w:color w:val="auto"/>
        </w:rPr>
      </w:pPr>
    </w:p>
    <w:p>
      <w:pPr>
        <w:ind w:right="4359" w:firstLine="263"/>
        <w:spacing w:after="0" w:line="262" w:lineRule="auto"/>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sz w:val="1"/>
          <w:szCs w:val="1"/>
          <w:color w:val="auto"/>
        </w:rPr>
        <w:drawing>
          <wp:inline distT="0" distB="0" distL="0" distR="0">
            <wp:extent cx="62865" cy="628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59" w:lineRule="exact"/>
        <w:rPr>
          <w:sz w:val="24"/>
          <w:szCs w:val="24"/>
          <w:color w:val="auto"/>
        </w:rPr>
      </w:pPr>
    </w:p>
    <w:p>
      <w:pPr>
        <w:ind w:right="4379" w:firstLine="263"/>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350" cy="62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33782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78200" cy="635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Large accelerated filer </w:t>
      </w:r>
      <w:r>
        <w:rPr>
          <w:sz w:val="1"/>
          <w:szCs w:val="1"/>
          <w:color w:val="auto"/>
        </w:rPr>
        <w:drawing>
          <wp:inline distT="0" distB="0" distL="0" distR="0">
            <wp:extent cx="62865" cy="628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drawing>
          <wp:inline distT="0" distB="0" distL="0" distR="0">
            <wp:extent cx="6350" cy="6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drawing>
          <wp:inline distT="0" distB="0" distL="0" distR="0">
            <wp:extent cx="6350" cy="6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3"/>
          <w:szCs w:val="13"/>
          <w:color w:val="auto"/>
        </w:rPr>
        <w:t xml:space="preserve">      Accelerated filer </w:t>
      </w:r>
      <w:r>
        <w:rPr>
          <w:sz w:val="1"/>
          <w:szCs w:val="1"/>
          <w:color w:val="auto"/>
        </w:rPr>
        <w:drawing>
          <wp:inline distT="0" distB="0" distL="0" distR="0">
            <wp:extent cx="62865" cy="6286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drawing>
          <wp:inline distT="0" distB="0" distL="0" distR="0">
            <wp:extent cx="6350" cy="6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drawing>
          <wp:inline distT="0" distB="0" distL="0" distR="0">
            <wp:extent cx="6350" cy="6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3"/>
          <w:szCs w:val="13"/>
          <w:color w:val="auto"/>
        </w:rPr>
        <w:t xml:space="preserve">    Non-accelerated filer </w:t>
      </w:r>
      <w:r>
        <w:rPr>
          <w:sz w:val="1"/>
          <w:szCs w:val="1"/>
          <w:color w:val="auto"/>
        </w:rPr>
        <w:drawing>
          <wp:inline distT="0" distB="0" distL="0" distR="0">
            <wp:extent cx="62865" cy="628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350" cy="62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186"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w:t>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Exchange Act). Yes </w:t>
      </w:r>
      <w:r>
        <w:rPr>
          <w:sz w:val="1"/>
          <w:szCs w:val="1"/>
          <w:color w:val="auto"/>
        </w:rPr>
        <w:drawing>
          <wp:inline distT="0" distB="0" distL="0" distR="0">
            <wp:extent cx="62865" cy="6286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62865" cy="628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65" cy="62865"/>
                    </a:xfrm>
                    <a:prstGeom prst="rect">
                      <a:avLst/>
                    </a:prstGeom>
                    <a:noFill/>
                    <a:ln>
                      <a:noFill/>
                    </a:ln>
                  </pic:spPr>
                </pic:pic>
              </a:graphicData>
            </a:graphic>
          </wp:inline>
        </w:drawing>
      </w:r>
    </w:p>
    <w:p>
      <w:pPr>
        <w:spacing w:after="0" w:line="81" w:lineRule="exact"/>
        <w:rPr>
          <w:sz w:val="24"/>
          <w:szCs w:val="24"/>
          <w:color w:val="auto"/>
        </w:rPr>
      </w:pPr>
    </w:p>
    <w:p>
      <w:pPr>
        <w:jc w:val="both"/>
        <w:ind w:right="4239" w:firstLine="263"/>
        <w:spacing w:after="0" w:line="260" w:lineRule="auto"/>
        <w:rPr>
          <w:sz w:val="20"/>
          <w:szCs w:val="20"/>
          <w:color w:val="auto"/>
        </w:rPr>
      </w:pPr>
      <w:r>
        <w:rPr>
          <w:rFonts w:ascii="Arial" w:cs="Arial" w:eastAsia="Arial" w:hAnsi="Arial"/>
          <w:sz w:val="13"/>
          <w:szCs w:val="13"/>
          <w:color w:val="auto"/>
        </w:rPr>
        <w:t>For the purpose of reporting the following market value of Registrant’s outstanding common stock, the term ‘‘affiliate’’ refers to persons, entities or groups which directly or indirectly control, are controlled by, or are under common control with the Registrant and does not include individual executive officers, directors or less than 10% shareholders. The aggregate market value of Registrant’s common stock not held by affiliates as of June 30, 2006 was $3,204,758,056.</w:t>
      </w:r>
    </w:p>
    <w:p>
      <w:pPr>
        <w:spacing w:after="0" w:line="60" w:lineRule="exact"/>
        <w:rPr>
          <w:sz w:val="24"/>
          <w:szCs w:val="24"/>
          <w:color w:val="auto"/>
        </w:rPr>
      </w:pPr>
    </w:p>
    <w:p>
      <w:pPr>
        <w:ind w:right="4679" w:firstLine="263"/>
        <w:spacing w:after="0" w:line="279"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February 15, 2007: 89,772,171 shares of common stock, par value 12 ½¢ per share.</w:t>
      </w:r>
    </w:p>
    <w:p>
      <w:pPr>
        <w:spacing w:after="0" w:line="44" w:lineRule="exact"/>
        <w:rPr>
          <w:sz w:val="24"/>
          <w:szCs w:val="24"/>
          <w:color w:val="auto"/>
        </w:rPr>
      </w:pPr>
    </w:p>
    <w:p>
      <w:pPr>
        <w:ind w:left="15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2" w:lineRule="exact"/>
        <w:rPr>
          <w:sz w:val="24"/>
          <w:szCs w:val="24"/>
          <w:color w:val="auto"/>
        </w:rPr>
      </w:pPr>
    </w:p>
    <w:p>
      <w:pPr>
        <w:ind w:right="4339" w:firstLine="263"/>
        <w:spacing w:after="0" w:line="322" w:lineRule="auto"/>
        <w:rPr>
          <w:sz w:val="20"/>
          <w:szCs w:val="20"/>
          <w:color w:val="auto"/>
        </w:rPr>
      </w:pPr>
      <w:r>
        <w:rPr>
          <w:rFonts w:ascii="Arial" w:cs="Arial" w:eastAsia="Arial" w:hAnsi="Arial"/>
          <w:sz w:val="12"/>
          <w:szCs w:val="12"/>
          <w:color w:val="auto"/>
        </w:rPr>
        <w:t>Portions of the Registrant’s Proxy Statement to be sent to shareholders in connection with the 2007 Annual Meeting (the ‘‘IFF 2007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241300</wp:posOffset>
            </wp:positionV>
            <wp:extent cx="480949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3779520" cy="69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9520" cy="69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167" w:lineRule="exact"/>
        <w:rPr>
          <w:sz w:val="24"/>
          <w:szCs w:val="24"/>
          <w:color w:val="auto"/>
        </w:rPr>
      </w:pPr>
    </w:p>
    <w:p>
      <w:pPr>
        <w:ind w:left="2300"/>
        <w:spacing w:after="0"/>
        <w:rPr>
          <w:sz w:val="20"/>
          <w:szCs w:val="20"/>
          <w:color w:val="auto"/>
        </w:rPr>
      </w:pPr>
      <w:r>
        <w:rPr>
          <w:rFonts w:ascii="Arial" w:cs="Arial" w:eastAsia="Arial" w:hAnsi="Arial"/>
          <w:sz w:val="13"/>
          <w:szCs w:val="13"/>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379222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9222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308610</wp:posOffset>
            </wp:positionV>
            <wp:extent cx="63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308610</wp:posOffset>
            </wp:positionV>
            <wp:extent cx="635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308610</wp:posOffset>
            </wp:positionV>
            <wp:extent cx="63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308610</wp:posOffset>
            </wp:positionV>
            <wp:extent cx="63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7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PAGE</w:t>
            </w:r>
          </w:p>
        </w:tc>
      </w:tr>
      <w:tr>
        <w:trPr>
          <w:trHeight w:val="325"/>
        </w:trPr>
        <w:tc>
          <w:tcPr>
            <w:tcW w:w="760" w:type="dxa"/>
            <w:vAlign w:val="bottom"/>
          </w:tcPr>
          <w:p>
            <w:pPr>
              <w:spacing w:after="0"/>
              <w:rPr>
                <w:sz w:val="24"/>
                <w:szCs w:val="24"/>
                <w:color w:val="auto"/>
              </w:rPr>
            </w:pPr>
          </w:p>
        </w:tc>
        <w:tc>
          <w:tcPr>
            <w:tcW w:w="4880" w:type="dxa"/>
            <w:vAlign w:val="bottom"/>
          </w:tcPr>
          <w:p>
            <w:pPr>
              <w:ind w:left="1800"/>
              <w:spacing w:after="0"/>
              <w:rPr>
                <w:sz w:val="20"/>
                <w:szCs w:val="20"/>
                <w:color w:val="auto"/>
              </w:rPr>
            </w:pPr>
            <w:r>
              <w:rPr>
                <w:rFonts w:ascii="Arial" w:cs="Arial" w:eastAsia="Arial" w:hAnsi="Arial"/>
                <w:sz w:val="13"/>
                <w:szCs w:val="13"/>
                <w:b w:val="1"/>
                <w:bCs w:val="1"/>
                <w:color w:val="auto"/>
              </w:rPr>
              <w:t>PART I</w:t>
            </w:r>
          </w:p>
        </w:tc>
        <w:tc>
          <w:tcPr>
            <w:tcW w:w="340" w:type="dxa"/>
            <w:vAlign w:val="bottom"/>
          </w:tcPr>
          <w:p>
            <w:pPr>
              <w:spacing w:after="0"/>
              <w:rPr>
                <w:sz w:val="24"/>
                <w:szCs w:val="24"/>
                <w:color w:val="auto"/>
              </w:rPr>
            </w:pP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1.</w:t>
            </w:r>
          </w:p>
        </w:tc>
        <w:tc>
          <w:tcPr>
            <w:tcW w:w="4880" w:type="dxa"/>
            <w:vAlign w:val="bottom"/>
          </w:tcPr>
          <w:p>
            <w:pPr>
              <w:ind w:left="200"/>
              <w:spacing w:after="0"/>
              <w:rPr>
                <w:sz w:val="20"/>
                <w:szCs w:val="20"/>
                <w:color w:val="auto"/>
              </w:rPr>
            </w:pPr>
            <w:r>
              <w:rPr>
                <w:rFonts w:ascii="Arial" w:cs="Arial" w:eastAsia="Arial" w:hAnsi="Arial"/>
                <w:sz w:val="13"/>
                <w:szCs w:val="13"/>
                <w:color w:val="auto"/>
              </w:rPr>
              <w:t>Business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3</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1A.</w:t>
            </w:r>
          </w:p>
        </w:tc>
        <w:tc>
          <w:tcPr>
            <w:tcW w:w="4880" w:type="dxa"/>
            <w:vAlign w:val="bottom"/>
          </w:tcPr>
          <w:p>
            <w:pPr>
              <w:ind w:left="200"/>
              <w:spacing w:after="0"/>
              <w:rPr>
                <w:sz w:val="20"/>
                <w:szCs w:val="20"/>
                <w:color w:val="auto"/>
              </w:rPr>
            </w:pPr>
            <w:r>
              <w:rPr>
                <w:rFonts w:ascii="Arial" w:cs="Arial" w:eastAsia="Arial" w:hAnsi="Arial"/>
                <w:sz w:val="13"/>
                <w:szCs w:val="13"/>
                <w:color w:val="auto"/>
              </w:rPr>
              <w:t>Risk Factors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7</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1B.</w:t>
            </w:r>
          </w:p>
        </w:tc>
        <w:tc>
          <w:tcPr>
            <w:tcW w:w="4880" w:type="dxa"/>
            <w:vAlign w:val="bottom"/>
          </w:tcPr>
          <w:p>
            <w:pPr>
              <w:ind w:left="200"/>
              <w:spacing w:after="0"/>
              <w:rPr>
                <w:sz w:val="20"/>
                <w:szCs w:val="20"/>
                <w:color w:val="auto"/>
              </w:rPr>
            </w:pPr>
            <w:r>
              <w:rPr>
                <w:rFonts w:ascii="Arial" w:cs="Arial" w:eastAsia="Arial" w:hAnsi="Arial"/>
                <w:sz w:val="13"/>
                <w:szCs w:val="13"/>
                <w:color w:val="auto"/>
              </w:rPr>
              <w:t>Unresolved SEC Staff Comments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8</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2.</w:t>
            </w:r>
          </w:p>
        </w:tc>
        <w:tc>
          <w:tcPr>
            <w:tcW w:w="4880" w:type="dxa"/>
            <w:vAlign w:val="bottom"/>
          </w:tcPr>
          <w:p>
            <w:pPr>
              <w:ind w:left="200"/>
              <w:spacing w:after="0"/>
              <w:rPr>
                <w:sz w:val="20"/>
                <w:szCs w:val="20"/>
                <w:color w:val="auto"/>
              </w:rPr>
            </w:pPr>
            <w:r>
              <w:rPr>
                <w:rFonts w:ascii="Arial" w:cs="Arial" w:eastAsia="Arial" w:hAnsi="Arial"/>
                <w:sz w:val="13"/>
                <w:szCs w:val="13"/>
                <w:color w:val="auto"/>
              </w:rPr>
              <w:t>Properties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9</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3.</w:t>
            </w:r>
          </w:p>
        </w:tc>
        <w:tc>
          <w:tcPr>
            <w:tcW w:w="4880" w:type="dxa"/>
            <w:vAlign w:val="bottom"/>
          </w:tcPr>
          <w:p>
            <w:pPr>
              <w:ind w:left="200"/>
              <w:spacing w:after="0"/>
              <w:rPr>
                <w:sz w:val="20"/>
                <w:szCs w:val="20"/>
                <w:color w:val="auto"/>
              </w:rPr>
            </w:pPr>
            <w:r>
              <w:rPr>
                <w:rFonts w:ascii="Arial" w:cs="Arial" w:eastAsia="Arial" w:hAnsi="Arial"/>
                <w:sz w:val="13"/>
                <w:szCs w:val="13"/>
                <w:color w:val="auto"/>
              </w:rPr>
              <w:t>Legal Proceedings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10</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4.</w:t>
            </w:r>
          </w:p>
        </w:tc>
        <w:tc>
          <w:tcPr>
            <w:tcW w:w="4880" w:type="dxa"/>
            <w:vAlign w:val="bottom"/>
          </w:tcPr>
          <w:p>
            <w:pPr>
              <w:ind w:left="200"/>
              <w:spacing w:after="0"/>
              <w:rPr>
                <w:sz w:val="20"/>
                <w:szCs w:val="20"/>
                <w:color w:val="auto"/>
              </w:rPr>
            </w:pPr>
            <w:r>
              <w:rPr>
                <w:rFonts w:ascii="Arial" w:cs="Arial" w:eastAsia="Arial" w:hAnsi="Arial"/>
                <w:sz w:val="13"/>
                <w:szCs w:val="13"/>
                <w:color w:val="auto"/>
              </w:rPr>
              <w:t>Submission of Matters to a Vote of Security Holders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12</w:t>
            </w:r>
          </w:p>
        </w:tc>
      </w:tr>
      <w:tr>
        <w:trPr>
          <w:trHeight w:val="346"/>
        </w:trPr>
        <w:tc>
          <w:tcPr>
            <w:tcW w:w="760" w:type="dxa"/>
            <w:vAlign w:val="bottom"/>
          </w:tcPr>
          <w:p>
            <w:pPr>
              <w:spacing w:after="0"/>
              <w:rPr>
                <w:sz w:val="24"/>
                <w:szCs w:val="24"/>
                <w:color w:val="auto"/>
              </w:rPr>
            </w:pPr>
          </w:p>
        </w:tc>
        <w:tc>
          <w:tcPr>
            <w:tcW w:w="4880" w:type="dxa"/>
            <w:vAlign w:val="bottom"/>
          </w:tcPr>
          <w:p>
            <w:pPr>
              <w:ind w:left="1760"/>
              <w:spacing w:after="0"/>
              <w:rPr>
                <w:sz w:val="20"/>
                <w:szCs w:val="20"/>
                <w:color w:val="auto"/>
              </w:rPr>
            </w:pPr>
            <w:r>
              <w:rPr>
                <w:rFonts w:ascii="Arial" w:cs="Arial" w:eastAsia="Arial" w:hAnsi="Arial"/>
                <w:sz w:val="13"/>
                <w:szCs w:val="13"/>
                <w:b w:val="1"/>
                <w:bCs w:val="1"/>
                <w:color w:val="auto"/>
              </w:rPr>
              <w:t>PART II</w:t>
            </w:r>
          </w:p>
        </w:tc>
        <w:tc>
          <w:tcPr>
            <w:tcW w:w="340" w:type="dxa"/>
            <w:vAlign w:val="bottom"/>
          </w:tcPr>
          <w:p>
            <w:pPr>
              <w:spacing w:after="0"/>
              <w:rPr>
                <w:sz w:val="24"/>
                <w:szCs w:val="24"/>
                <w:color w:val="auto"/>
              </w:rPr>
            </w:pPr>
          </w:p>
        </w:tc>
      </w:tr>
      <w:tr>
        <w:trPr>
          <w:trHeight w:val="339"/>
        </w:trPr>
        <w:tc>
          <w:tcPr>
            <w:tcW w:w="760" w:type="dxa"/>
            <w:vAlign w:val="bottom"/>
          </w:tcPr>
          <w:p>
            <w:pPr>
              <w:spacing w:after="0"/>
              <w:rPr>
                <w:sz w:val="20"/>
                <w:szCs w:val="20"/>
                <w:color w:val="auto"/>
              </w:rPr>
            </w:pPr>
            <w:r>
              <w:rPr>
                <w:rFonts w:ascii="Arial" w:cs="Arial" w:eastAsia="Arial" w:hAnsi="Arial"/>
                <w:sz w:val="13"/>
                <w:szCs w:val="13"/>
                <w:color w:val="auto"/>
              </w:rPr>
              <w:t>ITEM 5.</w:t>
            </w:r>
          </w:p>
        </w:tc>
        <w:tc>
          <w:tcPr>
            <w:tcW w:w="4880" w:type="dxa"/>
            <w:vAlign w:val="bottom"/>
          </w:tcPr>
          <w:p>
            <w:pPr>
              <w:ind w:left="200"/>
              <w:spacing w:after="0"/>
              <w:rPr>
                <w:sz w:val="20"/>
                <w:szCs w:val="20"/>
                <w:color w:val="auto"/>
              </w:rPr>
            </w:pPr>
            <w:r>
              <w:rPr>
                <w:rFonts w:ascii="Arial" w:cs="Arial" w:eastAsia="Arial" w:hAnsi="Arial"/>
                <w:sz w:val="13"/>
                <w:szCs w:val="13"/>
                <w:color w:val="auto"/>
                <w:w w:val="96"/>
              </w:rPr>
              <w:t>Market for the Registrant’s Common Equity, Related Stockholder Matters and Issuer</w:t>
            </w:r>
          </w:p>
        </w:tc>
        <w:tc>
          <w:tcPr>
            <w:tcW w:w="340" w:type="dxa"/>
            <w:vAlign w:val="bottom"/>
          </w:tcPr>
          <w:p>
            <w:pPr>
              <w:spacing w:after="0"/>
              <w:rPr>
                <w:sz w:val="24"/>
                <w:szCs w:val="24"/>
                <w:color w:val="auto"/>
              </w:rPr>
            </w:pPr>
          </w:p>
        </w:tc>
      </w:tr>
      <w:tr>
        <w:trPr>
          <w:trHeight w:val="165"/>
        </w:trPr>
        <w:tc>
          <w:tcPr>
            <w:tcW w:w="760" w:type="dxa"/>
            <w:vAlign w:val="bottom"/>
          </w:tcPr>
          <w:p>
            <w:pPr>
              <w:spacing w:after="0"/>
              <w:rPr>
                <w:sz w:val="14"/>
                <w:szCs w:val="14"/>
                <w:color w:val="auto"/>
              </w:rPr>
            </w:pPr>
          </w:p>
        </w:tc>
        <w:tc>
          <w:tcPr>
            <w:tcW w:w="4880" w:type="dxa"/>
            <w:vAlign w:val="bottom"/>
          </w:tcPr>
          <w:p>
            <w:pPr>
              <w:ind w:left="340"/>
              <w:spacing w:after="0"/>
              <w:rPr>
                <w:sz w:val="20"/>
                <w:szCs w:val="20"/>
                <w:color w:val="auto"/>
              </w:rPr>
            </w:pPr>
            <w:r>
              <w:rPr>
                <w:rFonts w:ascii="Arial" w:cs="Arial" w:eastAsia="Arial" w:hAnsi="Arial"/>
                <w:sz w:val="13"/>
                <w:szCs w:val="13"/>
                <w:color w:val="auto"/>
              </w:rPr>
              <w:t>Purchases of Equity Securities</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13</w:t>
            </w:r>
          </w:p>
        </w:tc>
      </w:tr>
      <w:tr>
        <w:trPr>
          <w:trHeight w:val="346"/>
        </w:trPr>
        <w:tc>
          <w:tcPr>
            <w:tcW w:w="760" w:type="dxa"/>
            <w:vAlign w:val="bottom"/>
          </w:tcPr>
          <w:p>
            <w:pPr>
              <w:spacing w:after="0"/>
              <w:rPr>
                <w:sz w:val="20"/>
                <w:szCs w:val="20"/>
                <w:color w:val="auto"/>
              </w:rPr>
            </w:pPr>
            <w:r>
              <w:rPr>
                <w:rFonts w:ascii="Arial" w:cs="Arial" w:eastAsia="Arial" w:hAnsi="Arial"/>
                <w:sz w:val="13"/>
                <w:szCs w:val="13"/>
                <w:color w:val="auto"/>
              </w:rPr>
              <w:t>ITEM 6.</w:t>
            </w:r>
          </w:p>
        </w:tc>
        <w:tc>
          <w:tcPr>
            <w:tcW w:w="4880" w:type="dxa"/>
            <w:vAlign w:val="bottom"/>
          </w:tcPr>
          <w:p>
            <w:pPr>
              <w:ind w:left="200"/>
              <w:spacing w:after="0"/>
              <w:rPr>
                <w:sz w:val="20"/>
                <w:szCs w:val="20"/>
                <w:color w:val="auto"/>
              </w:rPr>
            </w:pPr>
            <w:r>
              <w:rPr>
                <w:rFonts w:ascii="Arial" w:cs="Arial" w:eastAsia="Arial" w:hAnsi="Arial"/>
                <w:sz w:val="13"/>
                <w:szCs w:val="13"/>
                <w:color w:val="auto"/>
              </w:rPr>
              <w:t>Selected Financial Data</w:t>
            </w:r>
          </w:p>
        </w:tc>
        <w:tc>
          <w:tcPr>
            <w:tcW w:w="340" w:type="dxa"/>
            <w:vAlign w:val="bottom"/>
          </w:tcPr>
          <w:p>
            <w:pPr>
              <w:jc w:val="right"/>
              <w:ind w:right="36"/>
              <w:spacing w:after="0"/>
              <w:rPr>
                <w:sz w:val="20"/>
                <w:szCs w:val="20"/>
                <w:color w:val="auto"/>
              </w:rPr>
            </w:pPr>
            <w:r>
              <w:rPr>
                <w:rFonts w:ascii="Arial" w:cs="Arial" w:eastAsia="Arial" w:hAnsi="Arial"/>
                <w:sz w:val="13"/>
                <w:szCs w:val="13"/>
                <w:color w:val="auto"/>
              </w:rPr>
              <w:t>16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3515360</wp:posOffset>
            </wp:positionH>
            <wp:positionV relativeFrom="paragraph">
              <wp:posOffset>-2189480</wp:posOffset>
            </wp:positionV>
            <wp:extent cx="63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-2189480</wp:posOffset>
            </wp:positionV>
            <wp:extent cx="6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-2189480</wp:posOffset>
            </wp:positionV>
            <wp:extent cx="63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-2082800</wp:posOffset>
            </wp:positionV>
            <wp:extent cx="635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-1969770</wp:posOffset>
            </wp:positionV>
            <wp:extent cx="635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-1969770</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-1969770</wp:posOffset>
            </wp:positionV>
            <wp:extent cx="63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-1969770</wp:posOffset>
            </wp:positionV>
            <wp:extent cx="635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-1969770</wp:posOffset>
            </wp:positionV>
            <wp:extent cx="63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-1863090</wp:posOffset>
            </wp:positionV>
            <wp:extent cx="63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-1750060</wp:posOffset>
            </wp:positionV>
            <wp:extent cx="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-1750060</wp:posOffset>
            </wp:positionV>
            <wp:extent cx="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-1750060</wp:posOffset>
            </wp:positionV>
            <wp:extent cx="63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-1750060</wp:posOffset>
            </wp:positionV>
            <wp:extent cx="63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-1750060</wp:posOffset>
            </wp:positionV>
            <wp:extent cx="63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-1643380</wp:posOffset>
            </wp:positionV>
            <wp:extent cx="6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-1530350</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-1530350</wp:posOffset>
            </wp:positionV>
            <wp:extent cx="63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-1530350</wp:posOffset>
            </wp:positionV>
            <wp:extent cx="63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-1530350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-1530350</wp:posOffset>
            </wp:positionV>
            <wp:extent cx="63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-1423670</wp:posOffset>
            </wp:positionV>
            <wp:extent cx="63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-1310640</wp:posOffset>
            </wp:positionV>
            <wp:extent cx="63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-1310640</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-1310640</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-1310640</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-1310640</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-1203960</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-1090930</wp:posOffset>
            </wp:positionV>
            <wp:extent cx="6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-1090930</wp:posOffset>
            </wp:positionV>
            <wp:extent cx="63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-1090930</wp:posOffset>
            </wp:positionV>
            <wp:extent cx="63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-1090930</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-1090930</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-984250</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-871220</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-871220</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-871220</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-871220</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-871220</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-764540</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-651510</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-651510</wp:posOffset>
            </wp:positionV>
            <wp:extent cx="63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-651510</wp:posOffset>
            </wp:positionV>
            <wp:extent cx="63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-544830</wp:posOffset>
            </wp:positionV>
            <wp:extent cx="63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-381635</wp:posOffset>
            </wp:positionV>
            <wp:extent cx="63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-381635</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-381635</wp:posOffset>
            </wp:positionV>
            <wp:extent cx="63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-381635</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-381635</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-224155</wp:posOffset>
            </wp:positionV>
            <wp:extent cx="635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-111125</wp:posOffset>
            </wp:positionV>
            <wp:extent cx="63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-111125</wp:posOffset>
            </wp:positionV>
            <wp:extent cx="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-111125</wp:posOffset>
            </wp:positionV>
            <wp:extent cx="63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-111125</wp:posOffset>
            </wp:positionV>
            <wp:extent cx="63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-111125</wp:posOffset>
            </wp:positionV>
            <wp:extent cx="635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-4445</wp:posOffset>
            </wp:positionV>
            <wp:extent cx="635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6985</wp:posOffset>
            </wp:positionV>
            <wp:extent cx="63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6985</wp:posOffset>
            </wp:positionV>
            <wp:extent cx="63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6985</wp:posOffset>
            </wp:positionV>
            <wp:extent cx="63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6985</wp:posOffset>
            </wp:positionV>
            <wp:extent cx="63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6985</wp:posOffset>
            </wp:positionV>
            <wp:extent cx="63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120015</wp:posOffset>
            </wp:positionV>
            <wp:extent cx="63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-2082800</wp:posOffset>
            </wp:positionV>
            <wp:extent cx="63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-1863090</wp:posOffset>
            </wp:positionV>
            <wp:extent cx="635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-1643380</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-1423670</wp:posOffset>
            </wp:positionV>
            <wp:extent cx="63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-1203960</wp:posOffset>
            </wp:positionV>
            <wp:extent cx="635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-984250</wp:posOffset>
            </wp:positionV>
            <wp:extent cx="63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-764540</wp:posOffset>
            </wp:positionV>
            <wp:extent cx="63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-544830</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-224155</wp:posOffset>
            </wp:positionV>
            <wp:extent cx="635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-4445</wp:posOffset>
            </wp:positionV>
            <wp:extent cx="635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114300</wp:posOffset>
            </wp:positionV>
            <wp:extent cx="63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239"/>
          </w:cols>
          <w:pgMar w:left="220" w:top="390" w:right="1440" w:bottom="0" w:gutter="0" w:footer="0" w:header="0"/>
        </w:sectPr>
      </w:pPr>
    </w:p>
    <w:bookmarkStart w:id="1" w:name="page2"/>
    <w:bookmarkEnd w:id="1"/>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0" w:type="dxa"/>
            <w:vAlign w:val="bottom"/>
          </w:tcPr>
          <w:p>
            <w:pPr>
              <w:spacing w:after="0"/>
              <w:rPr>
                <w:sz w:val="20"/>
                <w:szCs w:val="20"/>
                <w:color w:val="auto"/>
              </w:rPr>
            </w:pPr>
            <w:r>
              <w:rPr>
                <w:rFonts w:ascii="Arial" w:cs="Arial" w:eastAsia="Arial" w:hAnsi="Arial"/>
                <w:sz w:val="13"/>
                <w:szCs w:val="13"/>
                <w:color w:val="auto"/>
              </w:rPr>
              <w:t>ITEM 7.</w:t>
            </w:r>
          </w:p>
        </w:tc>
        <w:tc>
          <w:tcPr>
            <w:tcW w:w="4600" w:type="dxa"/>
            <w:vAlign w:val="bottom"/>
          </w:tcPr>
          <w:p>
            <w:pPr>
              <w:ind w:left="80"/>
              <w:spacing w:after="0"/>
              <w:rPr>
                <w:sz w:val="20"/>
                <w:szCs w:val="20"/>
                <w:color w:val="auto"/>
              </w:rPr>
            </w:pPr>
            <w:r>
              <w:rPr>
                <w:rFonts w:ascii="Arial" w:cs="Arial" w:eastAsia="Arial" w:hAnsi="Arial"/>
                <w:sz w:val="13"/>
                <w:szCs w:val="13"/>
                <w:color w:val="auto"/>
              </w:rPr>
              <w:t>Management’s Discussion and Analysis of Financial Condition and Results of</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18</w:t>
            </w:r>
          </w:p>
        </w:tc>
      </w:tr>
      <w:tr>
        <w:trPr>
          <w:trHeight w:val="165"/>
        </w:trPr>
        <w:tc>
          <w:tcPr>
            <w:tcW w:w="880" w:type="dxa"/>
            <w:vAlign w:val="bottom"/>
          </w:tcPr>
          <w:p>
            <w:pPr>
              <w:spacing w:after="0"/>
              <w:rPr>
                <w:sz w:val="14"/>
                <w:szCs w:val="14"/>
                <w:color w:val="auto"/>
              </w:rPr>
            </w:pPr>
          </w:p>
        </w:tc>
        <w:tc>
          <w:tcPr>
            <w:tcW w:w="4600" w:type="dxa"/>
            <w:vAlign w:val="bottom"/>
          </w:tcPr>
          <w:p>
            <w:pPr>
              <w:ind w:left="220"/>
              <w:spacing w:after="0"/>
              <w:rPr>
                <w:sz w:val="20"/>
                <w:szCs w:val="20"/>
                <w:color w:val="auto"/>
              </w:rPr>
            </w:pPr>
            <w:r>
              <w:rPr>
                <w:rFonts w:ascii="Arial" w:cs="Arial" w:eastAsia="Arial" w:hAnsi="Arial"/>
                <w:sz w:val="13"/>
                <w:szCs w:val="13"/>
                <w:color w:val="auto"/>
              </w:rPr>
              <w:t>Operations</w:t>
            </w:r>
          </w:p>
        </w:tc>
        <w:tc>
          <w:tcPr>
            <w:tcW w:w="2060" w:type="dxa"/>
            <w:vAlign w:val="bottom"/>
          </w:tcPr>
          <w:p>
            <w:pPr>
              <w:spacing w:after="0"/>
              <w:rPr>
                <w:sz w:val="14"/>
                <w:szCs w:val="14"/>
                <w:color w:val="auto"/>
              </w:rPr>
            </w:pP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7A.</w:t>
            </w:r>
          </w:p>
        </w:tc>
        <w:tc>
          <w:tcPr>
            <w:tcW w:w="4600" w:type="dxa"/>
            <w:vAlign w:val="bottom"/>
          </w:tcPr>
          <w:p>
            <w:pPr>
              <w:ind w:left="80"/>
              <w:spacing w:after="0"/>
              <w:rPr>
                <w:sz w:val="20"/>
                <w:szCs w:val="20"/>
                <w:color w:val="auto"/>
              </w:rPr>
            </w:pPr>
            <w:r>
              <w:rPr>
                <w:rFonts w:ascii="Arial" w:cs="Arial" w:eastAsia="Arial" w:hAnsi="Arial"/>
                <w:sz w:val="13"/>
                <w:szCs w:val="13"/>
                <w:color w:val="auto"/>
              </w:rPr>
              <w:t>Quantitative and Qualitative Disclosures about Market Risk</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34</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8.</w:t>
            </w:r>
          </w:p>
        </w:tc>
        <w:tc>
          <w:tcPr>
            <w:tcW w:w="4600" w:type="dxa"/>
            <w:vAlign w:val="bottom"/>
          </w:tcPr>
          <w:p>
            <w:pPr>
              <w:ind w:left="80"/>
              <w:spacing w:after="0"/>
              <w:rPr>
                <w:sz w:val="20"/>
                <w:szCs w:val="20"/>
                <w:color w:val="auto"/>
              </w:rPr>
            </w:pPr>
            <w:r>
              <w:rPr>
                <w:rFonts w:ascii="Arial" w:cs="Arial" w:eastAsia="Arial" w:hAnsi="Arial"/>
                <w:sz w:val="13"/>
                <w:szCs w:val="13"/>
                <w:color w:val="auto"/>
              </w:rPr>
              <w:t>Financial Statements and Supplementary Data</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35</w:t>
            </w:r>
          </w:p>
        </w:tc>
      </w:tr>
      <w:tr>
        <w:trPr>
          <w:trHeight w:val="339"/>
        </w:trPr>
        <w:tc>
          <w:tcPr>
            <w:tcW w:w="880" w:type="dxa"/>
            <w:vAlign w:val="bottom"/>
          </w:tcPr>
          <w:p>
            <w:pPr>
              <w:spacing w:after="0"/>
              <w:rPr>
                <w:sz w:val="20"/>
                <w:szCs w:val="20"/>
                <w:color w:val="auto"/>
              </w:rPr>
            </w:pPr>
            <w:r>
              <w:rPr>
                <w:rFonts w:ascii="Arial" w:cs="Arial" w:eastAsia="Arial" w:hAnsi="Arial"/>
                <w:sz w:val="13"/>
                <w:szCs w:val="13"/>
                <w:color w:val="auto"/>
              </w:rPr>
              <w:t>ITEM 9.</w:t>
            </w:r>
          </w:p>
        </w:tc>
        <w:tc>
          <w:tcPr>
            <w:tcW w:w="4600" w:type="dxa"/>
            <w:vAlign w:val="bottom"/>
          </w:tcPr>
          <w:p>
            <w:pPr>
              <w:ind w:left="80"/>
              <w:spacing w:after="0"/>
              <w:rPr>
                <w:sz w:val="20"/>
                <w:szCs w:val="20"/>
                <w:color w:val="auto"/>
              </w:rPr>
            </w:pPr>
            <w:r>
              <w:rPr>
                <w:rFonts w:ascii="Arial" w:cs="Arial" w:eastAsia="Arial" w:hAnsi="Arial"/>
                <w:sz w:val="13"/>
                <w:szCs w:val="13"/>
                <w:color w:val="auto"/>
                <w:w w:val="99"/>
              </w:rPr>
              <w:t>Changes in and Disagreements with Accountants on Accounting and Financial</w:t>
            </w:r>
          </w:p>
        </w:tc>
        <w:tc>
          <w:tcPr>
            <w:tcW w:w="2060" w:type="dxa"/>
            <w:vAlign w:val="bottom"/>
          </w:tcPr>
          <w:p>
            <w:pPr>
              <w:spacing w:after="0"/>
              <w:rPr>
                <w:sz w:val="24"/>
                <w:szCs w:val="24"/>
                <w:color w:val="auto"/>
              </w:rPr>
            </w:pPr>
          </w:p>
        </w:tc>
      </w:tr>
      <w:tr>
        <w:trPr>
          <w:trHeight w:val="165"/>
        </w:trPr>
        <w:tc>
          <w:tcPr>
            <w:tcW w:w="880" w:type="dxa"/>
            <w:vAlign w:val="bottom"/>
          </w:tcPr>
          <w:p>
            <w:pPr>
              <w:spacing w:after="0"/>
              <w:rPr>
                <w:sz w:val="14"/>
                <w:szCs w:val="14"/>
                <w:color w:val="auto"/>
              </w:rPr>
            </w:pPr>
          </w:p>
        </w:tc>
        <w:tc>
          <w:tcPr>
            <w:tcW w:w="4600" w:type="dxa"/>
            <w:vAlign w:val="bottom"/>
          </w:tcPr>
          <w:p>
            <w:pPr>
              <w:ind w:left="220"/>
              <w:spacing w:after="0"/>
              <w:rPr>
                <w:sz w:val="20"/>
                <w:szCs w:val="20"/>
                <w:color w:val="auto"/>
              </w:rPr>
            </w:pPr>
            <w:r>
              <w:rPr>
                <w:rFonts w:ascii="Arial" w:cs="Arial" w:eastAsia="Arial" w:hAnsi="Arial"/>
                <w:sz w:val="13"/>
                <w:szCs w:val="13"/>
                <w:color w:val="auto"/>
              </w:rPr>
              <w:t>Disclosure</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35</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9A.</w:t>
            </w:r>
          </w:p>
        </w:tc>
        <w:tc>
          <w:tcPr>
            <w:tcW w:w="4600" w:type="dxa"/>
            <w:vAlign w:val="bottom"/>
          </w:tcPr>
          <w:p>
            <w:pPr>
              <w:ind w:left="80"/>
              <w:spacing w:after="0"/>
              <w:rPr>
                <w:sz w:val="20"/>
                <w:szCs w:val="20"/>
                <w:color w:val="auto"/>
              </w:rPr>
            </w:pPr>
            <w:r>
              <w:rPr>
                <w:rFonts w:ascii="Arial" w:cs="Arial" w:eastAsia="Arial" w:hAnsi="Arial"/>
                <w:sz w:val="13"/>
                <w:szCs w:val="13"/>
                <w:color w:val="auto"/>
              </w:rPr>
              <w:t>Controls and Procedures</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35</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9B.</w:t>
            </w:r>
          </w:p>
        </w:tc>
        <w:tc>
          <w:tcPr>
            <w:tcW w:w="4600" w:type="dxa"/>
            <w:vAlign w:val="bottom"/>
          </w:tcPr>
          <w:p>
            <w:pPr>
              <w:ind w:left="80"/>
              <w:spacing w:after="0"/>
              <w:rPr>
                <w:sz w:val="20"/>
                <w:szCs w:val="20"/>
                <w:color w:val="auto"/>
              </w:rPr>
            </w:pPr>
            <w:r>
              <w:rPr>
                <w:rFonts w:ascii="Arial" w:cs="Arial" w:eastAsia="Arial" w:hAnsi="Arial"/>
                <w:sz w:val="13"/>
                <w:szCs w:val="13"/>
                <w:color w:val="auto"/>
              </w:rPr>
              <w:t>Other Information</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36</w:t>
            </w:r>
          </w:p>
        </w:tc>
      </w:tr>
      <w:tr>
        <w:trPr>
          <w:trHeight w:val="346"/>
        </w:trPr>
        <w:tc>
          <w:tcPr>
            <w:tcW w:w="880" w:type="dxa"/>
            <w:vAlign w:val="bottom"/>
          </w:tcPr>
          <w:p>
            <w:pPr>
              <w:spacing w:after="0"/>
              <w:rPr>
                <w:sz w:val="24"/>
                <w:szCs w:val="24"/>
                <w:color w:val="auto"/>
              </w:rPr>
            </w:pPr>
          </w:p>
        </w:tc>
        <w:tc>
          <w:tcPr>
            <w:tcW w:w="4600" w:type="dxa"/>
            <w:vAlign w:val="bottom"/>
          </w:tcPr>
          <w:p>
            <w:pPr>
              <w:ind w:left="1620"/>
              <w:spacing w:after="0"/>
              <w:rPr>
                <w:sz w:val="20"/>
                <w:szCs w:val="20"/>
                <w:color w:val="auto"/>
              </w:rPr>
            </w:pPr>
            <w:r>
              <w:rPr>
                <w:rFonts w:ascii="Arial" w:cs="Arial" w:eastAsia="Arial" w:hAnsi="Arial"/>
                <w:sz w:val="13"/>
                <w:szCs w:val="13"/>
                <w:b w:val="1"/>
                <w:bCs w:val="1"/>
                <w:color w:val="auto"/>
              </w:rPr>
              <w:t>PART III</w:t>
            </w:r>
          </w:p>
        </w:tc>
        <w:tc>
          <w:tcPr>
            <w:tcW w:w="2060" w:type="dxa"/>
            <w:vAlign w:val="bottom"/>
          </w:tcPr>
          <w:p>
            <w:pPr>
              <w:spacing w:after="0"/>
              <w:rPr>
                <w:sz w:val="24"/>
                <w:szCs w:val="24"/>
                <w:color w:val="auto"/>
              </w:rPr>
            </w:pP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10.</w:t>
            </w:r>
          </w:p>
        </w:tc>
        <w:tc>
          <w:tcPr>
            <w:tcW w:w="4600" w:type="dxa"/>
            <w:vAlign w:val="bottom"/>
          </w:tcPr>
          <w:p>
            <w:pPr>
              <w:ind w:left="80"/>
              <w:spacing w:after="0"/>
              <w:rPr>
                <w:sz w:val="20"/>
                <w:szCs w:val="20"/>
                <w:color w:val="auto"/>
              </w:rPr>
            </w:pPr>
            <w:r>
              <w:rPr>
                <w:rFonts w:ascii="Arial" w:cs="Arial" w:eastAsia="Arial" w:hAnsi="Arial"/>
                <w:sz w:val="13"/>
                <w:szCs w:val="13"/>
                <w:color w:val="auto"/>
              </w:rPr>
              <w:t>Directors, Executive Officers and Corporate Governance</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37</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11.</w:t>
            </w:r>
          </w:p>
        </w:tc>
        <w:tc>
          <w:tcPr>
            <w:tcW w:w="4600" w:type="dxa"/>
            <w:vAlign w:val="bottom"/>
          </w:tcPr>
          <w:p>
            <w:pPr>
              <w:ind w:left="80"/>
              <w:spacing w:after="0"/>
              <w:rPr>
                <w:sz w:val="20"/>
                <w:szCs w:val="20"/>
                <w:color w:val="auto"/>
              </w:rPr>
            </w:pPr>
            <w:r>
              <w:rPr>
                <w:rFonts w:ascii="Arial" w:cs="Arial" w:eastAsia="Arial" w:hAnsi="Arial"/>
                <w:sz w:val="13"/>
                <w:szCs w:val="13"/>
                <w:color w:val="auto"/>
              </w:rPr>
              <w:t>Executive Compensation</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37</w:t>
            </w:r>
          </w:p>
        </w:tc>
      </w:tr>
      <w:tr>
        <w:trPr>
          <w:trHeight w:val="339"/>
        </w:trPr>
        <w:tc>
          <w:tcPr>
            <w:tcW w:w="880" w:type="dxa"/>
            <w:vAlign w:val="bottom"/>
          </w:tcPr>
          <w:p>
            <w:pPr>
              <w:spacing w:after="0"/>
              <w:rPr>
                <w:sz w:val="20"/>
                <w:szCs w:val="20"/>
                <w:color w:val="auto"/>
              </w:rPr>
            </w:pPr>
            <w:r>
              <w:rPr>
                <w:rFonts w:ascii="Arial" w:cs="Arial" w:eastAsia="Arial" w:hAnsi="Arial"/>
                <w:sz w:val="13"/>
                <w:szCs w:val="13"/>
                <w:color w:val="auto"/>
              </w:rPr>
              <w:t>ITEM 12.</w:t>
            </w:r>
          </w:p>
        </w:tc>
        <w:tc>
          <w:tcPr>
            <w:tcW w:w="4600" w:type="dxa"/>
            <w:vAlign w:val="bottom"/>
          </w:tcPr>
          <w:p>
            <w:pPr>
              <w:ind w:left="80"/>
              <w:spacing w:after="0"/>
              <w:rPr>
                <w:sz w:val="20"/>
                <w:szCs w:val="20"/>
                <w:color w:val="auto"/>
              </w:rPr>
            </w:pPr>
            <w:r>
              <w:rPr>
                <w:rFonts w:ascii="Arial" w:cs="Arial" w:eastAsia="Arial" w:hAnsi="Arial"/>
                <w:sz w:val="13"/>
                <w:szCs w:val="13"/>
                <w:color w:val="auto"/>
                <w:w w:val="97"/>
              </w:rPr>
              <w:t>Security Ownership of Certain Beneficial Owners and Management and Related</w:t>
            </w:r>
          </w:p>
        </w:tc>
        <w:tc>
          <w:tcPr>
            <w:tcW w:w="2060" w:type="dxa"/>
            <w:vAlign w:val="bottom"/>
          </w:tcPr>
          <w:p>
            <w:pPr>
              <w:spacing w:after="0"/>
              <w:rPr>
                <w:sz w:val="24"/>
                <w:szCs w:val="24"/>
                <w:color w:val="auto"/>
              </w:rPr>
            </w:pPr>
          </w:p>
        </w:tc>
      </w:tr>
      <w:tr>
        <w:trPr>
          <w:trHeight w:val="165"/>
        </w:trPr>
        <w:tc>
          <w:tcPr>
            <w:tcW w:w="880" w:type="dxa"/>
            <w:vAlign w:val="bottom"/>
          </w:tcPr>
          <w:p>
            <w:pPr>
              <w:spacing w:after="0"/>
              <w:rPr>
                <w:sz w:val="14"/>
                <w:szCs w:val="14"/>
                <w:color w:val="auto"/>
              </w:rPr>
            </w:pPr>
          </w:p>
        </w:tc>
        <w:tc>
          <w:tcPr>
            <w:tcW w:w="4600" w:type="dxa"/>
            <w:vAlign w:val="bottom"/>
          </w:tcPr>
          <w:p>
            <w:pPr>
              <w:ind w:left="220"/>
              <w:spacing w:after="0"/>
              <w:rPr>
                <w:sz w:val="20"/>
                <w:szCs w:val="20"/>
                <w:color w:val="auto"/>
              </w:rPr>
            </w:pPr>
            <w:r>
              <w:rPr>
                <w:rFonts w:ascii="Arial" w:cs="Arial" w:eastAsia="Arial" w:hAnsi="Arial"/>
                <w:sz w:val="13"/>
                <w:szCs w:val="13"/>
                <w:color w:val="auto"/>
              </w:rPr>
              <w:t>Stockholder Matters</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37</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13.</w:t>
            </w:r>
          </w:p>
        </w:tc>
        <w:tc>
          <w:tcPr>
            <w:tcW w:w="4600" w:type="dxa"/>
            <w:vAlign w:val="bottom"/>
          </w:tcPr>
          <w:p>
            <w:pPr>
              <w:ind w:left="8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37</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14.</w:t>
            </w:r>
          </w:p>
        </w:tc>
        <w:tc>
          <w:tcPr>
            <w:tcW w:w="4600" w:type="dxa"/>
            <w:vAlign w:val="bottom"/>
          </w:tcPr>
          <w:p>
            <w:pPr>
              <w:ind w:left="80"/>
              <w:spacing w:after="0"/>
              <w:rPr>
                <w:sz w:val="20"/>
                <w:szCs w:val="20"/>
                <w:color w:val="auto"/>
              </w:rPr>
            </w:pPr>
            <w:r>
              <w:rPr>
                <w:rFonts w:ascii="Arial" w:cs="Arial" w:eastAsia="Arial" w:hAnsi="Arial"/>
                <w:sz w:val="13"/>
                <w:szCs w:val="13"/>
                <w:color w:val="auto"/>
              </w:rPr>
              <w:t>Independent Registered Public Accounting Firm Fees and Services</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38</w:t>
            </w:r>
          </w:p>
        </w:tc>
      </w:tr>
      <w:tr>
        <w:trPr>
          <w:trHeight w:val="346"/>
        </w:trPr>
        <w:tc>
          <w:tcPr>
            <w:tcW w:w="880" w:type="dxa"/>
            <w:vAlign w:val="bottom"/>
          </w:tcPr>
          <w:p>
            <w:pPr>
              <w:spacing w:after="0"/>
              <w:rPr>
                <w:sz w:val="24"/>
                <w:szCs w:val="24"/>
                <w:color w:val="auto"/>
              </w:rPr>
            </w:pPr>
          </w:p>
        </w:tc>
        <w:tc>
          <w:tcPr>
            <w:tcW w:w="4600" w:type="dxa"/>
            <w:vAlign w:val="bottom"/>
          </w:tcPr>
          <w:p>
            <w:pPr>
              <w:ind w:left="1620"/>
              <w:spacing w:after="0"/>
              <w:rPr>
                <w:sz w:val="20"/>
                <w:szCs w:val="20"/>
                <w:color w:val="auto"/>
              </w:rPr>
            </w:pPr>
            <w:r>
              <w:rPr>
                <w:rFonts w:ascii="Arial" w:cs="Arial" w:eastAsia="Arial" w:hAnsi="Arial"/>
                <w:sz w:val="13"/>
                <w:szCs w:val="13"/>
                <w:b w:val="1"/>
                <w:bCs w:val="1"/>
                <w:color w:val="auto"/>
              </w:rPr>
              <w:t>PART IV</w:t>
            </w:r>
          </w:p>
        </w:tc>
        <w:tc>
          <w:tcPr>
            <w:tcW w:w="2060" w:type="dxa"/>
            <w:vAlign w:val="bottom"/>
          </w:tcPr>
          <w:p>
            <w:pPr>
              <w:spacing w:after="0"/>
              <w:rPr>
                <w:sz w:val="24"/>
                <w:szCs w:val="24"/>
                <w:color w:val="auto"/>
              </w:rPr>
            </w:pP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ITEM 15.</w:t>
            </w:r>
          </w:p>
        </w:tc>
        <w:tc>
          <w:tcPr>
            <w:tcW w:w="4600" w:type="dxa"/>
            <w:vAlign w:val="bottom"/>
          </w:tcPr>
          <w:p>
            <w:pPr>
              <w:ind w:left="80"/>
              <w:spacing w:after="0"/>
              <w:rPr>
                <w:sz w:val="20"/>
                <w:szCs w:val="20"/>
                <w:color w:val="auto"/>
              </w:rPr>
            </w:pPr>
            <w:r>
              <w:rPr>
                <w:rFonts w:ascii="Arial" w:cs="Arial" w:eastAsia="Arial" w:hAnsi="Arial"/>
                <w:sz w:val="13"/>
                <w:szCs w:val="13"/>
                <w:color w:val="auto"/>
              </w:rPr>
              <w:t>Exhibits and Financial Statement Schedules</w:t>
            </w: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39</w:t>
            </w:r>
          </w:p>
        </w:tc>
      </w:tr>
      <w:tr>
        <w:trPr>
          <w:trHeight w:val="346"/>
        </w:trPr>
        <w:tc>
          <w:tcPr>
            <w:tcW w:w="880" w:type="dxa"/>
            <w:vAlign w:val="bottom"/>
          </w:tcPr>
          <w:p>
            <w:pPr>
              <w:spacing w:after="0"/>
              <w:rPr>
                <w:sz w:val="20"/>
                <w:szCs w:val="20"/>
                <w:color w:val="auto"/>
              </w:rPr>
            </w:pPr>
            <w:r>
              <w:rPr>
                <w:rFonts w:ascii="Arial" w:cs="Arial" w:eastAsia="Arial" w:hAnsi="Arial"/>
                <w:sz w:val="13"/>
                <w:szCs w:val="13"/>
                <w:color w:val="auto"/>
              </w:rPr>
              <w:t>SIGNATURES</w:t>
            </w:r>
          </w:p>
        </w:tc>
        <w:tc>
          <w:tcPr>
            <w:tcW w:w="4600" w:type="dxa"/>
            <w:vAlign w:val="bottom"/>
          </w:tcPr>
          <w:p>
            <w:pPr>
              <w:spacing w:after="0"/>
              <w:rPr>
                <w:sz w:val="24"/>
                <w:szCs w:val="24"/>
                <w:color w:val="auto"/>
              </w:rPr>
            </w:pPr>
          </w:p>
        </w:tc>
        <w:tc>
          <w:tcPr>
            <w:tcW w:w="2060" w:type="dxa"/>
            <w:vAlign w:val="bottom"/>
          </w:tcPr>
          <w:p>
            <w:pPr>
              <w:jc w:val="right"/>
              <w:ind w:right="1594"/>
              <w:spacing w:after="0"/>
              <w:rPr>
                <w:sz w:val="20"/>
                <w:szCs w:val="20"/>
                <w:color w:val="auto"/>
              </w:rPr>
            </w:pPr>
            <w:r>
              <w:rPr>
                <w:rFonts w:ascii="Arial" w:cs="Arial" w:eastAsia="Arial" w:hAnsi="Arial"/>
                <w:sz w:val="13"/>
                <w:szCs w:val="13"/>
                <w:color w:val="auto"/>
              </w:rPr>
              <w:t>72</w:t>
            </w:r>
          </w:p>
        </w:tc>
      </w:tr>
      <w:tr>
        <w:trPr>
          <w:trHeight w:val="405"/>
        </w:trPr>
        <w:tc>
          <w:tcPr>
            <w:tcW w:w="880" w:type="dxa"/>
            <w:vAlign w:val="bottom"/>
          </w:tcPr>
          <w:p>
            <w:pPr>
              <w:spacing w:after="0"/>
              <w:rPr>
                <w:sz w:val="24"/>
                <w:szCs w:val="24"/>
                <w:color w:val="auto"/>
              </w:rPr>
            </w:pPr>
          </w:p>
        </w:tc>
        <w:tc>
          <w:tcPr>
            <w:tcW w:w="4600" w:type="dxa"/>
            <w:vAlign w:val="bottom"/>
          </w:tcPr>
          <w:p>
            <w:pPr>
              <w:ind w:left="2100"/>
              <w:spacing w:after="0"/>
              <w:rPr>
                <w:sz w:val="20"/>
                <w:szCs w:val="20"/>
                <w:color w:val="auto"/>
              </w:rPr>
            </w:pPr>
            <w:r>
              <w:rPr>
                <w:rFonts w:ascii="Arial" w:cs="Arial" w:eastAsia="Arial" w:hAnsi="Arial"/>
                <w:sz w:val="13"/>
                <w:szCs w:val="13"/>
                <w:color w:val="auto"/>
              </w:rPr>
              <w:t>2</w:t>
            </w:r>
          </w:p>
        </w:tc>
        <w:tc>
          <w:tcPr>
            <w:tcW w:w="2060" w:type="dxa"/>
            <w:vAlign w:val="bottom"/>
          </w:tcPr>
          <w:p>
            <w:pPr>
              <w:spacing w:after="0"/>
              <w:rPr>
                <w:sz w:val="24"/>
                <w:szCs w:val="24"/>
                <w:color w:val="auto"/>
              </w:rPr>
            </w:pPr>
          </w:p>
        </w:tc>
      </w:tr>
      <w:tr>
        <w:trPr>
          <w:trHeight w:val="397"/>
        </w:trPr>
        <w:tc>
          <w:tcPr>
            <w:tcW w:w="8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-24765</wp:posOffset>
            </wp:positionV>
            <wp:extent cx="3175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-24765</wp:posOffset>
            </wp:positionV>
            <wp:extent cx="3175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-3691255</wp:posOffset>
            </wp:positionV>
            <wp:extent cx="63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-3691255</wp:posOffset>
            </wp:positionV>
            <wp:extent cx="635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-3691255</wp:posOffset>
            </wp:positionV>
            <wp:extent cx="635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-3691255</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-3691255</wp:posOffset>
            </wp:positionV>
            <wp:extent cx="63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-3584575</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-3471545</wp:posOffset>
            </wp:positionV>
            <wp:extent cx="63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-3471545</wp:posOffset>
            </wp:positionV>
            <wp:extent cx="63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-3471545</wp:posOffset>
            </wp:positionV>
            <wp:extent cx="63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-3471545</wp:posOffset>
            </wp:positionV>
            <wp:extent cx="635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-3471545</wp:posOffset>
            </wp:positionV>
            <wp:extent cx="63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-3364865</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-3201670</wp:posOffset>
            </wp:positionV>
            <wp:extent cx="63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-3201670</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-3201670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-3201670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-3201670</wp:posOffset>
            </wp:positionV>
            <wp:extent cx="63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-3044825</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-2931795</wp:posOffset>
            </wp:positionV>
            <wp:extent cx="63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-2931795</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-2931795</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-2931795</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-2931795</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-2824480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-2712085</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-2712085</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-2712085</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-2712085</wp:posOffset>
            </wp:positionV>
            <wp:extent cx="635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-2712085</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-2604770</wp:posOffset>
            </wp:positionV>
            <wp:extent cx="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-2491740</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-2491740</wp:posOffset>
            </wp:positionV>
            <wp:extent cx="6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-2491740</wp:posOffset>
            </wp:positionV>
            <wp:extent cx="63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-2385060</wp:posOffset>
            </wp:positionV>
            <wp:extent cx="63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-2272030</wp:posOffset>
            </wp:positionV>
            <wp:extent cx="635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-2272030</wp:posOffset>
            </wp:positionV>
            <wp:extent cx="635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-2272030</wp:posOffset>
            </wp:positionV>
            <wp:extent cx="63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-2272030</wp:posOffset>
            </wp:positionV>
            <wp:extent cx="63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-2272030</wp:posOffset>
            </wp:positionV>
            <wp:extent cx="635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-2165350</wp:posOffset>
            </wp:positionV>
            <wp:extent cx="635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-2052320</wp:posOffset>
            </wp:positionV>
            <wp:extent cx="635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-2052320</wp:posOffset>
            </wp:positionV>
            <wp:extent cx="635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-2052320</wp:posOffset>
            </wp:positionV>
            <wp:extent cx="635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-2052320</wp:posOffset>
            </wp:positionV>
            <wp:extent cx="635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-2052320</wp:posOffset>
            </wp:positionV>
            <wp:extent cx="635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-1945640</wp:posOffset>
            </wp:positionV>
            <wp:extent cx="63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-1782445</wp:posOffset>
            </wp:positionV>
            <wp:extent cx="635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-1782445</wp:posOffset>
            </wp:positionV>
            <wp:extent cx="635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-1782445</wp:posOffset>
            </wp:positionV>
            <wp:extent cx="63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-1782445</wp:posOffset>
            </wp:positionV>
            <wp:extent cx="63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-1782445</wp:posOffset>
            </wp:positionV>
            <wp:extent cx="63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-1625600</wp:posOffset>
            </wp:positionV>
            <wp:extent cx="635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-1512570</wp:posOffset>
            </wp:positionV>
            <wp:extent cx="63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-1512570</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-1512570</wp:posOffset>
            </wp:positionV>
            <wp:extent cx="63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-1512570</wp:posOffset>
            </wp:positionV>
            <wp:extent cx="635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-1512570</wp:posOffset>
            </wp:positionV>
            <wp:extent cx="63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-1405890</wp:posOffset>
            </wp:positionV>
            <wp:extent cx="63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-1292860</wp:posOffset>
            </wp:positionV>
            <wp:extent cx="63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-1292860</wp:posOffset>
            </wp:positionV>
            <wp:extent cx="635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-1292860</wp:posOffset>
            </wp:positionV>
            <wp:extent cx="635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-1292860</wp:posOffset>
            </wp:positionV>
            <wp:extent cx="63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-1292860</wp:posOffset>
            </wp:positionV>
            <wp:extent cx="63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-1186180</wp:posOffset>
            </wp:positionV>
            <wp:extent cx="63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-1073150</wp:posOffset>
            </wp:positionV>
            <wp:extent cx="63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-1073150</wp:posOffset>
            </wp:positionV>
            <wp:extent cx="63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-1073150</wp:posOffset>
            </wp:positionV>
            <wp:extent cx="635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-966470</wp:posOffset>
            </wp:positionV>
            <wp:extent cx="63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-853440</wp:posOffset>
            </wp:positionV>
            <wp:extent cx="63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-853440</wp:posOffset>
            </wp:positionV>
            <wp:extent cx="63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-853440</wp:posOffset>
            </wp:positionV>
            <wp:extent cx="635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-853440</wp:posOffset>
            </wp:positionV>
            <wp:extent cx="635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-853440</wp:posOffset>
            </wp:positionV>
            <wp:extent cx="63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-746760</wp:posOffset>
            </wp:positionV>
            <wp:extent cx="63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-633730</wp:posOffset>
            </wp:positionV>
            <wp:extent cx="635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-633730</wp:posOffset>
            </wp:positionV>
            <wp:extent cx="635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-633730</wp:posOffset>
            </wp:positionV>
            <wp:extent cx="63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-527050</wp:posOffset>
            </wp:positionV>
            <wp:extent cx="635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-514350</wp:posOffset>
            </wp:positionV>
            <wp:extent cx="6350" cy="62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-3584575</wp:posOffset>
            </wp:positionV>
            <wp:extent cx="635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-3364865</wp:posOffset>
            </wp:positionV>
            <wp:extent cx="63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-3044825</wp:posOffset>
            </wp:positionV>
            <wp:extent cx="63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-2824480</wp:posOffset>
            </wp:positionV>
            <wp:extent cx="63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-2604770</wp:posOffset>
            </wp:positionV>
            <wp:extent cx="635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-2385060</wp:posOffset>
            </wp:positionV>
            <wp:extent cx="635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-2165350</wp:posOffset>
            </wp:positionV>
            <wp:extent cx="63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-1945640</wp:posOffset>
            </wp:positionV>
            <wp:extent cx="63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-1625600</wp:posOffset>
            </wp:positionV>
            <wp:extent cx="63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-1405890</wp:posOffset>
            </wp:positionV>
            <wp:extent cx="63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-1186180</wp:posOffset>
            </wp:positionV>
            <wp:extent cx="635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-966470</wp:posOffset>
            </wp:positionV>
            <wp:extent cx="63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-746760</wp:posOffset>
            </wp:positionV>
            <wp:extent cx="63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-527050</wp:posOffset>
            </wp:positionV>
            <wp:extent cx="635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83"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71" w:lineRule="exact"/>
        <w:rPr>
          <w:sz w:val="20"/>
          <w:szCs w:val="20"/>
          <w:color w:val="auto"/>
        </w:rPr>
      </w:pPr>
    </w:p>
    <w:p>
      <w:pPr>
        <w:ind w:right="4299" w:firstLine="263"/>
        <w:spacing w:after="0" w:line="258" w:lineRule="auto"/>
        <w:rPr>
          <w:sz w:val="20"/>
          <w:szCs w:val="20"/>
          <w:color w:val="auto"/>
        </w:rPr>
      </w:pPr>
      <w:r>
        <w:rPr>
          <w:rFonts w:ascii="Arial" w:cs="Arial" w:eastAsia="Arial" w:hAnsi="Arial"/>
          <w:sz w:val="13"/>
          <w:szCs w:val="13"/>
          <w:color w:val="auto"/>
        </w:rPr>
        <w:t>International Flavors &amp; Fragrances Inc., incorporated in New York in 1909 and its subsidiaries (the ‘‘Registrant’’, ‘‘IFF’’ or the ‘‘Company’’), is a leading creator and manufacturer of flavor and fragrance products used by other manufacturers to impart or improve flavor or fragrance in a wide variety of consumer products. Fragrance products are sold principally to manufacturers of perfumes, cosmetics, personal care products, hair care products, deodorants, soaps, detergents and air care products; flavor products are sold principally to manufacturers of prepared foods, beverages, dairy foods, pharmaceuticals and confectionery products as well as the food service industry.</w:t>
      </w:r>
    </w:p>
    <w:p>
      <w:pPr>
        <w:spacing w:after="0" w:line="62" w:lineRule="exact"/>
        <w:rPr>
          <w:sz w:val="20"/>
          <w:szCs w:val="20"/>
          <w:color w:val="auto"/>
        </w:rPr>
      </w:pPr>
    </w:p>
    <w:p>
      <w:pPr>
        <w:ind w:right="4239" w:firstLine="263"/>
        <w:spacing w:after="0" w:line="284" w:lineRule="auto"/>
        <w:rPr>
          <w:sz w:val="20"/>
          <w:szCs w:val="20"/>
          <w:color w:val="auto"/>
        </w:rPr>
      </w:pPr>
      <w:r>
        <w:rPr>
          <w:rFonts w:ascii="Arial" w:cs="Arial" w:eastAsia="Arial" w:hAnsi="Arial"/>
          <w:sz w:val="12"/>
          <w:szCs w:val="12"/>
          <w:color w:val="auto"/>
        </w:rPr>
        <w:t>The Company currently has 30 manufacturing facilities with the major manufacturing facilities located in the United States, Great Britain, Ireland, the Netherlands, Spain, Argentina, Brazil, Mexico, India, Australia, China, Indonesia, Japan and Singapore. The remaining manufacturing facilities are located in 8 other countries. The Company maintains its own sales and distribution facilities in 30 countries and is represented by sales agents and distributors in other countries. The Company’s principal executive offices are located at 521 West 57th Street, New York, New York 10019 (212-765-5500).</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MARKETS</w:t>
      </w:r>
    </w:p>
    <w:p>
      <w:pPr>
        <w:spacing w:after="0" w:line="92" w:lineRule="exact"/>
        <w:rPr>
          <w:sz w:val="20"/>
          <w:szCs w:val="20"/>
          <w:color w:val="auto"/>
        </w:rPr>
      </w:pPr>
    </w:p>
    <w:p>
      <w:pPr>
        <w:ind w:right="4239" w:firstLine="263"/>
        <w:spacing w:after="0" w:line="280" w:lineRule="auto"/>
        <w:rPr>
          <w:sz w:val="20"/>
          <w:szCs w:val="20"/>
          <w:color w:val="auto"/>
        </w:rPr>
      </w:pPr>
      <w:r>
        <w:rPr>
          <w:rFonts w:ascii="Arial" w:cs="Arial" w:eastAsia="Arial" w:hAnsi="Arial"/>
          <w:sz w:val="12"/>
          <w:szCs w:val="12"/>
          <w:color w:val="auto"/>
        </w:rPr>
        <w:t>Fragrance products are used by customers in the manufacture of consumer products such as soaps, detergents, cosmetic creams, lotions and powders, lipsticks, after-shave lotions, deodorants, hair preparations, candles, air fresheners and all-purpose cleaners as well as in other consumer products designed solely to appeal to the sense of smell, such as perfumes and colognes. The cosmetics industry, including perfume and toiletries manufacturers, is one of the Company’s two largest fragrance customer groups. Most of the major United States companies in this industry are customers of the Company, and five of the largest United States cosmetics companies are among its principal customers. The household products industry, including soaps and detergents, is the other important fragrance customer group. Four of the largest United States household product manufacturers are major customers of the Company. In the three years ended December 31, 2006, sales of fragrance products accounted for 57%, 57% and 55%, respectively, of the Company’s total sales.</w:t>
      </w:r>
    </w:p>
    <w:p>
      <w:pPr>
        <w:spacing w:after="0" w:line="51" w:lineRule="exact"/>
        <w:rPr>
          <w:sz w:val="20"/>
          <w:szCs w:val="20"/>
          <w:color w:val="auto"/>
        </w:rPr>
      </w:pPr>
    </w:p>
    <w:p>
      <w:pPr>
        <w:ind w:right="4239" w:firstLine="263"/>
        <w:spacing w:after="0" w:line="259" w:lineRule="auto"/>
        <w:rPr>
          <w:sz w:val="20"/>
          <w:szCs w:val="20"/>
          <w:color w:val="auto"/>
        </w:rPr>
      </w:pPr>
      <w:r>
        <w:rPr>
          <w:rFonts w:ascii="Arial" w:cs="Arial" w:eastAsia="Arial" w:hAnsi="Arial"/>
          <w:sz w:val="13"/>
          <w:szCs w:val="13"/>
          <w:color w:val="auto"/>
        </w:rPr>
        <w:t>Flavor products are sold principally to the food and beverage industries for use in consumer products such as soft drinks, candies, baked goods, desserts, prepared foods, dietary foods, dairy products, drink powders, pharmaceuticals, snack foods and alcoholic beverages. Two of the Company’s largest customers for flavor products are major producers of prepared foods and beverages in the United States. In the three years ended December 31, 2006, sales of flavor products accounted for 43%, 43% and 45%, respectively, of the Company’s total sales.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PRODUCTS</w:t>
      </w:r>
    </w:p>
    <w:p>
      <w:pPr>
        <w:spacing w:after="0" w:line="92" w:lineRule="exact"/>
        <w:rPr>
          <w:sz w:val="20"/>
          <w:szCs w:val="20"/>
          <w:color w:val="auto"/>
        </w:rPr>
      </w:pPr>
    </w:p>
    <w:p>
      <w:pPr>
        <w:ind w:right="4239" w:firstLine="263"/>
        <w:spacing w:after="0" w:line="280" w:lineRule="auto"/>
        <w:rPr>
          <w:sz w:val="20"/>
          <w:szCs w:val="20"/>
          <w:color w:val="auto"/>
        </w:rPr>
      </w:pPr>
      <w:r>
        <w:rPr>
          <w:rFonts w:ascii="Arial" w:cs="Arial" w:eastAsia="Arial" w:hAnsi="Arial"/>
          <w:sz w:val="12"/>
          <w:szCs w:val="12"/>
          <w:color w:val="auto"/>
        </w:rPr>
        <w:t>The Company’s principal fragrance and flavor products consist of compounds of large numbers of ingredients blended in proprietary formulas created by its perfumers and flavorists. Most of these compounds contribute the total fragrance or flavor to the consumer products in which they are used. This fragrance or flavor characteristic is often a major factor in the consumer selection and acceptance of the consumer end product. A smaller number of compounds are sold to manufacturers who further blend them to achieve the finished fragrance or flavor in their products. The Company produces thousands of compounds, and new compounds are constantly being created in order to meet the many and changing characteristics of its customers’ end products. Most of the fragrance and flavor compounds are created and produced for the exclusive use of particular customers. The Company’s products are sold in solid and liquid forms and in amounts ranging from a few pounds to many tons, depending upon the nature of the product.</w:t>
      </w:r>
    </w:p>
    <w:p>
      <w:pPr>
        <w:spacing w:after="0" w:line="51" w:lineRule="exact"/>
        <w:rPr>
          <w:sz w:val="20"/>
          <w:szCs w:val="20"/>
          <w:color w:val="auto"/>
        </w:rPr>
      </w:pPr>
    </w:p>
    <w:p>
      <w:pPr>
        <w:ind w:right="4639" w:firstLine="263"/>
        <w:spacing w:after="0" w:line="322" w:lineRule="auto"/>
        <w:rPr>
          <w:sz w:val="20"/>
          <w:szCs w:val="20"/>
          <w:color w:val="auto"/>
        </w:rPr>
      </w:pPr>
      <w:r>
        <w:rPr>
          <w:rFonts w:ascii="Arial" w:cs="Arial" w:eastAsia="Arial" w:hAnsi="Arial"/>
          <w:sz w:val="12"/>
          <w:szCs w:val="12"/>
          <w:color w:val="auto"/>
        </w:rPr>
        <w:t>The ingredients used by the Company in its compounds are both synthetic and natural. The Company manufactures a substantial portion of the synthetic ingredients. While the major part of the</w:t>
      </w:r>
    </w:p>
    <w:p>
      <w:pPr>
        <w:spacing w:after="0" w:line="154" w:lineRule="exact"/>
        <w:rPr>
          <w:sz w:val="20"/>
          <w:szCs w:val="20"/>
          <w:color w:val="auto"/>
        </w:rPr>
      </w:pPr>
    </w:p>
    <w:p>
      <w:pPr>
        <w:ind w:left="29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319"/>
        <w:spacing w:after="0" w:line="337" w:lineRule="auto"/>
        <w:rPr>
          <w:sz w:val="20"/>
          <w:szCs w:val="20"/>
          <w:color w:val="auto"/>
        </w:rPr>
      </w:pPr>
      <w:r>
        <w:rPr>
          <w:rFonts w:ascii="Arial" w:cs="Arial" w:eastAsia="Arial" w:hAnsi="Arial"/>
          <w:sz w:val="11"/>
          <w:szCs w:val="11"/>
          <w:color w:val="auto"/>
        </w:rPr>
        <w:t>Company’s production of synthetic ingredients is used in its compounds, a substantial portion is also sold to others. The natural ingredients are derived from flowers, fruits and other botanical products as well as from animal products. They contain varying numbers of organic chemicals, which are responsible for the fragrance or</w:t>
      </w:r>
    </w:p>
    <w:p>
      <w:pPr>
        <w:sectPr>
          <w:pgSz w:w="11900" w:h="16843" w:orient="portrait"/>
          <w:cols w:equalWidth="0" w:num="1">
            <w:col w:w="10239"/>
          </w:cols>
          <w:pgMar w:left="220" w:top="131" w:right="1440" w:bottom="0" w:gutter="0" w:footer="0" w:header="0"/>
        </w:sectPr>
      </w:pPr>
    </w:p>
    <w:bookmarkStart w:id="2" w:name="page3"/>
    <w:bookmarkEnd w:id="2"/>
    <w:p>
      <w:pPr>
        <w:spacing w:after="0" w:line="34" w:lineRule="exact"/>
        <w:rPr>
          <w:sz w:val="20"/>
          <w:szCs w:val="20"/>
          <w:color w:val="auto"/>
        </w:rPr>
      </w:pPr>
    </w:p>
    <w:p>
      <w:pPr>
        <w:ind w:right="4279"/>
        <w:spacing w:after="0" w:line="259" w:lineRule="auto"/>
        <w:rPr>
          <w:sz w:val="20"/>
          <w:szCs w:val="20"/>
          <w:color w:val="auto"/>
        </w:rPr>
      </w:pPr>
      <w:r>
        <w:rPr>
          <w:rFonts w:ascii="Arial" w:cs="Arial" w:eastAsia="Arial" w:hAnsi="Arial"/>
          <w:sz w:val="13"/>
          <w:szCs w:val="13"/>
          <w:color w:val="auto"/>
        </w:rPr>
        <w:t>flavor of the natural product. The natural products are purchased for the larger part in processed or semi-processed form. Some are used in compounds in the state in which they are purchased and others after further processing. Natural products, together with various chemicals, are also used as raw materials for the manufacture of synthetic ingredients by chemical processes. The Company’s flavor products also include extracts and seasonings derived from various fruits, vegetables, nuts, herbs and spices as well as microbiologically-derived ingredients.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DEVELOPMENTS</w:t>
      </w:r>
    </w:p>
    <w:p>
      <w:pPr>
        <w:spacing w:after="0" w:line="92" w:lineRule="exact"/>
        <w:rPr>
          <w:sz w:val="20"/>
          <w:szCs w:val="20"/>
          <w:color w:val="auto"/>
        </w:rPr>
      </w:pPr>
    </w:p>
    <w:p>
      <w:pPr>
        <w:ind w:right="4259" w:firstLine="263"/>
        <w:spacing w:after="0" w:line="307" w:lineRule="auto"/>
        <w:rPr>
          <w:sz w:val="20"/>
          <w:szCs w:val="20"/>
          <w:color w:val="auto"/>
        </w:rPr>
      </w:pPr>
      <w:r>
        <w:rPr>
          <w:rFonts w:ascii="Arial" w:cs="Arial" w:eastAsia="Arial" w:hAnsi="Arial"/>
          <w:sz w:val="11"/>
          <w:szCs w:val="11"/>
          <w:color w:val="auto"/>
        </w:rPr>
        <w:t>The demand for consumer products utilizing flavors and fragrances has been stimulated and broadened by changing social habits resulting from various factors such as increases in personal income, and dual-earner households, teenage population, leisure time, health concerns and urbanization and by the continued growth in world population. In the fragrance field, these developments have expanded the market for hair care, candles and air care products and deodorant and personal wash products with finer fragrance quality, as well as the market for colognes, toilet waters, men’s toiletries and other products beyond traditional luxury items such as perfumes. In the flavor field, similar market characteristics have stimulated the demand for products such as convenience foods, soft drinks and low-fat food products that must conform to expected tastes. New and improved methods of packaging, application and dispensing have been developed for many consumer products that utilize some of the Company’s flavor or fragrance products. These developments have called for the creation of new compounds and ingredients compatible with the newly introduced materials and methods of application.</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DEVELOPMENT AND RESEARCH</w:t>
      </w:r>
    </w:p>
    <w:p>
      <w:pPr>
        <w:spacing w:after="0" w:line="92" w:lineRule="exact"/>
        <w:rPr>
          <w:sz w:val="20"/>
          <w:szCs w:val="20"/>
          <w:color w:val="auto"/>
        </w:rPr>
      </w:pPr>
    </w:p>
    <w:p>
      <w:pPr>
        <w:ind w:right="4319" w:firstLine="263"/>
        <w:spacing w:after="0" w:line="262" w:lineRule="auto"/>
        <w:rPr>
          <w:sz w:val="20"/>
          <w:szCs w:val="20"/>
          <w:color w:val="auto"/>
        </w:rPr>
      </w:pPr>
      <w:r>
        <w:rPr>
          <w:rFonts w:ascii="Arial" w:cs="Arial" w:eastAsia="Arial" w:hAnsi="Arial"/>
          <w:sz w:val="13"/>
          <w:szCs w:val="13"/>
          <w:color w:val="auto"/>
        </w:rPr>
        <w:t>The development of new flavors and fragrances is a complex technical and artistic process calling upon the combined knowledge and skill of the Company’s creative perfumers and flavorists, and its scientists. With extensive experience, the perfumers and flavorists continuously advance their skills for creating fragrances or flavors best suited to the market requirements of the customers’ products.</w:t>
      </w:r>
    </w:p>
    <w:p>
      <w:pPr>
        <w:spacing w:after="0" w:line="59" w:lineRule="exact"/>
        <w:rPr>
          <w:sz w:val="20"/>
          <w:szCs w:val="20"/>
          <w:color w:val="auto"/>
        </w:rPr>
      </w:pPr>
    </w:p>
    <w:p>
      <w:pPr>
        <w:ind w:right="4279" w:firstLine="263"/>
        <w:spacing w:after="0" w:line="279" w:lineRule="auto"/>
        <w:rPr>
          <w:sz w:val="20"/>
          <w:szCs w:val="20"/>
          <w:color w:val="auto"/>
        </w:rPr>
      </w:pPr>
      <w:r>
        <w:rPr>
          <w:rFonts w:ascii="Arial" w:cs="Arial" w:eastAsia="Arial" w:hAnsi="Arial"/>
          <w:sz w:val="12"/>
          <w:szCs w:val="12"/>
          <w:color w:val="auto"/>
        </w:rPr>
        <w:t>Scientists from various disciplines work in project teams with the perfumers and flavorists to develop fragrance and flavor products with consumer preferred performance characteristics. Scientific expertise includes: natural products research, plant science, organic chemistry, analytical chemistry, biochemistry, microbiology, process engineering, food science, material science and sensory science. Analytical and sensory science is applied to understand the complex interactions of the many ingredients in a consumer product in order to optimize the flavor or fragrance performance at all points of use. Material science technology is applied to create controlled release and delivery systems to enhance flavor and fragrance performance in consumer products. An important contribution to the creation of new fragrances and flavors is the discovery and development of new ingredients having improved fragrance or flavor value. The ingredients research program discovers molecules found in natural substances and creates new molecules that are subsequently tested for their fragrance or flavor value. The new molecules that meet rigorous requirements for commercial development are subsequently transferred to manufacturing operations for production.</w:t>
      </w:r>
    </w:p>
    <w:p>
      <w:pPr>
        <w:spacing w:after="0" w:line="53" w:lineRule="exact"/>
        <w:rPr>
          <w:sz w:val="20"/>
          <w:szCs w:val="20"/>
          <w:color w:val="auto"/>
        </w:rPr>
      </w:pPr>
    </w:p>
    <w:p>
      <w:pPr>
        <w:ind w:right="4499" w:firstLine="263"/>
        <w:spacing w:after="0" w:line="314" w:lineRule="auto"/>
        <w:rPr>
          <w:sz w:val="20"/>
          <w:szCs w:val="20"/>
          <w:color w:val="auto"/>
        </w:rPr>
      </w:pPr>
      <w:r>
        <w:rPr>
          <w:rFonts w:ascii="Arial" w:cs="Arial" w:eastAsia="Arial" w:hAnsi="Arial"/>
          <w:sz w:val="11"/>
          <w:szCs w:val="11"/>
          <w:color w:val="auto"/>
        </w:rPr>
        <w:t>Creative and technical product development is conducted in 32 fragrance and flavor laboratories in 23 countries. The Company maintains a research and development center at Union Beach, New Jersey. The Company spent $186 million in 2006, $180 million in 2005 and $175 million in 2004 on its research and development activities. These expenditures are currently expected to increase in 2007 to approximately $190 million. Of the amount expended in 2006 on such activities, 64% was for fragrances and the balance was for flavors. The Company employed 1,065 persons in 2006 and 1,095 persons in 2005 in such activities.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business of the Company is not materially dependent upon any patents, trademarks or licenses.</w:t>
      </w:r>
    </w:p>
    <w:p>
      <w:pPr>
        <w:spacing w:after="0" w:line="228" w:lineRule="exact"/>
        <w:rPr>
          <w:sz w:val="20"/>
          <w:szCs w:val="20"/>
          <w:color w:val="auto"/>
        </w:rPr>
      </w:pPr>
    </w:p>
    <w:p>
      <w:pPr>
        <w:ind w:left="298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w:t>
      </w:r>
    </w:p>
    <w:p>
      <w:pPr>
        <w:spacing w:after="0" w:line="92" w:lineRule="exact"/>
        <w:rPr>
          <w:sz w:val="20"/>
          <w:szCs w:val="20"/>
          <w:color w:val="auto"/>
        </w:rPr>
      </w:pPr>
    </w:p>
    <w:p>
      <w:pPr>
        <w:ind w:right="4279" w:firstLine="263"/>
        <w:spacing w:after="0" w:line="259" w:lineRule="auto"/>
        <w:rPr>
          <w:sz w:val="20"/>
          <w:szCs w:val="20"/>
          <w:color w:val="auto"/>
        </w:rPr>
      </w:pPr>
      <w:r>
        <w:rPr>
          <w:rFonts w:ascii="Arial" w:cs="Arial" w:eastAsia="Arial" w:hAnsi="Arial"/>
          <w:sz w:val="13"/>
          <w:szCs w:val="13"/>
          <w:color w:val="auto"/>
        </w:rPr>
        <w:t>Most of the Company’s sales are through its own sales force, operating from 4 sales offices in the United States and 46 sales offices in 29 foreign countries. Sales in additional countries are made through agents and distributors. For the year ended December 31, 2006, 29% of the Company’s sales were to customers in North America, 36% in Europe, 17% in Asia Pacific, 14% in Latin America and 4% in the India Region. For additional information with respect to the Company’s operations by major geographical region, see Note 13 of the Notes to the Company’s Consolidated Financial Statements.</w:t>
      </w:r>
    </w:p>
    <w:p>
      <w:pPr>
        <w:spacing w:after="0" w:line="60" w:lineRule="exact"/>
        <w:rPr>
          <w:sz w:val="20"/>
          <w:szCs w:val="20"/>
          <w:color w:val="auto"/>
        </w:rPr>
      </w:pPr>
    </w:p>
    <w:p>
      <w:pPr>
        <w:ind w:right="4339" w:firstLine="263"/>
        <w:spacing w:after="0" w:line="266" w:lineRule="auto"/>
        <w:rPr>
          <w:sz w:val="20"/>
          <w:szCs w:val="20"/>
          <w:color w:val="auto"/>
        </w:rPr>
      </w:pPr>
      <w:r>
        <w:rPr>
          <w:rFonts w:ascii="Arial" w:cs="Arial" w:eastAsia="Arial" w:hAnsi="Arial"/>
          <w:sz w:val="13"/>
          <w:szCs w:val="13"/>
          <w:color w:val="auto"/>
        </w:rPr>
        <w:t>During 2006, the Company’s 30 largest customers accounted for 57% of its sales; its five largest customers accounted for 9.7%, 8.1%, 6.2%, 4.7% and 2.4%, respectively, of its sales, and no other single customer accounted for more than 2% of sales.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GOVERNMENTAL REGULATION</w:t>
      </w:r>
    </w:p>
    <w:p>
      <w:pPr>
        <w:spacing w:after="0" w:line="92" w:lineRule="exact"/>
        <w:rPr>
          <w:sz w:val="20"/>
          <w:szCs w:val="20"/>
          <w:color w:val="auto"/>
        </w:rPr>
      </w:pPr>
    </w:p>
    <w:p>
      <w:pPr>
        <w:ind w:right="4259" w:firstLine="263"/>
        <w:spacing w:after="0" w:line="256" w:lineRule="auto"/>
        <w:rPr>
          <w:sz w:val="20"/>
          <w:szCs w:val="20"/>
          <w:color w:val="auto"/>
        </w:rPr>
      </w:pPr>
      <w:r>
        <w:rPr>
          <w:rFonts w:ascii="Arial" w:cs="Arial" w:eastAsia="Arial" w:hAnsi="Arial"/>
          <w:sz w:val="13"/>
          <w:szCs w:val="13"/>
          <w:color w:val="auto"/>
        </w:rPr>
        <w:t>Manufacture and sale of the Company’s products are subject to regulation in the United States by the Food and Drug Administration, the Agriculture Department, the Bureau of Alcohol, Tobacco and Firearms, the Environmental Protection Agency, the Occupational Safety and Health Administration, the Drug Enforcement Administration and state authorities. Foreign subsidiaries are subject to similar regulation in a number of countries. In particular, the European Union in December 2006 adopted legislation requiring extensive chemical registration and testing over the next 11 years. Compliance with existing governmental requirements regulating the discharge of materials into the environment has not materially affected the Company’s operations, earnings or competitive position. The Company expects to spend in 2007 approximately $5 million in capital projects and $16 million in operating expenses and governmental charges for the purpose of complying with such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RAW MATERIAL PURCHASES</w:t>
      </w:r>
    </w:p>
    <w:p>
      <w:pPr>
        <w:spacing w:after="0" w:line="92" w:lineRule="exact"/>
        <w:rPr>
          <w:sz w:val="20"/>
          <w:szCs w:val="20"/>
          <w:color w:val="auto"/>
        </w:rPr>
      </w:pPr>
    </w:p>
    <w:p>
      <w:pPr>
        <w:ind w:right="4279" w:firstLine="263"/>
        <w:spacing w:after="0" w:line="259" w:lineRule="auto"/>
        <w:rPr>
          <w:sz w:val="20"/>
          <w:szCs w:val="20"/>
          <w:color w:val="auto"/>
        </w:rPr>
      </w:pPr>
      <w:r>
        <w:rPr>
          <w:rFonts w:ascii="Arial" w:cs="Arial" w:eastAsia="Arial" w:hAnsi="Arial"/>
          <w:sz w:val="13"/>
          <w:szCs w:val="13"/>
          <w:color w:val="auto"/>
        </w:rPr>
        <w:t>More than 5,000 different raw materials are purchased from many sources all over the world. The principal natural raw material purchases consist of essential oils, extracts and concentrates derived from fruits, vegetables, flowers, woods and other botanicals, animal products and raw fruits. The principal synthetic raw material purchases consist of organic chemicals. The Company believes that alternate sources of materials are available to enable it to maintain its competitive position in the event of any interruption in the supply of raw materials from present sources.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92" w:lineRule="exact"/>
        <w:rPr>
          <w:sz w:val="20"/>
          <w:szCs w:val="20"/>
          <w:color w:val="auto"/>
        </w:rPr>
      </w:pPr>
    </w:p>
    <w:p>
      <w:pPr>
        <w:ind w:right="4279" w:firstLine="263"/>
        <w:spacing w:after="0" w:line="279" w:lineRule="auto"/>
        <w:rPr>
          <w:sz w:val="20"/>
          <w:szCs w:val="20"/>
          <w:color w:val="auto"/>
        </w:rPr>
      </w:pPr>
      <w:r>
        <w:rPr>
          <w:rFonts w:ascii="Arial" w:cs="Arial" w:eastAsia="Arial" w:hAnsi="Arial"/>
          <w:sz w:val="12"/>
          <w:szCs w:val="12"/>
          <w:color w:val="auto"/>
        </w:rPr>
        <w:t>The Company has more than 50 competitors in the United States and world markets. While no single factor is responsible, the Company’s competitive position is based principally on the creative skills of its perfumers and flavorists, the technological advances resulting from its research and development, the quality of its customer service, the support provided by its marketing and application groups, and its understanding of consumers. The Company believes that it is one of the largest companies producing and marketing on an international basis a wide range of fragrance and flavor products for sale to manufacturers of consumer products. In particular countries and localities, the Company faces competition from numerous companies specializing in certain product lines, among which are some companies larger than the Company and some more important in a particular product line or lines. Most of the Company’s customers do not buy all their fragrance or flavor products from the same supplier, and some customers make their own fragrance or flavor compounds with ingredients supplied by the Company or others.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RELATIONS</w:t>
      </w:r>
    </w:p>
    <w:p>
      <w:pPr>
        <w:spacing w:after="0" w:line="92" w:lineRule="exact"/>
        <w:rPr>
          <w:sz w:val="20"/>
          <w:szCs w:val="20"/>
          <w:color w:val="auto"/>
        </w:rPr>
      </w:pPr>
    </w:p>
    <w:p>
      <w:pPr>
        <w:ind w:right="4259" w:firstLine="263"/>
        <w:spacing w:after="0" w:line="374" w:lineRule="auto"/>
        <w:rPr>
          <w:sz w:val="20"/>
          <w:szCs w:val="20"/>
          <w:color w:val="auto"/>
        </w:rPr>
      </w:pPr>
      <w:r>
        <w:rPr>
          <w:rFonts w:ascii="Arial" w:cs="Arial" w:eastAsia="Arial" w:hAnsi="Arial"/>
          <w:sz w:val="11"/>
          <w:szCs w:val="11"/>
          <w:color w:val="auto"/>
        </w:rPr>
        <w:t>At December 31, 2006, the Company employed 5,087 persons, of whom 1,382 were employed in the United States. The Company has never experienced a work stoppage or strike and considers its employee relations to be</w:t>
      </w:r>
    </w:p>
    <w:p>
      <w:pPr>
        <w:sectPr>
          <w:pgSz w:w="11900" w:h="16872" w:orient="portrait"/>
          <w:cols w:equalWidth="0" w:num="1">
            <w:col w:w="10239"/>
          </w:cols>
          <w:pgMar w:left="220" w:top="131" w:right="1440" w:bottom="0" w:gutter="0" w:footer="0" w:header="0"/>
        </w:sectPr>
      </w:pPr>
    </w:p>
    <w:bookmarkStart w:id="3" w:name="page4"/>
    <w:bookmarkEnd w:id="3"/>
    <w:p>
      <w:pPr>
        <w:ind w:left="1"/>
        <w:spacing w:after="0"/>
        <w:rPr>
          <w:sz w:val="20"/>
          <w:szCs w:val="20"/>
          <w:color w:val="auto"/>
        </w:rPr>
      </w:pPr>
      <w:r>
        <w:rPr>
          <w:rFonts w:ascii="Arial" w:cs="Arial" w:eastAsia="Arial" w:hAnsi="Arial"/>
          <w:sz w:val="13"/>
          <w:szCs w:val="13"/>
          <w:color w:val="auto"/>
        </w:rPr>
        <w:t>satisfactory.</w:t>
      </w:r>
    </w:p>
    <w:p>
      <w:pPr>
        <w:spacing w:after="0" w:line="216" w:lineRule="exact"/>
        <w:rPr>
          <w:sz w:val="20"/>
          <w:szCs w:val="20"/>
          <w:color w:val="auto"/>
        </w:rPr>
      </w:pPr>
    </w:p>
    <w:p>
      <w:pPr>
        <w:ind w:left="2981"/>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480949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EXECUTIVE OFFICERS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380492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04920" cy="6350"/>
                    </a:xfrm>
                    <a:prstGeom prst="rect">
                      <a:avLst/>
                    </a:prstGeom>
                    <a:noFill/>
                  </pic:spPr>
                </pic:pic>
              </a:graphicData>
            </a:graphic>
          </wp:anchor>
        </w:drawing>
      </w:r>
    </w:p>
    <w:p>
      <w:pPr>
        <w:spacing w:after="0" w:line="321" w:lineRule="exact"/>
        <w:rPr>
          <w:sz w:val="20"/>
          <w:szCs w:val="20"/>
          <w:color w:val="auto"/>
        </w:rPr>
      </w:pPr>
    </w:p>
    <w:tbl>
      <w:tblPr>
        <w:tblLayout w:type="fixed"/>
        <w:tblInd w:w="1" w:type="dxa"/>
        <w:tblCellMar>
          <w:top w:w="0" w:type="dxa"/>
          <w:left w:w="0" w:type="dxa"/>
          <w:bottom w:w="0" w:type="dxa"/>
          <w:right w:w="0" w:type="dxa"/>
        </w:tblCellMar>
      </w:tblP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Year</w:t>
            </w: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First</w:t>
            </w: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0"/>
              </w:rPr>
              <w:t>Became</w:t>
            </w:r>
          </w:p>
        </w:tc>
      </w:tr>
      <w:tr>
        <w:trPr>
          <w:trHeight w:val="136"/>
        </w:trPr>
        <w:tc>
          <w:tcPr>
            <w:tcW w:w="1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316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rPr>
              <w:t>Office and Other Business Experience</w:t>
            </w:r>
            <w:r>
              <w:rPr>
                <w:rFonts w:ascii="Arial" w:cs="Arial" w:eastAsia="Arial" w:hAnsi="Arial"/>
                <w:sz w:val="8"/>
                <w:szCs w:val="8"/>
                <w:b w:val="1"/>
                <w:bCs w:val="1"/>
                <w:color w:val="auto"/>
              </w:rPr>
              <w:t>(1)</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Officer</w:t>
            </w:r>
          </w:p>
        </w:tc>
      </w:tr>
      <w:tr>
        <w:trPr>
          <w:trHeight w:val="220"/>
        </w:trPr>
        <w:tc>
          <w:tcPr>
            <w:tcW w:w="1380" w:type="dxa"/>
            <w:vAlign w:val="bottom"/>
          </w:tcPr>
          <w:p>
            <w:pPr>
              <w:spacing w:after="0"/>
              <w:rPr>
                <w:sz w:val="20"/>
                <w:szCs w:val="20"/>
                <w:color w:val="auto"/>
              </w:rPr>
            </w:pPr>
            <w:r>
              <w:rPr>
                <w:rFonts w:ascii="Arial" w:cs="Arial" w:eastAsia="Arial" w:hAnsi="Arial"/>
                <w:sz w:val="12"/>
                <w:szCs w:val="12"/>
                <w:color w:val="auto"/>
              </w:rPr>
              <w:t>Robert M. Amen</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6"/>
              </w:rPr>
              <w:t>Chairman of the Board and Chief Executive Officer since July</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57</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2006</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4"/>
              </w:rPr>
              <w:t>2006; President, International Paper from 2003 to March 2006;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1"/>
              </w:rPr>
              <w:t>Executive Vice President, International Paper from 2000 to 2003;</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President of International Paper, Europe, prior 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James H. Dunsdon</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7"/>
              </w:rPr>
              <w:t>Chief Transition Officer since January 2007; Chief Operating</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60</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2003</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Officer from October 2004 to December 2006; Senior Vice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0"/>
              </w:rPr>
              <w:t>President, Global Business Development, Flavors and Functional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0"/>
              </w:rPr>
              <w:t>Fragrances from March 2004 to September 2004; Vice President,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0"/>
              </w:rPr>
              <w:t>Global Account Sales and Regional Manager North America from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7"/>
              </w:rPr>
              <w:t>January 2003 to March 2004; Regional Vice President, North</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America from January 2001 to January 2003.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Steven J. Heaslip</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1"/>
              </w:rPr>
              <w:t>Senior Vice President, Human Resources since December 2002;</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49</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2001</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9"/>
              </w:rPr>
              <w:t>Vice President, Human Resources from September 2001 to</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9"/>
              </w:rPr>
              <w:t>December 2002; Senior Vice President, Human Resources,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89"/>
              </w:rPr>
              <w:t>Elizabeth Arden, a manufacturer of prestige beauty products, prior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Dennis M. Meany</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7"/>
              </w:rPr>
              <w:t>Senior Vice President, General Counsel and Secretary since</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59</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2004</w:t>
            </w: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January 2004; Associate General Counsel, prior 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Nicolas Mirzayantz</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5"/>
              </w:rPr>
              <w:t>Group President, Fragrances since January 2007; Senior Vice</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44</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2002</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President, Fine Fragrance and Beauty Care and Regional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4"/>
              </w:rPr>
              <w:t>Manager, North America Region from April, 2005 to December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5"/>
              </w:rPr>
              <w:t>2006; Senior Vice President, Fine Fragrance and Beauty Care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from October 2004 to March 2005; Vice President, Global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Business Development, Fine Fragrance and Toiletries from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9"/>
              </w:rPr>
              <w:t>December 2002 to September 2004; Vice President, Global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9"/>
              </w:rPr>
              <w:t>Business Development Fine Fragrances and Toiletries prior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47"/>
        </w:trPr>
        <w:tc>
          <w:tcPr>
            <w:tcW w:w="1380" w:type="dxa"/>
            <w:vAlign w:val="bottom"/>
          </w:tcPr>
          <w:p>
            <w:pPr>
              <w:spacing w:after="0"/>
              <w:rPr>
                <w:sz w:val="20"/>
                <w:szCs w:val="20"/>
                <w:color w:val="auto"/>
              </w:rPr>
            </w:pPr>
            <w:r>
              <w:rPr>
                <w:rFonts w:ascii="Arial" w:cs="Arial" w:eastAsia="Arial" w:hAnsi="Arial"/>
                <w:sz w:val="12"/>
                <w:szCs w:val="12"/>
                <w:color w:val="auto"/>
              </w:rPr>
              <w:t>Douglas J. Wetmore</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Senior Vice President and Chief Financial Officer</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49</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1992</w:t>
            </w: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Hernan Vaisman</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5"/>
              </w:rPr>
              <w:t>Group President, Flavors since January 2007; Vice President,</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48</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2004</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7"/>
              </w:rPr>
              <w:t>Latin America Region from October 2004 to December 2006;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3"/>
              </w:rPr>
              <w:t>Regional Finance Director, Latin America Region, prior 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2"/>
                <w:szCs w:val="12"/>
                <w:color w:val="auto"/>
              </w:rPr>
              <w:t>Joseph Faranda</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5"/>
              </w:rPr>
              <w:t>Vice President and Chief Marketing Officer since March 2005;</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53</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2005</w:t>
            </w: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2"/>
              </w:rPr>
              <w:t>Vice President, Strategic Marketing, The Home Depot, Inc. from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4"/>
              </w:rPr>
              <w:t>February 2002 to March 2005; Senior Vice President Strategy,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0"/>
        </w:trPr>
        <w:tc>
          <w:tcPr>
            <w:tcW w:w="1380" w:type="dxa"/>
            <w:vAlign w:val="bottom"/>
          </w:tcPr>
          <w:p>
            <w:pPr>
              <w:spacing w:after="0"/>
              <w:rPr>
                <w:sz w:val="13"/>
                <w:szCs w:val="13"/>
                <w:color w:val="auto"/>
              </w:rPr>
            </w:pP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w w:val="94"/>
              </w:rPr>
              <w:t>and Business Development, Avon Products, Inc., prior thereto.</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47"/>
        </w:trPr>
        <w:tc>
          <w:tcPr>
            <w:tcW w:w="1380" w:type="dxa"/>
            <w:vAlign w:val="bottom"/>
          </w:tcPr>
          <w:p>
            <w:pPr>
              <w:spacing w:after="0"/>
              <w:rPr>
                <w:sz w:val="20"/>
                <w:szCs w:val="20"/>
                <w:color w:val="auto"/>
              </w:rPr>
            </w:pPr>
            <w:r>
              <w:rPr>
                <w:rFonts w:ascii="Arial" w:cs="Arial" w:eastAsia="Arial" w:hAnsi="Arial"/>
                <w:sz w:val="12"/>
                <w:szCs w:val="12"/>
                <w:color w:val="auto"/>
              </w:rPr>
              <w:t>James P. Huether</w:t>
            </w:r>
          </w:p>
        </w:tc>
        <w:tc>
          <w:tcPr>
            <w:tcW w:w="3280" w:type="dxa"/>
            <w:vAlign w:val="bottom"/>
            <w:gridSpan w:val="2"/>
          </w:tcPr>
          <w:p>
            <w:pPr>
              <w:ind w:left="120"/>
              <w:spacing w:after="0"/>
              <w:rPr>
                <w:sz w:val="20"/>
                <w:szCs w:val="20"/>
                <w:color w:val="auto"/>
              </w:rPr>
            </w:pPr>
            <w:r>
              <w:rPr>
                <w:rFonts w:ascii="Arial" w:cs="Arial" w:eastAsia="Arial" w:hAnsi="Arial"/>
                <w:sz w:val="12"/>
                <w:szCs w:val="12"/>
                <w:color w:val="auto"/>
              </w:rPr>
              <w:t>Controller</w:t>
            </w:r>
          </w:p>
        </w:tc>
        <w:tc>
          <w:tcPr>
            <w:tcW w:w="600" w:type="dxa"/>
            <w:vAlign w:val="bottom"/>
            <w:gridSpan w:val="2"/>
          </w:tcPr>
          <w:p>
            <w:pPr>
              <w:jc w:val="center"/>
              <w:ind w:left="61"/>
              <w:spacing w:after="0"/>
              <w:rPr>
                <w:sz w:val="20"/>
                <w:szCs w:val="20"/>
                <w:color w:val="auto"/>
              </w:rPr>
            </w:pPr>
            <w:r>
              <w:rPr>
                <w:rFonts w:ascii="Arial" w:cs="Arial" w:eastAsia="Arial" w:hAnsi="Arial"/>
                <w:sz w:val="12"/>
                <w:szCs w:val="12"/>
                <w:color w:val="auto"/>
                <w:w w:val="89"/>
              </w:rPr>
              <w:t>50</w:t>
            </w:r>
          </w:p>
        </w:tc>
        <w:tc>
          <w:tcPr>
            <w:tcW w:w="740" w:type="dxa"/>
            <w:vAlign w:val="bottom"/>
            <w:gridSpan w:val="2"/>
          </w:tcPr>
          <w:p>
            <w:pPr>
              <w:jc w:val="center"/>
              <w:ind w:left="61"/>
              <w:spacing w:after="0"/>
              <w:rPr>
                <w:sz w:val="20"/>
                <w:szCs w:val="20"/>
                <w:color w:val="auto"/>
              </w:rPr>
            </w:pPr>
            <w:r>
              <w:rPr>
                <w:rFonts w:ascii="Arial" w:cs="Arial" w:eastAsia="Arial" w:hAnsi="Arial"/>
                <w:sz w:val="12"/>
                <w:szCs w:val="12"/>
                <w:color w:val="auto"/>
                <w:w w:val="82"/>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-3989070</wp:posOffset>
            </wp:positionV>
            <wp:extent cx="63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-3989070</wp:posOffset>
            </wp:positionV>
            <wp:extent cx="63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-3989070</wp:posOffset>
            </wp:positionV>
            <wp:extent cx="635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-3989070</wp:posOffset>
            </wp:positionV>
            <wp:extent cx="635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-3989070</wp:posOffset>
            </wp:positionV>
            <wp:extent cx="63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-3989070</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-3580765</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-3580765</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-3580765</wp:posOffset>
            </wp:positionV>
            <wp:extent cx="63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-3580765</wp:posOffset>
            </wp:positionV>
            <wp:extent cx="635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-3580765</wp:posOffset>
            </wp:positionV>
            <wp:extent cx="635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-3580765</wp:posOffset>
            </wp:positionV>
            <wp:extent cx="635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-3028315</wp:posOffset>
            </wp:positionV>
            <wp:extent cx="63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-3028315</wp:posOffset>
            </wp:positionV>
            <wp:extent cx="635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-3028315</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-3028315</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-3028315</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-3028315</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-2432050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-2432050</wp:posOffset>
            </wp:positionV>
            <wp:extent cx="63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-2432050</wp:posOffset>
            </wp:positionV>
            <wp:extent cx="63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-2432050</wp:posOffset>
            </wp:positionV>
            <wp:extent cx="635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-2432050</wp:posOffset>
            </wp:positionV>
            <wp:extent cx="635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-2432050</wp:posOffset>
            </wp:positionV>
            <wp:extent cx="635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-2055495</wp:posOffset>
            </wp:positionV>
            <wp:extent cx="635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-2055495</wp:posOffset>
            </wp:positionV>
            <wp:extent cx="63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-2055495</wp:posOffset>
            </wp:positionV>
            <wp:extent cx="635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-2055495</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-2055495</wp:posOffset>
            </wp:positionV>
            <wp:extent cx="635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-2055495</wp:posOffset>
            </wp:positionV>
            <wp:extent cx="63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-1503045</wp:posOffset>
            </wp:positionV>
            <wp:extent cx="63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-1503045</wp:posOffset>
            </wp:positionV>
            <wp:extent cx="63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-1503045</wp:posOffset>
            </wp:positionV>
            <wp:extent cx="63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-1503045</wp:posOffset>
            </wp:positionV>
            <wp:extent cx="63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-1503045</wp:posOffset>
            </wp:positionV>
            <wp:extent cx="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-1503045</wp:posOffset>
            </wp:positionV>
            <wp:extent cx="635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-994410</wp:posOffset>
            </wp:positionV>
            <wp:extent cx="635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-994410</wp:posOffset>
            </wp:positionV>
            <wp:extent cx="635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-994410</wp:posOffset>
            </wp:positionV>
            <wp:extent cx="635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-994410</wp:posOffset>
            </wp:positionV>
            <wp:extent cx="635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-994410</wp:posOffset>
            </wp:positionV>
            <wp:extent cx="635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-994410</wp:posOffset>
            </wp:positionV>
            <wp:extent cx="635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-749300</wp:posOffset>
            </wp:positionV>
            <wp:extent cx="635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-749300</wp:posOffset>
            </wp:positionV>
            <wp:extent cx="635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-749300</wp:posOffset>
            </wp:positionV>
            <wp:extent cx="63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-749300</wp:posOffset>
            </wp:positionV>
            <wp:extent cx="63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-749300</wp:posOffset>
            </wp:positionV>
            <wp:extent cx="63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-749300</wp:posOffset>
            </wp:positionV>
            <wp:extent cx="635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-372745</wp:posOffset>
            </wp:positionV>
            <wp:extent cx="635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-372745</wp:posOffset>
            </wp:positionV>
            <wp:extent cx="635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-372745</wp:posOffset>
            </wp:positionV>
            <wp:extent cx="635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-372745</wp:posOffset>
            </wp:positionV>
            <wp:extent cx="635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-372745</wp:posOffset>
            </wp:positionV>
            <wp:extent cx="635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-372745</wp:posOffset>
            </wp:positionV>
            <wp:extent cx="63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-83820</wp:posOffset>
            </wp:positionV>
            <wp:extent cx="635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-83820</wp:posOffset>
            </wp:positionV>
            <wp:extent cx="635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-83820</wp:posOffset>
            </wp:positionV>
            <wp:extent cx="635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-83820</wp:posOffset>
            </wp:positionV>
            <wp:extent cx="635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-83820</wp:posOffset>
            </wp:positionV>
            <wp:extent cx="635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-83820</wp:posOffset>
            </wp:positionV>
            <wp:extent cx="635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3924300" cy="182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24300" cy="182245"/>
                    </a:xfrm>
                    <a:prstGeom prst="rect">
                      <a:avLst/>
                    </a:prstGeom>
                    <a:noFill/>
                  </pic:spPr>
                </pic:pic>
              </a:graphicData>
            </a:graphic>
          </wp:anchor>
        </w:drawing>
      </w:r>
    </w:p>
    <w:p>
      <w:pPr>
        <w:spacing w:after="0" w:line="264" w:lineRule="exact"/>
        <w:rPr>
          <w:sz w:val="20"/>
          <w:szCs w:val="20"/>
          <w:color w:val="auto"/>
        </w:rPr>
      </w:pPr>
    </w:p>
    <w:p>
      <w:pPr>
        <w:ind w:left="221" w:hanging="221"/>
        <w:spacing w:after="0"/>
        <w:tabs>
          <w:tab w:leader="none" w:pos="221" w:val="left"/>
        </w:tabs>
        <w:numPr>
          <w:ilvl w:val="0"/>
          <w:numId w:val="1"/>
        </w:numPr>
        <w:rPr>
          <w:rFonts w:ascii="Arial" w:cs="Arial" w:eastAsia="Arial" w:hAnsi="Arial"/>
          <w:sz w:val="12"/>
          <w:szCs w:val="12"/>
          <w:color w:val="auto"/>
        </w:rPr>
      </w:pPr>
      <w:r>
        <w:rPr>
          <w:rFonts w:ascii="Arial" w:cs="Arial" w:eastAsia="Arial" w:hAnsi="Arial"/>
          <w:sz w:val="12"/>
          <w:szCs w:val="12"/>
          <w:color w:val="auto"/>
        </w:rPr>
        <w:t>Employed by the Company or an affiliated company for the last five years, except as otherwise indicated.</w:t>
      </w:r>
    </w:p>
    <w:p>
      <w:pPr>
        <w:spacing w:after="0" w:line="188" w:lineRule="exact"/>
        <w:rPr>
          <w:rFonts w:ascii="Arial" w:cs="Arial" w:eastAsia="Arial" w:hAnsi="Arial"/>
          <w:sz w:val="12"/>
          <w:szCs w:val="12"/>
          <w:color w:val="auto"/>
        </w:rPr>
      </w:pPr>
    </w:p>
    <w:p>
      <w:pPr>
        <w:ind w:left="2981"/>
        <w:spacing w:after="0"/>
        <w:rPr>
          <w:rFonts w:ascii="Arial" w:cs="Arial" w:eastAsia="Arial" w:hAnsi="Arial"/>
          <w:sz w:val="12"/>
          <w:szCs w:val="12"/>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AVAILABLE INFORMATION</w:t>
      </w:r>
    </w:p>
    <w:p>
      <w:pPr>
        <w:spacing w:after="0" w:line="92" w:lineRule="exact"/>
        <w:rPr>
          <w:sz w:val="20"/>
          <w:szCs w:val="20"/>
          <w:color w:val="auto"/>
        </w:rPr>
      </w:pPr>
    </w:p>
    <w:p>
      <w:pPr>
        <w:ind w:left="1" w:right="4239" w:firstLine="263"/>
        <w:spacing w:after="0" w:line="258" w:lineRule="auto"/>
        <w:rPr>
          <w:sz w:val="20"/>
          <w:szCs w:val="20"/>
          <w:color w:val="auto"/>
        </w:rPr>
      </w:pPr>
      <w:r>
        <w:rPr>
          <w:rFonts w:ascii="Arial" w:cs="Arial" w:eastAsia="Arial" w:hAnsi="Arial"/>
          <w:sz w:val="13"/>
          <w:szCs w:val="13"/>
          <w:color w:val="auto"/>
        </w:rPr>
        <w:t xml:space="preserve">The Company makes available free of charge on or through the Investor Relations link on its website, </w:t>
      </w:r>
      <w:r>
        <w:rPr>
          <w:rFonts w:ascii="Arial" w:cs="Arial" w:eastAsia="Arial" w:hAnsi="Arial"/>
          <w:sz w:val="13"/>
          <w:szCs w:val="13"/>
          <w:i w:val="1"/>
          <w:iCs w:val="1"/>
          <w:color w:val="auto"/>
        </w:rPr>
        <w:t>www.iff.com</w:t>
      </w:r>
      <w:r>
        <w:rPr>
          <w:rFonts w:ascii="Arial" w:cs="Arial" w:eastAsia="Arial" w:hAnsi="Arial"/>
          <w:sz w:val="13"/>
          <w:szCs w:val="13"/>
          <w:color w:val="auto"/>
        </w:rPr>
        <w:t>, all materials that it files electronically with the SEC, including its annual report on Form 10-K,</w:t>
      </w:r>
      <w:r>
        <w:rPr>
          <w:rFonts w:ascii="Arial" w:cs="Arial" w:eastAsia="Arial" w:hAnsi="Arial"/>
          <w:sz w:val="13"/>
          <w:szCs w:val="13"/>
          <w:i w:val="1"/>
          <w:iCs w:val="1"/>
          <w:color w:val="auto"/>
        </w:rPr>
        <w:t xml:space="preserve"> </w:t>
      </w:r>
      <w:r>
        <w:rPr>
          <w:rFonts w:ascii="Arial" w:cs="Arial" w:eastAsia="Arial" w:hAnsi="Arial"/>
          <w:sz w:val="13"/>
          <w:szCs w:val="13"/>
          <w:color w:val="auto"/>
        </w:rPr>
        <w:t>quarterly reports on Form 10-Q, current reports on Form 8-K, and amendments to those reports, filed or furnished pursuant to Section 13(a) or 15(d) of the Securities Exchange Act of 1934 as soon as reasonably practicable after electronically filing such materials with, or furnishing them to, the SEC. During the period covered by this Form 10-K, the Company made all such materials available through its website as soon as reasonably practicable after filing such materials with the SEC.</w:t>
      </w:r>
    </w:p>
    <w:p>
      <w:pPr>
        <w:spacing w:after="0" w:line="62" w:lineRule="exact"/>
        <w:rPr>
          <w:sz w:val="20"/>
          <w:szCs w:val="20"/>
          <w:color w:val="auto"/>
        </w:rPr>
      </w:pPr>
    </w:p>
    <w:p>
      <w:pPr>
        <w:ind w:left="1" w:right="4279" w:firstLine="263"/>
        <w:spacing w:after="0" w:line="260" w:lineRule="auto"/>
        <w:rPr>
          <w:sz w:val="20"/>
          <w:szCs w:val="20"/>
          <w:color w:val="auto"/>
        </w:rPr>
      </w:pPr>
      <w:r>
        <w:rPr>
          <w:rFonts w:ascii="Arial" w:cs="Arial" w:eastAsia="Arial" w:hAnsi="Arial"/>
          <w:sz w:val="13"/>
          <w:szCs w:val="13"/>
          <w:color w:val="auto"/>
        </w:rPr>
        <w:t xml:space="preserve">You may also read and copy any materials filed by the Company with the SEC at the SEC’s Public Reference Room at 100 F Street, N.E., Washington, D.C. 20549, and you may obtain information on the operation of the Public Reference Room by calling the SEC in the U.S. at 1-800-SEC-0330. In addition, the SEC maintains an Internet website, </w:t>
      </w:r>
      <w:r>
        <w:rPr>
          <w:rFonts w:ascii="Arial" w:cs="Arial" w:eastAsia="Arial" w:hAnsi="Arial"/>
          <w:sz w:val="13"/>
          <w:szCs w:val="13"/>
          <w:i w:val="1"/>
          <w:iCs w:val="1"/>
          <w:color w:val="auto"/>
        </w:rPr>
        <w:t>www.sec.gov</w:t>
      </w:r>
      <w:r>
        <w:rPr>
          <w:rFonts w:ascii="Arial" w:cs="Arial" w:eastAsia="Arial" w:hAnsi="Arial"/>
          <w:sz w:val="13"/>
          <w:szCs w:val="13"/>
          <w:color w:val="auto"/>
        </w:rPr>
        <w:t>, that contains reports, proxy and information statements and other information that the Company files electronically with the SEC.</w:t>
      </w:r>
    </w:p>
    <w:p>
      <w:pPr>
        <w:spacing w:after="0" w:line="60" w:lineRule="exact"/>
        <w:rPr>
          <w:sz w:val="20"/>
          <w:szCs w:val="20"/>
          <w:color w:val="auto"/>
        </w:rPr>
      </w:pPr>
    </w:p>
    <w:p>
      <w:pPr>
        <w:ind w:left="1" w:right="4319" w:firstLine="263"/>
        <w:spacing w:after="0" w:line="318" w:lineRule="auto"/>
        <w:rPr>
          <w:sz w:val="20"/>
          <w:szCs w:val="20"/>
          <w:color w:val="auto"/>
        </w:rPr>
      </w:pPr>
      <w:r>
        <w:rPr>
          <w:rFonts w:ascii="Arial" w:cs="Arial" w:eastAsia="Arial" w:hAnsi="Arial"/>
          <w:sz w:val="11"/>
          <w:szCs w:val="11"/>
          <w:color w:val="auto"/>
        </w:rPr>
        <w:t xml:space="preserve">A copy of the Company’s Corporate Governance Guidelines, its Code of Business Conduct and Ethics, and the charters of the Audit Committee, Compensation Committee, and Nominating and Governance Committee of the Board of Directors are posted on the Investor Relations section of the Company’s website, </w:t>
      </w:r>
      <w:r>
        <w:rPr>
          <w:rFonts w:ascii="Arial" w:cs="Arial" w:eastAsia="Arial" w:hAnsi="Arial"/>
          <w:sz w:val="11"/>
          <w:szCs w:val="11"/>
          <w:i w:val="1"/>
          <w:iCs w:val="1"/>
          <w:color w:val="auto"/>
        </w:rPr>
        <w:t>www.iff.com</w:t>
      </w:r>
      <w:r>
        <w:rPr>
          <w:rFonts w:ascii="Arial" w:cs="Arial" w:eastAsia="Arial" w:hAnsi="Arial"/>
          <w:sz w:val="11"/>
          <w:szCs w:val="11"/>
          <w:color w:val="auto"/>
        </w:rPr>
        <w:t xml:space="preserve"> and are available in print to any shareholder who requests copies by contacting Dennis M. Meany, Senior Vice President, General Counsel and Secretary, at the Company’s principal executive office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77952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97"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Competitive factors may negatively impact our sales and marketability.</w:t>
      </w:r>
    </w:p>
    <w:p>
      <w:pPr>
        <w:spacing w:after="0" w:line="92" w:lineRule="exact"/>
        <w:rPr>
          <w:sz w:val="20"/>
          <w:szCs w:val="20"/>
          <w:color w:val="auto"/>
        </w:rPr>
      </w:pPr>
    </w:p>
    <w:p>
      <w:pPr>
        <w:ind w:left="1" w:right="4359" w:firstLine="263"/>
        <w:spacing w:after="0" w:line="259" w:lineRule="auto"/>
        <w:rPr>
          <w:sz w:val="20"/>
          <w:szCs w:val="20"/>
          <w:color w:val="auto"/>
        </w:rPr>
      </w:pPr>
      <w:r>
        <w:rPr>
          <w:rFonts w:ascii="Arial" w:cs="Arial" w:eastAsia="Arial" w:hAnsi="Arial"/>
          <w:sz w:val="13"/>
          <w:szCs w:val="13"/>
          <w:color w:val="auto"/>
        </w:rPr>
        <w:t>The market for flavor and fragrance products is fragmented and highly competitive. IFF competes with many companies and some of the Company’s competitors specialize in one or more of our product lines while others sell many of the same product lines. In addition, some of our competitors may have greater financial and technical resources. Increased competition by existing or future competitors, including aggressive price competition, could result in the need for the Company to reduce prices or increase spending and this could have an impact on sales and profitability.</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The Company is subject to economic and social changes which may impact sales.</w:t>
      </w:r>
    </w:p>
    <w:p>
      <w:pPr>
        <w:spacing w:after="0" w:line="92" w:lineRule="exact"/>
        <w:rPr>
          <w:sz w:val="20"/>
          <w:szCs w:val="20"/>
          <w:color w:val="auto"/>
        </w:rPr>
      </w:pPr>
    </w:p>
    <w:p>
      <w:pPr>
        <w:ind w:left="1" w:right="4239" w:firstLine="263"/>
        <w:spacing w:after="0" w:line="260" w:lineRule="auto"/>
        <w:rPr>
          <w:sz w:val="20"/>
          <w:szCs w:val="20"/>
          <w:color w:val="auto"/>
        </w:rPr>
      </w:pPr>
      <w:r>
        <w:rPr>
          <w:rFonts w:ascii="Arial" w:cs="Arial" w:eastAsia="Arial" w:hAnsi="Arial"/>
          <w:sz w:val="13"/>
          <w:szCs w:val="13"/>
          <w:color w:val="auto"/>
        </w:rPr>
        <w:t>Demand for consumer products using flavors and fragrances has been stimulated and broadened by changing social habits resulting from factors such as increases in personal income, dual-earner households, teenage population, leisure time, health concerns and urbanization and by the continued growth in world population. Changes in any number of external economic factors, or changes in social or consumer preferences, could adversely impact our results of operations.</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The Company’s results may be negatively impacted by the price, quality and availability of raw materials.</w:t>
      </w:r>
    </w:p>
    <w:p>
      <w:pPr>
        <w:sectPr>
          <w:pgSz w:w="11900" w:h="16838" w:orient="portrait"/>
          <w:cols w:equalWidth="0" w:num="1">
            <w:col w:w="10240"/>
          </w:cols>
          <w:pgMar w:left="219" w:top="131" w:right="1440" w:bottom="0" w:gutter="0" w:footer="0" w:header="0"/>
        </w:sectPr>
      </w:pPr>
    </w:p>
    <w:bookmarkStart w:id="4" w:name="page5"/>
    <w:bookmarkEnd w:id="4"/>
    <w:p>
      <w:pPr>
        <w:spacing w:after="0" w:line="58" w:lineRule="exact"/>
        <w:rPr>
          <w:sz w:val="20"/>
          <w:szCs w:val="20"/>
          <w:color w:val="auto"/>
        </w:rPr>
      </w:pPr>
    </w:p>
    <w:p>
      <w:pPr>
        <w:ind w:right="4299" w:firstLine="263"/>
        <w:spacing w:after="0" w:line="291" w:lineRule="auto"/>
        <w:rPr>
          <w:sz w:val="20"/>
          <w:szCs w:val="20"/>
          <w:color w:val="auto"/>
        </w:rPr>
      </w:pPr>
      <w:r>
        <w:rPr>
          <w:rFonts w:ascii="Arial" w:cs="Arial" w:eastAsia="Arial" w:hAnsi="Arial"/>
          <w:sz w:val="12"/>
          <w:szCs w:val="12"/>
          <w:color w:val="auto"/>
        </w:rPr>
        <w:t>Raw materials are purchased from many sources from all over the world, including essential oils, extracts and concentrate derived from fruits, vegetables, flowers, woods and other botanicals, animal products, raw fruits and organic chemicals. Disruptions in the supply or quality of ingredients or rising prices for ingredients purchased could adversely impact results of operations and profitability of the Company.</w:t>
      </w:r>
    </w:p>
    <w:p>
      <w:pPr>
        <w:spacing w:after="0" w:line="39" w:lineRule="exact"/>
        <w:rPr>
          <w:sz w:val="20"/>
          <w:szCs w:val="20"/>
          <w:color w:val="auto"/>
        </w:rPr>
      </w:pPr>
    </w:p>
    <w:p>
      <w:pPr>
        <w:ind w:right="4299"/>
        <w:spacing w:after="0" w:line="379" w:lineRule="auto"/>
        <w:rPr>
          <w:sz w:val="20"/>
          <w:szCs w:val="20"/>
          <w:color w:val="auto"/>
        </w:rPr>
      </w:pPr>
      <w:r>
        <w:rPr>
          <w:rFonts w:ascii="Arial" w:cs="Arial" w:eastAsia="Arial" w:hAnsi="Arial"/>
          <w:sz w:val="11"/>
          <w:szCs w:val="11"/>
          <w:b w:val="1"/>
          <w:bCs w:val="1"/>
          <w:color w:val="auto"/>
        </w:rPr>
        <w:t>The Company’s results may be negatively impacted by the inability to implement the Company’s business strategy, including the achievement of anticipated cost savings, profitability or growth targets.</w:t>
      </w:r>
    </w:p>
    <w:p>
      <w:pPr>
        <w:ind w:right="4319" w:firstLine="263"/>
        <w:spacing w:after="0" w:line="262" w:lineRule="auto"/>
        <w:rPr>
          <w:sz w:val="20"/>
          <w:szCs w:val="20"/>
          <w:color w:val="auto"/>
        </w:rPr>
      </w:pPr>
      <w:r>
        <w:rPr>
          <w:rFonts w:ascii="Arial" w:cs="Arial" w:eastAsia="Arial" w:hAnsi="Arial"/>
          <w:sz w:val="13"/>
          <w:szCs w:val="13"/>
          <w:color w:val="auto"/>
        </w:rPr>
        <w:t>The Company is committed to those particular business strategies which have been identified as likely to drive profitable future growth and improve operations and customer service. If the Company is unable to successfully and timely implement these strategies, it would adversely impact the financial condition and results of operations of the Company.</w:t>
      </w:r>
    </w:p>
    <w:p>
      <w:pPr>
        <w:spacing w:after="0" w:line="188" w:lineRule="exact"/>
        <w:rPr>
          <w:sz w:val="20"/>
          <w:szCs w:val="20"/>
          <w:color w:val="auto"/>
        </w:rPr>
      </w:pPr>
    </w:p>
    <w:p>
      <w:pPr>
        <w:ind w:left="29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39"/>
        <w:spacing w:after="0" w:line="329" w:lineRule="auto"/>
        <w:rPr>
          <w:sz w:val="20"/>
          <w:szCs w:val="20"/>
          <w:color w:val="auto"/>
        </w:rPr>
      </w:pPr>
      <w:r>
        <w:rPr>
          <w:rFonts w:ascii="Arial" w:cs="Arial" w:eastAsia="Arial" w:hAnsi="Arial"/>
          <w:sz w:val="12"/>
          <w:szCs w:val="12"/>
          <w:b w:val="1"/>
          <w:bCs w:val="1"/>
          <w:color w:val="auto"/>
        </w:rPr>
        <w:t>The Company’s results may be negatively impacted by the impact of currency fluctuation or devaluation in principal foreign markets and the effectiveness of hedging and risk management strategies.</w:t>
      </w:r>
    </w:p>
    <w:p>
      <w:pPr>
        <w:spacing w:after="0" w:line="21" w:lineRule="exact"/>
        <w:rPr>
          <w:sz w:val="20"/>
          <w:szCs w:val="20"/>
          <w:color w:val="auto"/>
        </w:rPr>
      </w:pPr>
    </w:p>
    <w:p>
      <w:pPr>
        <w:ind w:right="4219" w:firstLine="263"/>
        <w:spacing w:after="0" w:line="259" w:lineRule="auto"/>
        <w:rPr>
          <w:sz w:val="20"/>
          <w:szCs w:val="20"/>
          <w:color w:val="auto"/>
        </w:rPr>
      </w:pPr>
      <w:r>
        <w:rPr>
          <w:rFonts w:ascii="Arial" w:cs="Arial" w:eastAsia="Arial" w:hAnsi="Arial"/>
          <w:sz w:val="13"/>
          <w:szCs w:val="13"/>
          <w:color w:val="auto"/>
        </w:rPr>
        <w:t>The Company’s operations are conducted in many countries, the results of which are reported in the local currency and then translated into U.S. dollars at applicable exchange rates. The exchange rates between these currencies and the U.S. dollar have fluctuated and may continue to do so in the future. The Company employs a variety of techniques to reduce the impact of exchange rate fluctuations, including foreign currency hedging activities. However, volatility in currency exchange rates may adversely impact the Company’s reported results of operations, financial condition or liquidity.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Company’s results may be negatively impacted by the outcome of uncertainties related to litigation.</w:t>
      </w:r>
    </w:p>
    <w:p>
      <w:pPr>
        <w:spacing w:after="0" w:line="103" w:lineRule="exact"/>
        <w:rPr>
          <w:sz w:val="20"/>
          <w:szCs w:val="20"/>
          <w:color w:val="auto"/>
        </w:rPr>
      </w:pPr>
    </w:p>
    <w:p>
      <w:pPr>
        <w:ind w:right="4239" w:firstLine="263"/>
        <w:spacing w:after="0" w:line="260" w:lineRule="auto"/>
        <w:rPr>
          <w:sz w:val="20"/>
          <w:szCs w:val="20"/>
          <w:color w:val="auto"/>
        </w:rPr>
      </w:pPr>
      <w:r>
        <w:rPr>
          <w:rFonts w:ascii="Arial" w:cs="Arial" w:eastAsia="Arial" w:hAnsi="Arial"/>
          <w:sz w:val="13"/>
          <w:szCs w:val="13"/>
          <w:color w:val="auto"/>
        </w:rPr>
        <w:t>The Company is involved in a number of legal claims. While the Company believes that related insurance coverage is adequate with respect to such claims, the Company cannot predict the ultimate outcome of such litigation. In addition, the Company cannot provide assurance that future events will not require an increase in the amount accrued for any such claims, or require accrual for one or more claims that has not been previously accrued.</w:t>
      </w:r>
    </w:p>
    <w:p>
      <w:pPr>
        <w:spacing w:after="0" w:line="135" w:lineRule="exact"/>
        <w:rPr>
          <w:sz w:val="20"/>
          <w:szCs w:val="20"/>
          <w:color w:val="auto"/>
        </w:rPr>
      </w:pPr>
    </w:p>
    <w:p>
      <w:pPr>
        <w:ind w:right="4419"/>
        <w:spacing w:after="0" w:line="286" w:lineRule="auto"/>
        <w:rPr>
          <w:sz w:val="20"/>
          <w:szCs w:val="20"/>
          <w:color w:val="auto"/>
        </w:rPr>
      </w:pPr>
      <w:r>
        <w:rPr>
          <w:rFonts w:ascii="Arial" w:cs="Arial" w:eastAsia="Arial" w:hAnsi="Arial"/>
          <w:sz w:val="13"/>
          <w:szCs w:val="13"/>
          <w:b w:val="1"/>
          <w:bCs w:val="1"/>
          <w:color w:val="auto"/>
        </w:rPr>
        <w:t>The Company’s results and cash flows may be negatively impacted by future pension funding and other postretirement obligations.</w:t>
      </w:r>
    </w:p>
    <w:p>
      <w:pPr>
        <w:spacing w:after="0" w:line="43" w:lineRule="exact"/>
        <w:rPr>
          <w:sz w:val="20"/>
          <w:szCs w:val="20"/>
          <w:color w:val="auto"/>
        </w:rPr>
      </w:pPr>
    </w:p>
    <w:p>
      <w:pPr>
        <w:ind w:right="4339" w:firstLine="263"/>
        <w:spacing w:after="0" w:line="287" w:lineRule="auto"/>
        <w:rPr>
          <w:sz w:val="20"/>
          <w:szCs w:val="20"/>
          <w:color w:val="auto"/>
        </w:rPr>
      </w:pPr>
      <w:r>
        <w:rPr>
          <w:rFonts w:ascii="Arial" w:cs="Arial" w:eastAsia="Arial" w:hAnsi="Arial"/>
          <w:sz w:val="12"/>
          <w:szCs w:val="12"/>
          <w:color w:val="auto"/>
        </w:rPr>
        <w:t>The Company establishes assumptions concerning discount rates and actuarial assumptions regarding pension funding and other postretirement benefit obligations based on current market conditions, plan participants, asset returns, interest rates and other factors. Changes in pension and other postretirement benefits, and associated expenses, may occur in the future due to changes in demographics and assumptions. These changes may adversely impact the Company’s financial condition, results of operations or liquidity.</w:t>
      </w:r>
    </w:p>
    <w:p>
      <w:pPr>
        <w:spacing w:after="0" w:line="41" w:lineRule="exact"/>
        <w:rPr>
          <w:sz w:val="20"/>
          <w:szCs w:val="20"/>
          <w:color w:val="auto"/>
        </w:rPr>
      </w:pPr>
    </w:p>
    <w:p>
      <w:pPr>
        <w:ind w:right="4359"/>
        <w:spacing w:after="0" w:line="329" w:lineRule="auto"/>
        <w:rPr>
          <w:sz w:val="20"/>
          <w:szCs w:val="20"/>
          <w:color w:val="auto"/>
        </w:rPr>
      </w:pPr>
      <w:r>
        <w:rPr>
          <w:rFonts w:ascii="Arial" w:cs="Arial" w:eastAsia="Arial" w:hAnsi="Arial"/>
          <w:sz w:val="12"/>
          <w:szCs w:val="12"/>
          <w:b w:val="1"/>
          <w:bCs w:val="1"/>
          <w:color w:val="auto"/>
        </w:rPr>
        <w:t>The Company’s results may be negatively impacted by the effect of legal and regulatory requirements, as well as restrictions imposed on operations by foreign and domestic governmental entities.</w:t>
      </w:r>
    </w:p>
    <w:p>
      <w:pPr>
        <w:spacing w:after="0" w:line="21" w:lineRule="exact"/>
        <w:rPr>
          <w:sz w:val="20"/>
          <w:szCs w:val="20"/>
          <w:color w:val="auto"/>
        </w:rPr>
      </w:pPr>
    </w:p>
    <w:p>
      <w:pPr>
        <w:ind w:right="4259" w:firstLine="263"/>
        <w:spacing w:after="0" w:line="258" w:lineRule="auto"/>
        <w:rPr>
          <w:sz w:val="20"/>
          <w:szCs w:val="20"/>
          <w:color w:val="auto"/>
        </w:rPr>
      </w:pPr>
      <w:r>
        <w:rPr>
          <w:rFonts w:ascii="Arial" w:cs="Arial" w:eastAsia="Arial" w:hAnsi="Arial"/>
          <w:sz w:val="13"/>
          <w:szCs w:val="13"/>
          <w:color w:val="auto"/>
        </w:rPr>
        <w:t>Manufacture and sale of the Company’s products are subject to regulation in the United States by the Food and Drug Administration, the Agriculture Department, the Bureau of Alcohol, Tobacco and Firearms, the Environmental Protection Agency, the Occupational Safety and Health Administration, the Drug Enforcement Administration and state authorities. Foreign operations of the Company are subject to similar governmental regulation in a number of countries, including the extensive new European Union requirements. Compliance with existing governmental requirements and future governmental regulations may adversely impact the Company’s financial condition, results of operations or liquidity.</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Company may face risks associated with events which may affect the world economy.</w:t>
      </w:r>
    </w:p>
    <w:p>
      <w:pPr>
        <w:spacing w:after="0" w:line="92" w:lineRule="exact"/>
        <w:rPr>
          <w:sz w:val="20"/>
          <w:szCs w:val="20"/>
          <w:color w:val="auto"/>
        </w:rPr>
      </w:pPr>
    </w:p>
    <w:p>
      <w:pPr>
        <w:jc w:val="both"/>
        <w:ind w:right="4259" w:firstLine="263"/>
        <w:spacing w:after="0" w:line="260" w:lineRule="auto"/>
        <w:rPr>
          <w:sz w:val="20"/>
          <w:szCs w:val="20"/>
          <w:color w:val="auto"/>
        </w:rPr>
      </w:pPr>
      <w:r>
        <w:rPr>
          <w:rFonts w:ascii="Arial" w:cs="Arial" w:eastAsia="Arial" w:hAnsi="Arial"/>
          <w:sz w:val="13"/>
          <w:szCs w:val="13"/>
          <w:color w:val="auto"/>
        </w:rPr>
        <w:t>World events such as terrorist attacks, the current U.S. military action in the Middle East and elsewhere, and hostilities in the Middle East, Asia and other geographical areas, have and may in the future weaken the U.S. and world economies. Any resulting weaknesses in these economies may adversely affect the Company’s business or the businesses of our customers, with a resultant negative impact on the Company’s financial condition, results of operations or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952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SEC Staff Comments.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16" w:lineRule="exact"/>
        <w:rPr>
          <w:sz w:val="20"/>
          <w:szCs w:val="20"/>
          <w:color w:val="auto"/>
        </w:rPr>
      </w:pPr>
    </w:p>
    <w:p>
      <w:pPr>
        <w:ind w:left="298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7952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principal properties of the Company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5475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754755"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1"/>
                <w:szCs w:val="11"/>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Operation</w:t>
            </w:r>
          </w:p>
        </w:tc>
      </w:tr>
      <w:tr>
        <w:trPr>
          <w:trHeight w:val="131"/>
        </w:trPr>
        <w:tc>
          <w:tcPr>
            <w:tcW w:w="1800" w:type="dxa"/>
            <w:vAlign w:val="bottom"/>
          </w:tcPr>
          <w:p>
            <w:pPr>
              <w:spacing w:after="0" w:line="132" w:lineRule="exact"/>
              <w:rPr>
                <w:sz w:val="20"/>
                <w:szCs w:val="20"/>
                <w:color w:val="auto"/>
              </w:rPr>
            </w:pPr>
            <w:r>
              <w:rPr>
                <w:rFonts w:ascii="Arial" w:cs="Arial" w:eastAsia="Arial" w:hAnsi="Arial"/>
                <w:sz w:val="12"/>
                <w:szCs w:val="12"/>
                <w:b w:val="1"/>
                <w:bCs w:val="1"/>
                <w:color w:val="auto"/>
              </w:rPr>
              <w:t>United States</w:t>
            </w: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Augusta, GA</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chemical ingredients.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Carrollton, TX</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compounds.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Hazlet, NJ</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compounds; fragrance laboratories.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Jacksonville, FL</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chemical ingredients.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New York, NY</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Fragrance laboratories.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South Brunswick, NJ</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compounds and ingredients; flavor laboratories.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Union Beach, NJ</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Research and development center.</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France</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Neuilly</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Fragrance laboratories.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Grasse</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and fragrance ingredients; fragrance laboratories.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Great Britain</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38"/>
        </w:trPr>
        <w:tc>
          <w:tcPr>
            <w:tcW w:w="1800" w:type="dxa"/>
            <w:vAlign w:val="bottom"/>
          </w:tcPr>
          <w:p>
            <w:pPr>
              <w:ind w:left="140"/>
              <w:spacing w:after="0"/>
              <w:rPr>
                <w:sz w:val="20"/>
                <w:szCs w:val="20"/>
                <w:color w:val="auto"/>
              </w:rPr>
            </w:pPr>
            <w:r>
              <w:rPr>
                <w:rFonts w:ascii="Arial" w:cs="Arial" w:eastAsia="Arial" w:hAnsi="Arial"/>
                <w:sz w:val="12"/>
                <w:szCs w:val="12"/>
                <w:color w:val="auto"/>
              </w:rPr>
              <w:t>Haverhill</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compounds and ingredients, and fragrance chemical</w:t>
            </w:r>
          </w:p>
        </w:tc>
      </w:tr>
      <w:tr>
        <w:trPr>
          <w:trHeight w:val="150"/>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ingredients; flavor laboratories.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Ireland</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Drogheda</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compounds.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Netherlands</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Hilversum</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Flavor and fragrance laboratories.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Tilburg</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w w:val="99"/>
              </w:rPr>
              <w:t>Production of flavor compounds and ingredients, and fragrance compounds.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Spain</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Benicarlo</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chemical ingredients.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Argentina</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38"/>
        </w:trPr>
        <w:tc>
          <w:tcPr>
            <w:tcW w:w="1800" w:type="dxa"/>
            <w:vAlign w:val="bottom"/>
          </w:tcPr>
          <w:p>
            <w:pPr>
              <w:ind w:left="140"/>
              <w:spacing w:after="0"/>
              <w:rPr>
                <w:sz w:val="20"/>
                <w:szCs w:val="20"/>
                <w:color w:val="auto"/>
              </w:rPr>
            </w:pPr>
            <w:r>
              <w:rPr>
                <w:rFonts w:ascii="Arial" w:cs="Arial" w:eastAsia="Arial" w:hAnsi="Arial"/>
                <w:sz w:val="12"/>
                <w:szCs w:val="12"/>
                <w:color w:val="auto"/>
              </w:rPr>
              <w:t>Garin</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w w:val="92"/>
              </w:rPr>
              <w:t>Production of flavor compounds and ingredients, and fragrance compounds; flavor</w:t>
            </w:r>
          </w:p>
        </w:tc>
      </w:tr>
      <w:tr>
        <w:trPr>
          <w:trHeight w:val="150"/>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laboratories.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-2670810</wp:posOffset>
            </wp:positionV>
            <wp:extent cx="635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-2670810</wp:posOffset>
            </wp:positionV>
            <wp:extent cx="63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-2582545</wp:posOffset>
            </wp:positionV>
            <wp:extent cx="63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-2582545</wp:posOffset>
            </wp:positionV>
            <wp:extent cx="6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-2488565</wp:posOffset>
            </wp:positionV>
            <wp:extent cx="635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-2488565</wp:posOffset>
            </wp:positionV>
            <wp:extent cx="635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-2394585</wp:posOffset>
            </wp:positionV>
            <wp:extent cx="635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-2394585</wp:posOffset>
            </wp:positionV>
            <wp:extent cx="635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-2299970</wp:posOffset>
            </wp:positionV>
            <wp:extent cx="635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-2299970</wp:posOffset>
            </wp:positionV>
            <wp:extent cx="63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-2205990</wp:posOffset>
            </wp:positionV>
            <wp:extent cx="63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-2205990</wp:posOffset>
            </wp:positionV>
            <wp:extent cx="63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-2112010</wp:posOffset>
            </wp:positionV>
            <wp:extent cx="63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-2112010</wp:posOffset>
            </wp:positionV>
            <wp:extent cx="635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-2017395</wp:posOffset>
            </wp:positionV>
            <wp:extent cx="635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-2017395</wp:posOffset>
            </wp:positionV>
            <wp:extent cx="63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-1923415</wp:posOffset>
            </wp:positionV>
            <wp:extent cx="635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-1923415</wp:posOffset>
            </wp:positionV>
            <wp:extent cx="63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-1797685</wp:posOffset>
            </wp:positionV>
            <wp:extent cx="635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-1797685</wp:posOffset>
            </wp:positionV>
            <wp:extent cx="635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-1671955</wp:posOffset>
            </wp:positionV>
            <wp:extent cx="635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-1671955</wp:posOffset>
            </wp:positionV>
            <wp:extent cx="635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-1577975</wp:posOffset>
            </wp:positionV>
            <wp:extent cx="635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-1577975</wp:posOffset>
            </wp:positionV>
            <wp:extent cx="635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-1452245</wp:posOffset>
            </wp:positionV>
            <wp:extent cx="635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-1452245</wp:posOffset>
            </wp:positionV>
            <wp:extent cx="635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-1282700</wp:posOffset>
            </wp:positionV>
            <wp:extent cx="635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-1282700</wp:posOffset>
            </wp:positionV>
            <wp:extent cx="63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-1113155</wp:posOffset>
            </wp:positionV>
            <wp:extent cx="63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-1113155</wp:posOffset>
            </wp:positionV>
            <wp:extent cx="635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-988060</wp:posOffset>
            </wp:positionV>
            <wp:extent cx="63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-988060</wp:posOffset>
            </wp:positionV>
            <wp:extent cx="635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-862330</wp:posOffset>
            </wp:positionV>
            <wp:extent cx="635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-862330</wp:posOffset>
            </wp:positionV>
            <wp:extent cx="635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-736600</wp:posOffset>
            </wp:positionV>
            <wp:extent cx="635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-736600</wp:posOffset>
            </wp:positionV>
            <wp:extent cx="635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-642620</wp:posOffset>
            </wp:positionV>
            <wp:extent cx="635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-642620</wp:posOffset>
            </wp:positionV>
            <wp:extent cx="635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-516890</wp:posOffset>
            </wp:positionV>
            <wp:extent cx="635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-516890</wp:posOffset>
            </wp:positionV>
            <wp:extent cx="635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-391160</wp:posOffset>
            </wp:positionV>
            <wp:extent cx="635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-391160</wp:posOffset>
            </wp:positionV>
            <wp:extent cx="635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-266065</wp:posOffset>
            </wp:positionV>
            <wp:extent cx="635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-266065</wp:posOffset>
            </wp:positionV>
            <wp:extent cx="635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-96520</wp:posOffset>
            </wp:positionV>
            <wp:extent cx="635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-96520</wp:posOffset>
            </wp:positionV>
            <wp:extent cx="635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96" w:orient="portrait"/>
          <w:cols w:equalWidth="0" w:num="1">
            <w:col w:w="10239"/>
          </w:cols>
          <w:pgMar w:left="220" w:top="210" w:right="1440" w:bottom="0" w:gutter="0" w:footer="0" w:header="0"/>
        </w:sectPr>
      </w:pPr>
    </w:p>
    <w:bookmarkStart w:id="5" w:name="page6"/>
    <w:bookmarkEnd w:id="5"/>
    <w:p>
      <w:pPr>
        <w:ind w:left="1"/>
        <w:spacing w:after="0"/>
        <w:rPr>
          <w:sz w:val="20"/>
          <w:szCs w:val="20"/>
          <w:color w:val="auto"/>
        </w:rPr>
      </w:pPr>
      <w:r>
        <w:rPr>
          <w:rFonts w:ascii="Arial" w:cs="Arial" w:eastAsia="Arial" w:hAnsi="Arial"/>
          <w:sz w:val="12"/>
          <w:szCs w:val="12"/>
          <w:b w:val="1"/>
          <w:bCs w:val="1"/>
          <w:color w:val="auto"/>
        </w:rPr>
        <w:t>Brazil</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9"/>
          <w:szCs w:val="9"/>
          <w:color w:val="auto"/>
        </w:rPr>
        <w:t>Rio de Janeiro</w:t>
      </w:r>
    </w:p>
    <w:p>
      <w:pPr>
        <w:spacing w:after="0" w:line="45" w:lineRule="exact"/>
        <w:rPr>
          <w:sz w:val="20"/>
          <w:szCs w:val="20"/>
          <w:color w:val="auto"/>
        </w:rPr>
      </w:pPr>
    </w:p>
    <w:p>
      <w:pPr>
        <w:ind w:left="141"/>
        <w:spacing w:after="0"/>
        <w:rPr>
          <w:sz w:val="20"/>
          <w:szCs w:val="20"/>
          <w:color w:val="auto"/>
        </w:rPr>
      </w:pPr>
      <w:r>
        <w:rPr>
          <w:rFonts w:ascii="Arial" w:cs="Arial" w:eastAsia="Arial" w:hAnsi="Arial"/>
          <w:sz w:val="12"/>
          <w:szCs w:val="12"/>
          <w:color w:val="auto"/>
        </w:rPr>
        <w:t>São Paulo</w:t>
      </w:r>
    </w:p>
    <w:p>
      <w:pPr>
        <w:spacing w:after="0" w:line="10" w:lineRule="exact"/>
        <w:rPr>
          <w:sz w:val="20"/>
          <w:szCs w:val="20"/>
          <w:color w:val="auto"/>
        </w:rPr>
      </w:pPr>
    </w:p>
    <w:p>
      <w:pPr>
        <w:ind w:left="141"/>
        <w:spacing w:after="0"/>
        <w:rPr>
          <w:sz w:val="20"/>
          <w:szCs w:val="20"/>
          <w:color w:val="auto"/>
        </w:rPr>
      </w:pPr>
      <w:r>
        <w:rPr>
          <w:rFonts w:ascii="Arial" w:cs="Arial" w:eastAsia="Arial" w:hAnsi="Arial"/>
          <w:sz w:val="12"/>
          <w:szCs w:val="12"/>
          <w:color w:val="auto"/>
        </w:rPr>
        <w:t>Taubate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Production of fragrance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-233045</wp:posOffset>
            </wp:positionV>
            <wp:extent cx="63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-233045</wp:posOffset>
            </wp:positionV>
            <wp:extent cx="635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-45085</wp:posOffset>
            </wp:positionV>
            <wp:extent cx="635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-45085</wp:posOffset>
            </wp:positionV>
            <wp:extent cx="635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Fragrance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-45720</wp:posOffset>
            </wp:positionV>
            <wp:extent cx="635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-45720</wp:posOffset>
            </wp:positionV>
            <wp:extent cx="635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Production of flavor compounds and ingredients; flavor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-24130</wp:posOffset>
            </wp:positionV>
            <wp:extent cx="635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-24130</wp:posOffset>
            </wp:positionV>
            <wp:extent cx="635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201" w:space="720"/>
            <w:col w:w="8319"/>
          </w:cols>
          <w:pgMar w:left="219" w:top="220" w:right="1440" w:bottom="0" w:gutter="0" w:footer="0" w:header="0"/>
        </w:sectPr>
      </w:pPr>
    </w:p>
    <w:p>
      <w:pPr>
        <w:ind w:left="1"/>
        <w:spacing w:after="0"/>
        <w:rPr>
          <w:sz w:val="20"/>
          <w:szCs w:val="20"/>
          <w:color w:val="auto"/>
        </w:rPr>
      </w:pPr>
      <w:r>
        <w:rPr>
          <w:rFonts w:ascii="Arial" w:cs="Arial" w:eastAsia="Arial" w:hAnsi="Arial"/>
          <w:sz w:val="12"/>
          <w:szCs w:val="12"/>
          <w:b w:val="1"/>
          <w:bCs w:val="1"/>
          <w:color w:val="auto"/>
        </w:rPr>
        <w:t>Mexico</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9"/>
          <w:szCs w:val="9"/>
          <w:color w:val="auto"/>
        </w:rPr>
        <w:t>Tlalnepantla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9"/>
          <w:szCs w:val="9"/>
          <w:color w:val="auto"/>
        </w:rPr>
        <w:t>Production of flavor and fragrance compounds; flavor and fragrance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-148590</wp:posOffset>
            </wp:positionV>
            <wp:extent cx="635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63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-22860</wp:posOffset>
            </wp:positionV>
            <wp:extent cx="635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-22860</wp:posOffset>
            </wp:positionV>
            <wp:extent cx="635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2">
            <w:col w:w="1201" w:space="720"/>
            <w:col w:w="8319"/>
          </w:cols>
          <w:pgMar w:left="219" w:top="220" w:right="1440" w:bottom="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India</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9"/>
          <w:szCs w:val="9"/>
          <w:color w:val="auto"/>
        </w:rPr>
        <w:t>Chennai</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9"/>
          <w:szCs w:val="9"/>
          <w:color w:val="auto"/>
        </w:rPr>
        <w:t>Production of flavor compounds and ingredients and fragrance compounds; flavor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-148590</wp:posOffset>
            </wp:positionV>
            <wp:extent cx="635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635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20320</wp:posOffset>
            </wp:positionV>
            <wp:extent cx="635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20320</wp:posOffset>
            </wp:positionV>
            <wp:extent cx="635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laboratories.</w:t>
      </w:r>
    </w:p>
    <w:p>
      <w:pPr>
        <w:spacing w:after="0" w:line="97" w:lineRule="exact"/>
        <w:rPr>
          <w:sz w:val="20"/>
          <w:szCs w:val="20"/>
          <w:color w:val="auto"/>
        </w:rPr>
      </w:pPr>
    </w:p>
    <w:p>
      <w:pPr>
        <w:sectPr>
          <w:pgSz w:w="11900" w:h="16838" w:orient="portrait"/>
          <w:cols w:equalWidth="0" w:num="2">
            <w:col w:w="1201" w:space="720"/>
            <w:col w:w="8319"/>
          </w:cols>
          <w:pgMar w:left="219" w:top="220" w:right="1440" w:bottom="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Australia</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9"/>
          <w:szCs w:val="9"/>
          <w:color w:val="auto"/>
        </w:rPr>
        <w:t>Dandenong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350" cy="628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9"/>
          <w:szCs w:val="9"/>
          <w:color w:val="auto"/>
        </w:rPr>
        <w:t>Production of flavor compounds and flavor ingredients.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-148590</wp:posOffset>
            </wp:positionV>
            <wp:extent cx="635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635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-22860</wp:posOffset>
            </wp:positionV>
            <wp:extent cx="635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-22860</wp:posOffset>
            </wp:positionV>
            <wp:extent cx="635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1201" w:space="720"/>
            <w:col w:w="8319"/>
          </w:cols>
          <w:pgMar w:left="219" w:top="220" w:right="1440" w:bottom="0" w:gutter="0" w:footer="0" w:header="0"/>
          <w:type w:val="continuous"/>
        </w:sectPr>
      </w:pPr>
    </w:p>
    <w:p>
      <w:pPr>
        <w:spacing w:after="0" w:line="89" w:lineRule="exact"/>
        <w:rPr>
          <w:sz w:val="20"/>
          <w:szCs w:val="20"/>
          <w:color w:val="auto"/>
        </w:rPr>
      </w:pPr>
    </w:p>
    <w:p>
      <w:pPr>
        <w:ind w:left="2981"/>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265430</wp:posOffset>
            </wp:positionV>
            <wp:extent cx="480949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453390</wp:posOffset>
            </wp:positionV>
            <wp:extent cx="3754755" cy="755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754755" cy="75565"/>
                    </a:xfrm>
                    <a:prstGeom prst="rect">
                      <a:avLst/>
                    </a:prstGeom>
                    <a:noFill/>
                  </pic:spPr>
                </pic:pic>
              </a:graphicData>
            </a:graphic>
          </wp:anchor>
        </w:drawing>
      </w:r>
    </w:p>
    <w:p>
      <w:pPr>
        <w:sectPr>
          <w:pgSz w:w="11900" w:h="16838" w:orient="portrait"/>
          <w:cols w:equalWidth="0" w:num="1">
            <w:col w:w="10240"/>
          </w:cols>
          <w:pgMar w:left="219" w:top="22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18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1"/>
                <w:szCs w:val="11"/>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Operation</w:t>
            </w:r>
          </w:p>
        </w:tc>
      </w:tr>
      <w:tr>
        <w:trPr>
          <w:trHeight w:val="131"/>
        </w:trPr>
        <w:tc>
          <w:tcPr>
            <w:tcW w:w="1800" w:type="dxa"/>
            <w:vAlign w:val="bottom"/>
          </w:tcPr>
          <w:p>
            <w:pPr>
              <w:spacing w:after="0" w:line="132" w:lineRule="exact"/>
              <w:rPr>
                <w:sz w:val="20"/>
                <w:szCs w:val="20"/>
                <w:color w:val="auto"/>
              </w:rPr>
            </w:pPr>
            <w:r>
              <w:rPr>
                <w:rFonts w:ascii="Arial" w:cs="Arial" w:eastAsia="Arial" w:hAnsi="Arial"/>
                <w:sz w:val="12"/>
                <w:szCs w:val="12"/>
                <w:b w:val="1"/>
                <w:bCs w:val="1"/>
                <w:color w:val="auto"/>
              </w:rPr>
              <w:t>China</w:t>
            </w: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Guangzhou</w:t>
            </w:r>
            <w:r>
              <w:rPr>
                <w:rFonts w:ascii="Arial" w:cs="Arial" w:eastAsia="Arial" w:hAnsi="Arial"/>
                <w:sz w:val="9"/>
                <w:szCs w:val="9"/>
                <w:color w:val="auto"/>
              </w:rPr>
              <w:t>(3)</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and fragrance compounds; flavor laboratories.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Shanghai</w:t>
            </w: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Flavor and fragrance laboratories.</w:t>
            </w: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Xin’anjiang</w:t>
            </w:r>
            <w:r>
              <w:rPr>
                <w:rFonts w:ascii="Arial" w:cs="Arial" w:eastAsia="Arial" w:hAnsi="Arial"/>
                <w:sz w:val="9"/>
                <w:szCs w:val="9"/>
                <w:color w:val="auto"/>
              </w:rPr>
              <w:t>(4)</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chemical ingredients.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Zhejiang</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fragrance chemical ingredients.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Indonesia</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38"/>
        </w:trPr>
        <w:tc>
          <w:tcPr>
            <w:tcW w:w="1800" w:type="dxa"/>
            <w:vAlign w:val="bottom"/>
          </w:tcPr>
          <w:p>
            <w:pPr>
              <w:ind w:left="140"/>
              <w:spacing w:after="0"/>
              <w:rPr>
                <w:sz w:val="20"/>
                <w:szCs w:val="20"/>
                <w:color w:val="auto"/>
              </w:rPr>
            </w:pPr>
            <w:r>
              <w:rPr>
                <w:rFonts w:ascii="Arial" w:cs="Arial" w:eastAsia="Arial" w:hAnsi="Arial"/>
                <w:sz w:val="12"/>
                <w:szCs w:val="12"/>
                <w:color w:val="auto"/>
              </w:rPr>
              <w:t>Jakarta</w:t>
            </w:r>
            <w:r>
              <w:rPr>
                <w:rFonts w:ascii="Arial" w:cs="Arial" w:eastAsia="Arial" w:hAnsi="Arial"/>
                <w:sz w:val="9"/>
                <w:szCs w:val="9"/>
                <w:color w:val="auto"/>
              </w:rPr>
              <w:t>(5)</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w w:val="94"/>
              </w:rPr>
              <w:t>Production of flavor compounds and ingredients, and fragrance compounds and</w:t>
            </w:r>
          </w:p>
        </w:tc>
      </w:tr>
      <w:tr>
        <w:trPr>
          <w:trHeight w:val="150"/>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ingredients; flavor and fragrance laboratories.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Japan</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Gotemba</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compounds.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Tokyo</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Flavor and fragrance laboratories.</w:t>
            </w:r>
          </w:p>
        </w:tc>
      </w:tr>
      <w:tr>
        <w:trPr>
          <w:trHeight w:val="246"/>
        </w:trPr>
        <w:tc>
          <w:tcPr>
            <w:tcW w:w="1800" w:type="dxa"/>
            <w:vAlign w:val="bottom"/>
          </w:tcPr>
          <w:p>
            <w:pPr>
              <w:spacing w:after="0"/>
              <w:rPr>
                <w:sz w:val="20"/>
                <w:szCs w:val="20"/>
                <w:color w:val="auto"/>
              </w:rPr>
            </w:pPr>
            <w:r>
              <w:rPr>
                <w:rFonts w:ascii="Arial" w:cs="Arial" w:eastAsia="Arial" w:hAnsi="Arial"/>
                <w:sz w:val="12"/>
                <w:szCs w:val="12"/>
                <w:b w:val="1"/>
                <w:bCs w:val="1"/>
                <w:color w:val="auto"/>
              </w:rPr>
              <w:t>Singapore</w:t>
            </w:r>
          </w:p>
        </w:tc>
        <w:tc>
          <w:tcPr>
            <w:tcW w:w="12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148"/>
        </w:trPr>
        <w:tc>
          <w:tcPr>
            <w:tcW w:w="1800" w:type="dxa"/>
            <w:vAlign w:val="bottom"/>
          </w:tcPr>
          <w:p>
            <w:pPr>
              <w:ind w:left="140"/>
              <w:spacing w:after="0"/>
              <w:rPr>
                <w:sz w:val="20"/>
                <w:szCs w:val="20"/>
                <w:color w:val="auto"/>
              </w:rPr>
            </w:pPr>
            <w:r>
              <w:rPr>
                <w:rFonts w:ascii="Arial" w:cs="Arial" w:eastAsia="Arial" w:hAnsi="Arial"/>
                <w:sz w:val="12"/>
                <w:szCs w:val="12"/>
                <w:color w:val="auto"/>
              </w:rPr>
              <w:t>Jurong</w:t>
            </w:r>
          </w:p>
        </w:tc>
        <w:tc>
          <w:tcPr>
            <w:tcW w:w="1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Production of flavor and fragrance compounds.</w:t>
            </w:r>
          </w:p>
        </w:tc>
      </w:tr>
      <w:tr>
        <w:trPr>
          <w:trHeight w:val="150"/>
        </w:trPr>
        <w:tc>
          <w:tcPr>
            <w:tcW w:w="1800" w:type="dxa"/>
            <w:vAlign w:val="bottom"/>
          </w:tcPr>
          <w:p>
            <w:pPr>
              <w:ind w:left="140"/>
              <w:spacing w:after="0"/>
              <w:rPr>
                <w:sz w:val="20"/>
                <w:szCs w:val="20"/>
                <w:color w:val="auto"/>
              </w:rPr>
            </w:pPr>
            <w:r>
              <w:rPr>
                <w:rFonts w:ascii="Arial" w:cs="Arial" w:eastAsia="Arial" w:hAnsi="Arial"/>
                <w:sz w:val="12"/>
                <w:szCs w:val="12"/>
                <w:color w:val="auto"/>
              </w:rPr>
              <w:t>Science Park</w:t>
            </w:r>
            <w:r>
              <w:rPr>
                <w:rFonts w:ascii="Arial" w:cs="Arial" w:eastAsia="Arial" w:hAnsi="Arial"/>
                <w:sz w:val="9"/>
                <w:szCs w:val="9"/>
                <w:color w:val="auto"/>
              </w:rPr>
              <w:t>(1)</w:t>
            </w:r>
          </w:p>
        </w:tc>
        <w:tc>
          <w:tcPr>
            <w:tcW w:w="1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Flavor and fragrance laboratories.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-1546860</wp:posOffset>
            </wp:positionV>
            <wp:extent cx="635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-1546860</wp:posOffset>
            </wp:positionV>
            <wp:extent cx="63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-1458595</wp:posOffset>
            </wp:positionV>
            <wp:extent cx="635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-1458595</wp:posOffset>
            </wp:positionV>
            <wp:extent cx="635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-1364615</wp:posOffset>
            </wp:positionV>
            <wp:extent cx="635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-1364615</wp:posOffset>
            </wp:positionV>
            <wp:extent cx="635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-1270635</wp:posOffset>
            </wp:positionV>
            <wp:extent cx="635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-1270635</wp:posOffset>
            </wp:positionV>
            <wp:extent cx="635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-1176020</wp:posOffset>
            </wp:positionV>
            <wp:extent cx="635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-1176020</wp:posOffset>
            </wp:positionV>
            <wp:extent cx="635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-1082040</wp:posOffset>
            </wp:positionV>
            <wp:extent cx="635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-1082040</wp:posOffset>
            </wp:positionV>
            <wp:extent cx="635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-956310</wp:posOffset>
            </wp:positionV>
            <wp:extent cx="635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-956310</wp:posOffset>
            </wp:positionV>
            <wp:extent cx="635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-786765</wp:posOffset>
            </wp:positionV>
            <wp:extent cx="635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-786765</wp:posOffset>
            </wp:positionV>
            <wp:extent cx="635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-617220</wp:posOffset>
            </wp:positionV>
            <wp:extent cx="635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-617220</wp:posOffset>
            </wp:positionV>
            <wp:extent cx="635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-492125</wp:posOffset>
            </wp:positionV>
            <wp:extent cx="635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-492125</wp:posOffset>
            </wp:positionV>
            <wp:extent cx="63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-397510</wp:posOffset>
            </wp:positionV>
            <wp:extent cx="63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-397510</wp:posOffset>
            </wp:positionV>
            <wp:extent cx="63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-272415</wp:posOffset>
            </wp:positionV>
            <wp:extent cx="63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-272415</wp:posOffset>
            </wp:positionV>
            <wp:extent cx="635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-146685</wp:posOffset>
            </wp:positionV>
            <wp:extent cx="635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-146685</wp:posOffset>
            </wp:positionV>
            <wp:extent cx="635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-52070</wp:posOffset>
            </wp:positionV>
            <wp:extent cx="635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-52070</wp:posOffset>
            </wp:positionV>
            <wp:extent cx="635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3924300" cy="1822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24300" cy="182245"/>
                    </a:xfrm>
                    <a:prstGeom prst="rect">
                      <a:avLst/>
                    </a:prstGeom>
                    <a:noFill/>
                  </pic:spPr>
                </pic:pic>
              </a:graphicData>
            </a:graphic>
          </wp:anchor>
        </w:drawing>
      </w:r>
    </w:p>
    <w:p>
      <w:pPr>
        <w:spacing w:after="0" w:line="264" w:lineRule="exact"/>
        <w:rPr>
          <w:sz w:val="20"/>
          <w:szCs w:val="20"/>
          <w:color w:val="auto"/>
        </w:rPr>
      </w:pPr>
    </w:p>
    <w:p>
      <w:pPr>
        <w:ind w:left="221" w:hanging="221"/>
        <w:spacing w:after="0"/>
        <w:tabs>
          <w:tab w:leader="none" w:pos="221" w:val="left"/>
        </w:tabs>
        <w:numPr>
          <w:ilvl w:val="0"/>
          <w:numId w:val="2"/>
        </w:numPr>
        <w:rPr>
          <w:rFonts w:ascii="Arial" w:cs="Arial" w:eastAsia="Arial" w:hAnsi="Arial"/>
          <w:sz w:val="13"/>
          <w:szCs w:val="13"/>
          <w:color w:val="auto"/>
        </w:rPr>
      </w:pPr>
      <w:r>
        <w:rPr>
          <w:rFonts w:ascii="Arial" w:cs="Arial" w:eastAsia="Arial" w:hAnsi="Arial"/>
          <w:sz w:val="13"/>
          <w:szCs w:val="13"/>
          <w:color w:val="auto"/>
        </w:rPr>
        <w:t>Leased.</w:t>
      </w:r>
    </w:p>
    <w:p>
      <w:pPr>
        <w:spacing w:after="0" w:line="58" w:lineRule="exact"/>
        <w:rPr>
          <w:rFonts w:ascii="Arial" w:cs="Arial" w:eastAsia="Arial" w:hAnsi="Arial"/>
          <w:sz w:val="13"/>
          <w:szCs w:val="13"/>
          <w:color w:val="auto"/>
        </w:rPr>
      </w:pPr>
    </w:p>
    <w:p>
      <w:pPr>
        <w:ind w:left="221" w:hanging="221"/>
        <w:spacing w:after="0"/>
        <w:tabs>
          <w:tab w:leader="none" w:pos="221"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has a 93.3% interest in the subsidiary company that owns this facility.</w:t>
      </w:r>
    </w:p>
    <w:p>
      <w:pPr>
        <w:spacing w:after="0" w:line="58" w:lineRule="exact"/>
        <w:rPr>
          <w:rFonts w:ascii="Arial" w:cs="Arial" w:eastAsia="Arial" w:hAnsi="Arial"/>
          <w:sz w:val="13"/>
          <w:szCs w:val="13"/>
          <w:color w:val="auto"/>
        </w:rPr>
      </w:pPr>
    </w:p>
    <w:p>
      <w:pPr>
        <w:ind w:left="221" w:hanging="221"/>
        <w:spacing w:after="0"/>
        <w:tabs>
          <w:tab w:leader="none" w:pos="221" w:val="left"/>
        </w:tabs>
        <w:numPr>
          <w:ilvl w:val="0"/>
          <w:numId w:val="2"/>
        </w:numPr>
        <w:rPr>
          <w:rFonts w:ascii="Arial" w:cs="Arial" w:eastAsia="Arial" w:hAnsi="Arial"/>
          <w:sz w:val="13"/>
          <w:szCs w:val="13"/>
          <w:color w:val="auto"/>
        </w:rPr>
      </w:pPr>
      <w:r>
        <w:rPr>
          <w:rFonts w:ascii="Arial" w:cs="Arial" w:eastAsia="Arial" w:hAnsi="Arial"/>
          <w:sz w:val="13"/>
          <w:szCs w:val="13"/>
          <w:color w:val="auto"/>
        </w:rPr>
        <w:t>Land is leased and building and machinery and equipment are owned.</w:t>
      </w:r>
    </w:p>
    <w:p>
      <w:pPr>
        <w:spacing w:after="0" w:line="58" w:lineRule="exact"/>
        <w:rPr>
          <w:rFonts w:ascii="Arial" w:cs="Arial" w:eastAsia="Arial" w:hAnsi="Arial"/>
          <w:sz w:val="13"/>
          <w:szCs w:val="13"/>
          <w:color w:val="auto"/>
        </w:rPr>
      </w:pPr>
    </w:p>
    <w:p>
      <w:pPr>
        <w:ind w:left="221" w:hanging="221"/>
        <w:spacing w:after="0"/>
        <w:tabs>
          <w:tab w:leader="none" w:pos="221"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Company has a 90% interest in the subsidiary that leases the land and owns the buildings and machinery.</w:t>
      </w:r>
    </w:p>
    <w:p>
      <w:pPr>
        <w:spacing w:after="0" w:line="81" w:lineRule="exact"/>
        <w:rPr>
          <w:rFonts w:ascii="Arial" w:cs="Arial" w:eastAsia="Arial" w:hAnsi="Arial"/>
          <w:sz w:val="11"/>
          <w:szCs w:val="11"/>
          <w:color w:val="auto"/>
        </w:rPr>
      </w:pPr>
    </w:p>
    <w:p>
      <w:pPr>
        <w:ind w:left="221" w:hanging="221"/>
        <w:spacing w:after="0"/>
        <w:tabs>
          <w:tab w:leader="none" w:pos="221" w:val="left"/>
        </w:tabs>
        <w:numPr>
          <w:ilvl w:val="0"/>
          <w:numId w:val="2"/>
        </w:numPr>
        <w:rPr>
          <w:rFonts w:ascii="Arial" w:cs="Arial" w:eastAsia="Arial" w:hAnsi="Arial"/>
          <w:sz w:val="13"/>
          <w:szCs w:val="13"/>
          <w:color w:val="auto"/>
        </w:rPr>
      </w:pPr>
      <w:r>
        <w:rPr>
          <w:rFonts w:ascii="Arial" w:cs="Arial" w:eastAsia="Arial" w:hAnsi="Arial"/>
          <w:sz w:val="13"/>
          <w:szCs w:val="13"/>
          <w:color w:val="auto"/>
        </w:rPr>
        <w:t>Land is leased and building is partially leased and partially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392430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924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-358775</wp:posOffset>
            </wp:positionV>
            <wp:extent cx="392430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24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-226695</wp:posOffset>
            </wp:positionV>
            <wp:extent cx="392430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24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39243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pacing w:after="0" w:line="107" w:lineRule="exact"/>
        <w:rPr>
          <w:sz w:val="20"/>
          <w:szCs w:val="20"/>
          <w:color w:val="auto"/>
        </w:rPr>
      </w:pPr>
    </w:p>
    <w:p>
      <w:pPr>
        <w:ind w:left="1" w:right="4479" w:firstLine="263"/>
        <w:spacing w:after="0" w:line="279" w:lineRule="auto"/>
        <w:rPr>
          <w:sz w:val="20"/>
          <w:szCs w:val="20"/>
          <w:color w:val="auto"/>
        </w:rPr>
      </w:pPr>
      <w:r>
        <w:rPr>
          <w:rFonts w:ascii="Arial" w:cs="Arial" w:eastAsia="Arial" w:hAnsi="Arial"/>
          <w:sz w:val="13"/>
          <w:szCs w:val="13"/>
          <w:color w:val="auto"/>
        </w:rPr>
        <w:t>The principal executive offices of the Company and its New York laboratory facilities are located at 521 West 57th Street,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3"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13"/>
          <w:szCs w:val="13"/>
          <w:b w:val="1"/>
          <w:bCs w:val="1"/>
          <w:color w:val="auto"/>
        </w:rPr>
        <w:t>ITEM 3.</w:t>
        <w:tab/>
        <w:t>LEGAL PROCEEDINGS.</w:t>
      </w:r>
    </w:p>
    <w:p>
      <w:pPr>
        <w:spacing w:after="0" w:line="171" w:lineRule="exact"/>
        <w:rPr>
          <w:sz w:val="20"/>
          <w:szCs w:val="20"/>
          <w:color w:val="auto"/>
        </w:rPr>
      </w:pPr>
    </w:p>
    <w:p>
      <w:pPr>
        <w:ind w:left="1" w:right="4219" w:firstLine="263"/>
        <w:spacing w:after="0" w:line="259" w:lineRule="auto"/>
        <w:rPr>
          <w:sz w:val="20"/>
          <w:szCs w:val="20"/>
          <w:color w:val="auto"/>
        </w:rPr>
      </w:pPr>
      <w:r>
        <w:rPr>
          <w:rFonts w:ascii="Arial" w:cs="Arial" w:eastAsia="Arial" w:hAnsi="Arial"/>
          <w:sz w:val="13"/>
          <w:szCs w:val="13"/>
          <w:color w:val="auto"/>
        </w:rPr>
        <w:t>The Company is subject to various claims and legal actions in the ordinary course of its business. In September 2001, the Company was named as a defendant in a purported class action brought against it in the Circuit Court of Jasper County, Missouri, on behalf of employees of a plant owned and operated by Gilster-Mary Lee Corp. in Jasper, Missouri (‘‘</w:t>
      </w:r>
      <w:r>
        <w:rPr>
          <w:rFonts w:ascii="Arial" w:cs="Arial" w:eastAsia="Arial" w:hAnsi="Arial"/>
          <w:sz w:val="13"/>
          <w:szCs w:val="13"/>
          <w:u w:val="single" w:color="auto"/>
          <w:color w:val="auto"/>
        </w:rPr>
        <w:t>Benavides</w:t>
      </w:r>
      <w:r>
        <w:rPr>
          <w:rFonts w:ascii="Arial" w:cs="Arial" w:eastAsia="Arial" w:hAnsi="Arial"/>
          <w:sz w:val="13"/>
          <w:szCs w:val="13"/>
          <w:color w:val="auto"/>
        </w:rPr>
        <w:t xml:space="preserve"> case’’). The plaintiffs alleged that they sustained respiratory injuries in the workplace due to the use by Gilster-Mary Lee of a BBA and/or IFF flavor. For purposes of reporting these actions, BBA and/or IFF are referred to as the (‘‘Company’’).</w:t>
      </w:r>
    </w:p>
    <w:p>
      <w:pPr>
        <w:spacing w:after="0" w:line="60" w:lineRule="exact"/>
        <w:rPr>
          <w:sz w:val="20"/>
          <w:szCs w:val="20"/>
          <w:color w:val="auto"/>
        </w:rPr>
      </w:pPr>
    </w:p>
    <w:p>
      <w:pPr>
        <w:ind w:left="1" w:right="4259" w:firstLine="263"/>
        <w:spacing w:after="0" w:line="291" w:lineRule="auto"/>
        <w:rPr>
          <w:sz w:val="20"/>
          <w:szCs w:val="20"/>
          <w:color w:val="auto"/>
        </w:rPr>
      </w:pPr>
      <w:r>
        <w:rPr>
          <w:rFonts w:ascii="Arial" w:cs="Arial" w:eastAsia="Arial" w:hAnsi="Arial"/>
          <w:sz w:val="12"/>
          <w:szCs w:val="12"/>
          <w:color w:val="auto"/>
        </w:rPr>
        <w:t xml:space="preserve">In January 2004, the Court ruled that class action status was not warranted. As a result of this decision, each of the 47 plaintiff cases was to be tried separately. Subsequently, 8 cases were tried to a verdict, 4 verdicts resulted for the plaintiffs and 4 verdicts resulted for the Company, all of which were appealed by the losing party. Subsequently all plaintiff cases related to the </w:t>
      </w:r>
      <w:r>
        <w:rPr>
          <w:rFonts w:ascii="Arial" w:cs="Arial" w:eastAsia="Arial" w:hAnsi="Arial"/>
          <w:sz w:val="12"/>
          <w:szCs w:val="12"/>
          <w:u w:val="single" w:color="auto"/>
          <w:color w:val="auto"/>
        </w:rPr>
        <w:t>Benavides</w:t>
      </w:r>
      <w:r>
        <w:rPr>
          <w:rFonts w:ascii="Arial" w:cs="Arial" w:eastAsia="Arial" w:hAnsi="Arial"/>
          <w:sz w:val="12"/>
          <w:szCs w:val="12"/>
          <w:color w:val="auto"/>
        </w:rPr>
        <w:t xml:space="preserve"> case have been settled.</w:t>
      </w:r>
    </w:p>
    <w:p>
      <w:pPr>
        <w:spacing w:after="0" w:line="43" w:lineRule="exact"/>
        <w:rPr>
          <w:sz w:val="20"/>
          <w:szCs w:val="20"/>
          <w:color w:val="auto"/>
        </w:rPr>
      </w:pPr>
    </w:p>
    <w:p>
      <w:pPr>
        <w:ind w:left="1" w:right="4239" w:firstLine="263"/>
        <w:spacing w:after="0" w:line="281" w:lineRule="auto"/>
        <w:rPr>
          <w:sz w:val="20"/>
          <w:szCs w:val="20"/>
          <w:color w:val="auto"/>
        </w:rPr>
      </w:pPr>
      <w:r>
        <w:rPr>
          <w:rFonts w:ascii="Arial" w:cs="Arial" w:eastAsia="Arial" w:hAnsi="Arial"/>
          <w:sz w:val="12"/>
          <w:szCs w:val="12"/>
          <w:color w:val="auto"/>
        </w:rPr>
        <w:t>Eighteen other actions based on similar claims of alleged respiratory illness due to workplace exposure to flavor ingredients are currently pending against the Company and other flavor suppliers and related companies. Trial has been scheduled in the action brought against the Company and another flavor supplier by 29 former and current workers at a Marion, Ohio factory. This case was filed in March 2003 and is pending in the Court of Common Pleas of Hamilton County, Ohio. The Plaintiffs in this case have been divided into trial groups, although no trials have occurred to date. The other flavor company has settled with all plaintiffs and the Company has settled with 17 plaintiffs by confidential agreement. Two other plaintiffs have been dismissed. The first trial is currently scheduled for February 2007 (‘‘</w:t>
      </w:r>
      <w:r>
        <w:rPr>
          <w:rFonts w:ascii="Arial" w:cs="Arial" w:eastAsia="Arial" w:hAnsi="Arial"/>
          <w:sz w:val="12"/>
          <w:szCs w:val="12"/>
          <w:u w:val="single" w:color="auto"/>
          <w:color w:val="auto"/>
        </w:rPr>
        <w:t>Arthur</w:t>
      </w:r>
      <w:r>
        <w:rPr>
          <w:rFonts w:ascii="Arial" w:cs="Arial" w:eastAsia="Arial" w:hAnsi="Arial"/>
          <w:sz w:val="12"/>
          <w:szCs w:val="12"/>
          <w:color w:val="auto"/>
        </w:rPr>
        <w:t xml:space="preserve"> case’’). In May 2004, the Company and another flavor supplier were named defendants, and subsequently a number of third party defendants were added, in a</w:t>
      </w:r>
    </w:p>
    <w:p>
      <w:pPr>
        <w:spacing w:after="0" w:line="177"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480949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 w:right="4239"/>
        <w:spacing w:after="0" w:line="276" w:lineRule="auto"/>
        <w:rPr>
          <w:sz w:val="20"/>
          <w:szCs w:val="20"/>
          <w:color w:val="auto"/>
        </w:rPr>
      </w:pPr>
      <w:r>
        <w:rPr>
          <w:rFonts w:ascii="Arial" w:cs="Arial" w:eastAsia="Arial" w:hAnsi="Arial"/>
          <w:sz w:val="12"/>
          <w:szCs w:val="12"/>
          <w:color w:val="auto"/>
        </w:rPr>
        <w:t>lawsuit by 4 former workers at a Ridgeway, Illinois factory in an action brought in the Circuit Court for the Second Judicial Circuit, Gallatin County, Illinois (</w:t>
      </w:r>
      <w:r>
        <w:rPr>
          <w:rFonts w:ascii="Arial" w:cs="Arial" w:eastAsia="Arial" w:hAnsi="Arial"/>
          <w:sz w:val="12"/>
          <w:szCs w:val="12"/>
          <w:u w:val="single" w:color="auto"/>
          <w:color w:val="auto"/>
        </w:rPr>
        <w:t>Barker</w:t>
      </w:r>
      <w:r>
        <w:rPr>
          <w:rFonts w:ascii="Arial" w:cs="Arial" w:eastAsia="Arial" w:hAnsi="Arial"/>
          <w:sz w:val="12"/>
          <w:szCs w:val="12"/>
          <w:color w:val="auto"/>
        </w:rPr>
        <w:t xml:space="preserve"> case) and another concerning 8 other workers at this same plant was filed in July 2004 and is pending in this same Court against the Company and another flavor supplier (</w:t>
      </w:r>
      <w:r>
        <w:rPr>
          <w:rFonts w:ascii="Arial" w:cs="Arial" w:eastAsia="Arial" w:hAnsi="Arial"/>
          <w:sz w:val="12"/>
          <w:szCs w:val="12"/>
          <w:u w:val="single" w:color="auto"/>
          <w:color w:val="auto"/>
        </w:rPr>
        <w:t>Batteese</w:t>
      </w:r>
      <w:r>
        <w:rPr>
          <w:rFonts w:ascii="Arial" w:cs="Arial" w:eastAsia="Arial" w:hAnsi="Arial"/>
          <w:sz w:val="12"/>
          <w:szCs w:val="12"/>
          <w:color w:val="auto"/>
        </w:rPr>
        <w:t xml:space="preserve"> case). In an action filed in June 2004, the Company, three other flavor suppliers, a flavor trade association and a consulting agency are defendants in a lawsuit by 1 worker at a Sioux City, Iowa facility which is pending in U.S. District Court for the Northern District of Iowa. Plaintiff voluntarily dismissed his claim against Bush Boake Allen, Inc. This case was settled by confidential agreement in October 2006 (</w:t>
      </w:r>
      <w:r>
        <w:rPr>
          <w:rFonts w:ascii="Arial" w:cs="Arial" w:eastAsia="Arial" w:hAnsi="Arial"/>
          <w:sz w:val="12"/>
          <w:szCs w:val="12"/>
          <w:u w:val="single" w:color="auto"/>
          <w:color w:val="auto"/>
        </w:rPr>
        <w:t>Remmes</w:t>
      </w:r>
      <w:r>
        <w:rPr>
          <w:rFonts w:ascii="Arial" w:cs="Arial" w:eastAsia="Arial" w:hAnsi="Arial"/>
          <w:sz w:val="12"/>
          <w:szCs w:val="12"/>
          <w:color w:val="auto"/>
        </w:rPr>
        <w:t xml:space="preserve"> case). Another case concerning 1 other worker at this same plant was filed in January 2006 and is pending in this same court against the same parties. The trial ready date is November 2007 (</w:t>
      </w:r>
      <w:r>
        <w:rPr>
          <w:rFonts w:ascii="Arial" w:cs="Arial" w:eastAsia="Arial" w:hAnsi="Arial"/>
          <w:sz w:val="12"/>
          <w:szCs w:val="12"/>
          <w:u w:val="single" w:color="auto"/>
          <w:color w:val="auto"/>
        </w:rPr>
        <w:t>Kuiper</w:t>
      </w:r>
      <w:r>
        <w:rPr>
          <w:rFonts w:ascii="Arial" w:cs="Arial" w:eastAsia="Arial" w:hAnsi="Arial"/>
          <w:sz w:val="12"/>
          <w:szCs w:val="12"/>
          <w:color w:val="auto"/>
        </w:rPr>
        <w:t xml:space="preserve"> case). In June 2004, the Company and 3 other flavor suppliers were named defendants in a lawsuit by 1 plaintiff brought in the Court of Common Pleas, Hamilton County, Ohio. Trial is set for November 2007 (</w:t>
      </w:r>
      <w:r>
        <w:rPr>
          <w:rFonts w:ascii="Arial" w:cs="Arial" w:eastAsia="Arial" w:hAnsi="Arial"/>
          <w:sz w:val="12"/>
          <w:szCs w:val="12"/>
          <w:u w:val="single" w:color="auto"/>
          <w:color w:val="auto"/>
        </w:rPr>
        <w:t>Mitchell</w:t>
      </w:r>
      <w:r>
        <w:rPr>
          <w:rFonts w:ascii="Arial" w:cs="Arial" w:eastAsia="Arial" w:hAnsi="Arial"/>
          <w:sz w:val="12"/>
          <w:szCs w:val="12"/>
          <w:color w:val="auto"/>
        </w:rPr>
        <w:t xml:space="preserve"> case). In June 2004, the Company and 2 other flavor suppliers were named defendants in a lawsuit by 1 former worker at a Northlake, Illinois facility in an action brought in the Circuit Court of Cook County, Illinois. Trial is set for September 2007 (</w:t>
      </w:r>
      <w:r>
        <w:rPr>
          <w:rFonts w:ascii="Arial" w:cs="Arial" w:eastAsia="Arial" w:hAnsi="Arial"/>
          <w:sz w:val="12"/>
          <w:szCs w:val="12"/>
          <w:u w:val="single" w:color="auto"/>
          <w:color w:val="auto"/>
        </w:rPr>
        <w:t>Lopez</w:t>
      </w:r>
      <w:r>
        <w:rPr>
          <w:rFonts w:ascii="Arial" w:cs="Arial" w:eastAsia="Arial" w:hAnsi="Arial"/>
          <w:sz w:val="12"/>
          <w:szCs w:val="12"/>
          <w:color w:val="auto"/>
        </w:rPr>
        <w:t xml:space="preserve"> case). In August 2004, the Company and another flavor supplier were named defendants in a lawsuit by 15 former workers at a Marion, Ohio factory in an action brought in the Court of Common Pleas, Marion County, Ohio. The other flavor supplier settled with all plaintiffs and the Company has settled with 12 plaintiffs by confidential agreement. The remaining plaintiffs have been divided into trial groups and the first trial is currently scheduled to be held in May 2007 (</w:t>
      </w:r>
      <w:r>
        <w:rPr>
          <w:rFonts w:ascii="Arial" w:cs="Arial" w:eastAsia="Arial" w:hAnsi="Arial"/>
          <w:sz w:val="12"/>
          <w:szCs w:val="12"/>
          <w:u w:val="single" w:color="auto"/>
          <w:color w:val="auto"/>
        </w:rPr>
        <w:t>Williams</w:t>
      </w:r>
      <w:r>
        <w:rPr>
          <w:rFonts w:ascii="Arial" w:cs="Arial" w:eastAsia="Arial" w:hAnsi="Arial"/>
          <w:sz w:val="12"/>
          <w:szCs w:val="12"/>
          <w:color w:val="auto"/>
        </w:rPr>
        <w:t xml:space="preserve"> case). In March 2005, the Company and 10 other companies were named defendants in a lawsuit by 1 former employee of Bell Flavors and Fragrances, Inc. in an action brought in the Circuit Court of Cook County, Illinois. On June 29, 2006, plaintiffs voluntarily dismissed their claims against one of the defendants, EMCO Chemical Distributors. There is no trial date pending (</w:t>
      </w:r>
      <w:r>
        <w:rPr>
          <w:rFonts w:ascii="Arial" w:cs="Arial" w:eastAsia="Arial" w:hAnsi="Arial"/>
          <w:sz w:val="12"/>
          <w:szCs w:val="12"/>
          <w:u w:val="single" w:color="auto"/>
          <w:color w:val="auto"/>
        </w:rPr>
        <w:t>Robinson</w:t>
      </w:r>
      <w:r>
        <w:rPr>
          <w:rFonts w:ascii="Arial" w:cs="Arial" w:eastAsia="Arial" w:hAnsi="Arial"/>
          <w:sz w:val="12"/>
          <w:szCs w:val="12"/>
          <w:color w:val="auto"/>
        </w:rPr>
        <w:t xml:space="preserve"> case). In July 2005, the Company and 9 other flavor and chemical suppliers were named defendants in a lawsuit by 1 former worker of Brach’s Confections, Inc. in an action brought in the Circuit Court of Cook County, Illinois. There is no trial date pending (</w:t>
      </w:r>
      <w:r>
        <w:rPr>
          <w:rFonts w:ascii="Arial" w:cs="Arial" w:eastAsia="Arial" w:hAnsi="Arial"/>
          <w:sz w:val="12"/>
          <w:szCs w:val="12"/>
          <w:u w:val="single" w:color="auto"/>
          <w:color w:val="auto"/>
        </w:rPr>
        <w:t>Campbell</w:t>
      </w:r>
      <w:r>
        <w:rPr>
          <w:rFonts w:ascii="Arial" w:cs="Arial" w:eastAsia="Arial" w:hAnsi="Arial"/>
          <w:sz w:val="12"/>
          <w:szCs w:val="12"/>
          <w:color w:val="auto"/>
        </w:rPr>
        <w:t xml:space="preserve"> case). In August 2005, the Company and 8 other companies, including a flavor trade association and consulting agency, were named defendants in a lawsuit by 3 former employees of the Gilster-Mary Lee facility in McBride, Missouri in the Missouri Circuit Court, 32nd Judicial Circuit (</w:t>
      </w:r>
      <w:r>
        <w:rPr>
          <w:rFonts w:ascii="Arial" w:cs="Arial" w:eastAsia="Arial" w:hAnsi="Arial"/>
          <w:sz w:val="12"/>
          <w:szCs w:val="12"/>
          <w:u w:val="single" w:color="auto"/>
          <w:color w:val="auto"/>
        </w:rPr>
        <w:t>Fults</w:t>
      </w:r>
      <w:r>
        <w:rPr>
          <w:rFonts w:ascii="Arial" w:cs="Arial" w:eastAsia="Arial" w:hAnsi="Arial"/>
          <w:sz w:val="12"/>
          <w:szCs w:val="12"/>
          <w:color w:val="auto"/>
        </w:rPr>
        <w:t xml:space="preserve"> case). In September 2005, the Company and 10 other companies were named defendants in a lawsuit by 2 former</w:t>
      </w:r>
    </w:p>
    <w:p>
      <w:pPr>
        <w:sectPr>
          <w:pgSz w:w="11900" w:h="16838" w:orient="portrait"/>
          <w:cols w:equalWidth="0" w:num="1">
            <w:col w:w="10240"/>
          </w:cols>
          <w:pgMar w:left="219" w:top="220" w:right="1440" w:bottom="0" w:gutter="0" w:footer="0" w:header="0"/>
          <w:type w:val="continuous"/>
        </w:sectPr>
      </w:pPr>
    </w:p>
    <w:bookmarkStart w:id="6" w:name="page7"/>
    <w:bookmarkEnd w:id="6"/>
    <w:p>
      <w:pPr>
        <w:spacing w:after="0" w:line="16" w:lineRule="exact"/>
        <w:rPr>
          <w:sz w:val="20"/>
          <w:szCs w:val="20"/>
          <w:color w:val="auto"/>
        </w:rPr>
      </w:pPr>
    </w:p>
    <w:p>
      <w:pPr>
        <w:ind w:right="4239"/>
        <w:spacing w:after="0" w:line="278" w:lineRule="auto"/>
        <w:rPr>
          <w:sz w:val="20"/>
          <w:szCs w:val="20"/>
          <w:color w:val="auto"/>
        </w:rPr>
      </w:pPr>
      <w:r>
        <w:rPr>
          <w:rFonts w:ascii="Arial" w:cs="Arial" w:eastAsia="Arial" w:hAnsi="Arial"/>
          <w:sz w:val="12"/>
          <w:szCs w:val="12"/>
          <w:color w:val="auto"/>
        </w:rPr>
        <w:t>employees of the Gilster-Mary Lee facility in McBride, Missouri in the Circuit Court of St. Louis County. Trial is set for September 2007 (</w:t>
      </w:r>
      <w:r>
        <w:rPr>
          <w:rFonts w:ascii="Arial" w:cs="Arial" w:eastAsia="Arial" w:hAnsi="Arial"/>
          <w:sz w:val="12"/>
          <w:szCs w:val="12"/>
          <w:u w:val="single" w:color="auto"/>
          <w:color w:val="auto"/>
        </w:rPr>
        <w:t>Bowling</w:t>
      </w:r>
      <w:r>
        <w:rPr>
          <w:rFonts w:ascii="Arial" w:cs="Arial" w:eastAsia="Arial" w:hAnsi="Arial"/>
          <w:sz w:val="12"/>
          <w:szCs w:val="12"/>
          <w:color w:val="auto"/>
        </w:rPr>
        <w:t xml:space="preserve"> case). In November 2005, the Company, a flavor trade association, and a consulting agency were named defendants in a lawsuit by 1 former employee of the Snappy Popcorn Company in Breda, Iowa brought in U.S. District Court for the Northern District of Iowa, Western Division. The trial ready date is July 2007 (</w:t>
      </w:r>
      <w:r>
        <w:rPr>
          <w:rFonts w:ascii="Arial" w:cs="Arial" w:eastAsia="Arial" w:hAnsi="Arial"/>
          <w:sz w:val="12"/>
          <w:szCs w:val="12"/>
          <w:u w:val="single" w:color="auto"/>
          <w:color w:val="auto"/>
        </w:rPr>
        <w:t>Weimer</w:t>
      </w:r>
      <w:r>
        <w:rPr>
          <w:rFonts w:ascii="Arial" w:cs="Arial" w:eastAsia="Arial" w:hAnsi="Arial"/>
          <w:sz w:val="12"/>
          <w:szCs w:val="12"/>
          <w:color w:val="auto"/>
        </w:rPr>
        <w:t xml:space="preserve"> case). In August 2006, the Company and 3 other flavor and chemical suppliers were named defendants in a lawsuit by 39 current and former employees and/or a neighbor of the Gilster-Mary Lee facility in Jasper, Missouri in the Missouri Circuit Court of Jasper County (</w:t>
      </w:r>
      <w:r>
        <w:rPr>
          <w:rFonts w:ascii="Arial" w:cs="Arial" w:eastAsia="Arial" w:hAnsi="Arial"/>
          <w:sz w:val="12"/>
          <w:szCs w:val="12"/>
          <w:u w:val="single" w:color="auto"/>
          <w:color w:val="auto"/>
        </w:rPr>
        <w:t>Arles</w:t>
      </w:r>
      <w:r>
        <w:rPr>
          <w:rFonts w:ascii="Arial" w:cs="Arial" w:eastAsia="Arial" w:hAnsi="Arial"/>
          <w:sz w:val="12"/>
          <w:szCs w:val="12"/>
          <w:color w:val="auto"/>
        </w:rPr>
        <w:t xml:space="preserve"> case) and 5 other current and former employees in the same Court (</w:t>
      </w:r>
      <w:r>
        <w:rPr>
          <w:rFonts w:ascii="Arial" w:cs="Arial" w:eastAsia="Arial" w:hAnsi="Arial"/>
          <w:sz w:val="12"/>
          <w:szCs w:val="12"/>
          <w:u w:val="single" w:color="auto"/>
          <w:color w:val="auto"/>
        </w:rPr>
        <w:t>Bowan</w:t>
      </w:r>
      <w:r>
        <w:rPr>
          <w:rFonts w:ascii="Arial" w:cs="Arial" w:eastAsia="Arial" w:hAnsi="Arial"/>
          <w:sz w:val="12"/>
          <w:szCs w:val="12"/>
          <w:color w:val="auto"/>
        </w:rPr>
        <w:t xml:space="preserve"> case). In November 2006, the Company and 18 other flavor and chemical suppliers were named defendants in a lawsuit by 1 plaintiff allegedly injured by exposure to butter flavor and other substances at various facilities in which he worked (</w:t>
      </w:r>
      <w:r>
        <w:rPr>
          <w:rFonts w:ascii="Arial" w:cs="Arial" w:eastAsia="Arial" w:hAnsi="Arial"/>
          <w:sz w:val="12"/>
          <w:szCs w:val="12"/>
          <w:u w:val="single" w:color="auto"/>
          <w:color w:val="auto"/>
        </w:rPr>
        <w:t>Solis</w:t>
      </w:r>
      <w:r>
        <w:rPr>
          <w:rFonts w:ascii="Arial" w:cs="Arial" w:eastAsia="Arial" w:hAnsi="Arial"/>
          <w:sz w:val="12"/>
          <w:szCs w:val="12"/>
          <w:color w:val="auto"/>
        </w:rPr>
        <w:t xml:space="preserve"> case). In January 2007, the Company and 2 other flavor suppliers were named defendants in a lawsuit filed in Hamilton County, Ohio Court of Common Pleas by 4 former employees of a popcorn packaging plant in Iowa City, Iowa (</w:t>
      </w:r>
      <w:r>
        <w:rPr>
          <w:rFonts w:ascii="Arial" w:cs="Arial" w:eastAsia="Arial" w:hAnsi="Arial"/>
          <w:sz w:val="12"/>
          <w:szCs w:val="12"/>
          <w:u w:val="single" w:color="auto"/>
          <w:color w:val="auto"/>
        </w:rPr>
        <w:t>Blood</w:t>
      </w:r>
      <w:r>
        <w:rPr>
          <w:rFonts w:ascii="Arial" w:cs="Arial" w:eastAsia="Arial" w:hAnsi="Arial"/>
          <w:sz w:val="12"/>
          <w:szCs w:val="12"/>
          <w:color w:val="auto"/>
        </w:rPr>
        <w:t xml:space="preserve"> case). In January 2007, the Company and another flavor supplier were named defendants in a lawsuit filed in Hamilton County, Ohio Court of Common Pleas by 108 current and former employees of a Marion, Ohio factory (</w:t>
      </w:r>
      <w:r>
        <w:rPr>
          <w:rFonts w:ascii="Arial" w:cs="Arial" w:eastAsia="Arial" w:hAnsi="Arial"/>
          <w:sz w:val="12"/>
          <w:szCs w:val="12"/>
          <w:u w:val="single" w:color="auto"/>
          <w:color w:val="auto"/>
        </w:rPr>
        <w:t>Aldrich</w:t>
      </w:r>
      <w:r>
        <w:rPr>
          <w:rFonts w:ascii="Arial" w:cs="Arial" w:eastAsia="Arial" w:hAnsi="Arial"/>
          <w:sz w:val="12"/>
          <w:szCs w:val="12"/>
          <w:color w:val="auto"/>
        </w:rPr>
        <w:t xml:space="preserve"> case).</w:t>
      </w:r>
    </w:p>
    <w:p>
      <w:pPr>
        <w:spacing w:after="0" w:line="56" w:lineRule="exact"/>
        <w:rPr>
          <w:sz w:val="20"/>
          <w:szCs w:val="20"/>
          <w:color w:val="auto"/>
        </w:rPr>
      </w:pPr>
    </w:p>
    <w:p>
      <w:pPr>
        <w:ind w:right="4299" w:firstLine="263"/>
        <w:spacing w:after="0" w:line="258" w:lineRule="auto"/>
        <w:rPr>
          <w:sz w:val="20"/>
          <w:szCs w:val="20"/>
          <w:color w:val="auto"/>
        </w:rPr>
      </w:pPr>
      <w:r>
        <w:rPr>
          <w:rFonts w:ascii="Arial" w:cs="Arial" w:eastAsia="Arial" w:hAnsi="Arial"/>
          <w:sz w:val="13"/>
          <w:szCs w:val="13"/>
          <w:color w:val="auto"/>
        </w:rPr>
        <w:t>The Company believes that all IFF and BBA flavors at issue in these matters meet the requirements of the U.S. Food and Drug Administration and are safe for handling and use by workers in food manufacturing plants when used according to specified safety procedures. These procedures are detailed in instructions that IFF and BBA provided to all their customers for the safe handling and use of their flavors. It is the responsibility of IFF’s customers to ensure that these instructions, which include the use of appropriate engineering controls, such as adequate ventilation, proper handling procedures and respiratory protection for workers, are followed in the workplace.</w:t>
      </w:r>
    </w:p>
    <w:p>
      <w:pPr>
        <w:spacing w:after="0" w:line="190"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279" w:firstLine="263"/>
        <w:spacing w:after="0" w:line="279" w:lineRule="auto"/>
        <w:rPr>
          <w:sz w:val="20"/>
          <w:szCs w:val="20"/>
          <w:color w:val="auto"/>
        </w:rPr>
      </w:pPr>
      <w:r>
        <w:rPr>
          <w:rFonts w:ascii="Arial" w:cs="Arial" w:eastAsia="Arial" w:hAnsi="Arial"/>
          <w:sz w:val="12"/>
          <w:szCs w:val="12"/>
          <w:color w:val="auto"/>
        </w:rPr>
        <w:t>At each balance sheet date, or more frequently as conditions warrant, the Company reviews the status of each pending claim, as well as its insurance coverage for such claims with due consideration given to potentially applicable deductibles, retentions and reservation of rights under its insurance policies, and the advice of its outside legal counsel and a third party expert in modeling insurance deductible amounts with respect to all these matters. While the ultimate outcome of any litigation cannot be predicted, management believes that adequate provision has been made with respect to all known claims. Based on information presently available and in light of the merits of its defenses and the availability of insurance, the Company does not expect the outcome of the above cases, singly or in the aggregate, to have a material adverse effect on the Company’s financial condition, results of operation or liquidity. There can be no assurance that future events will not require the Company to increase the amount it has accrued for any matter or accrue for a matter that has not been previously accrued. See Note 17 for further information.</w:t>
      </w:r>
    </w:p>
    <w:p>
      <w:pPr>
        <w:spacing w:after="0" w:line="55" w:lineRule="exact"/>
        <w:rPr>
          <w:sz w:val="20"/>
          <w:szCs w:val="20"/>
          <w:color w:val="auto"/>
        </w:rPr>
      </w:pPr>
    </w:p>
    <w:p>
      <w:pPr>
        <w:ind w:right="4319" w:firstLine="263"/>
        <w:spacing w:after="0" w:line="262" w:lineRule="auto"/>
        <w:rPr>
          <w:sz w:val="20"/>
          <w:szCs w:val="20"/>
          <w:color w:val="auto"/>
        </w:rPr>
      </w:pPr>
      <w:r>
        <w:rPr>
          <w:rFonts w:ascii="Arial" w:cs="Arial" w:eastAsia="Arial" w:hAnsi="Arial"/>
          <w:sz w:val="13"/>
          <w:szCs w:val="13"/>
          <w:color w:val="auto"/>
        </w:rPr>
        <w:t>Over the past 20 years, various federal and state authorities and private parties have claimed that the Company is a potentially responsible party as a generator of waste materials for alleged pollution at a number of waste sites operated by third parties located principally in New Jersey and seek to recover costs incurred and to be incurred to clean up the sites.</w:t>
      </w:r>
    </w:p>
    <w:p>
      <w:pPr>
        <w:spacing w:after="0" w:line="59" w:lineRule="exact"/>
        <w:rPr>
          <w:sz w:val="20"/>
          <w:szCs w:val="20"/>
          <w:color w:val="auto"/>
        </w:rPr>
      </w:pPr>
    </w:p>
    <w:p>
      <w:pPr>
        <w:ind w:right="4239" w:firstLine="263"/>
        <w:spacing w:after="0" w:line="280" w:lineRule="auto"/>
        <w:rPr>
          <w:sz w:val="20"/>
          <w:szCs w:val="20"/>
          <w:color w:val="auto"/>
        </w:rPr>
      </w:pPr>
      <w:r>
        <w:rPr>
          <w:rFonts w:ascii="Arial" w:cs="Arial" w:eastAsia="Arial" w:hAnsi="Arial"/>
          <w:sz w:val="12"/>
          <w:szCs w:val="12"/>
          <w:color w:val="auto"/>
        </w:rPr>
        <w:t>The waste site claims and suits usually involve million dollar amounts, and most of them are asserted against many potentially responsible parties. Remedial activities typically consist of several phases carried out over a period of years. Most site remedies begin with investigation and feasibility studies, followed by physical removal, destruction, treatment or containment of contaminated soil and debris, and sometimes by groundwater monitoring and treatment. To date, the Company’s financial responsibility for some sites has been settled through agreements granting the Company, in exchange for one or more cash payments made or to be made, either complete release of liability or, for certain sites, release from further liability for early and/or later remediation phases, subject to certain ‘‘re-opener’’ clauses for later-discovered conditions. Settlements in respect of some sites involve, in part, payment by the Company and other parties of a percentage of the site’s future remediation costs over a period of years.</w:t>
      </w:r>
    </w:p>
    <w:p>
      <w:pPr>
        <w:spacing w:after="0" w:line="51" w:lineRule="exact"/>
        <w:rPr>
          <w:sz w:val="20"/>
          <w:szCs w:val="20"/>
          <w:color w:val="auto"/>
        </w:rPr>
      </w:pPr>
    </w:p>
    <w:p>
      <w:pPr>
        <w:ind w:right="4399" w:firstLine="263"/>
        <w:spacing w:after="0" w:line="284" w:lineRule="auto"/>
        <w:rPr>
          <w:sz w:val="20"/>
          <w:szCs w:val="20"/>
          <w:color w:val="auto"/>
        </w:rPr>
      </w:pPr>
      <w:r>
        <w:rPr>
          <w:rFonts w:ascii="Arial" w:cs="Arial" w:eastAsia="Arial" w:hAnsi="Arial"/>
          <w:sz w:val="12"/>
          <w:szCs w:val="12"/>
          <w:color w:val="auto"/>
        </w:rPr>
        <w:t>The Company believes that the amounts it has paid and anticipates paying in the future for clean-up costs and damages at all sites are not and will not be material to the Company’s financial condition, results of operations or liquidity, because of the involvement of other large potentially responsible parties at most sites, because payment will be made over an extended time period and because, pursuant to an agreement reached in July 1994 with three of the Company’s liability insurers, defense costs and indemnity amounts payable by the Company in respect of the sites will be shared by the insurers up to an agreed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4.</w:t>
        <w:tab/>
        <w:t>SUBMISSION OF MATTERS TO A VOTE OF SECURITY HOLDERS.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1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77952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57" w:lineRule="exact"/>
        <w:rPr>
          <w:sz w:val="20"/>
          <w:szCs w:val="20"/>
          <w:color w:val="auto"/>
        </w:rPr>
      </w:pPr>
    </w:p>
    <w:p>
      <w:pPr>
        <w:ind w:left="660" w:right="4379" w:hanging="651"/>
        <w:spacing w:after="0" w:line="285" w:lineRule="auto"/>
        <w:tabs>
          <w:tab w:leader="none" w:pos="640" w:val="left"/>
        </w:tabs>
        <w:rPr>
          <w:sz w:val="20"/>
          <w:szCs w:val="20"/>
          <w:color w:val="auto"/>
        </w:rPr>
      </w:pPr>
      <w:r>
        <w:rPr>
          <w:rFonts w:ascii="Arial" w:cs="Arial" w:eastAsia="Arial" w:hAnsi="Arial"/>
          <w:sz w:val="13"/>
          <w:szCs w:val="13"/>
          <w:b w:val="1"/>
          <w:bCs w:val="1"/>
          <w:color w:val="auto"/>
        </w:rPr>
        <w:t>ITEM 5.</w:t>
        <w:tab/>
        <w:t>MARKET FOR THE REGISTRANT’S COMMON EQUITY, RELATED STOCKHOLDER MATTERS AND ISSUER PURCHASES OF EQUITY SECURITIES.</w:t>
      </w:r>
    </w:p>
    <w:p>
      <w:pPr>
        <w:spacing w:after="0" w:line="1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Market Information.</w:t>
      </w:r>
    </w:p>
    <w:p>
      <w:pPr>
        <w:spacing w:after="0" w:line="88" w:lineRule="exact"/>
        <w:rPr>
          <w:sz w:val="20"/>
          <w:szCs w:val="20"/>
          <w:color w:val="auto"/>
        </w:rPr>
      </w:pPr>
    </w:p>
    <w:p>
      <w:pPr>
        <w:ind w:right="4439" w:firstLine="263"/>
        <w:spacing w:after="0" w:line="279" w:lineRule="auto"/>
        <w:rPr>
          <w:sz w:val="20"/>
          <w:szCs w:val="20"/>
          <w:color w:val="auto"/>
        </w:rPr>
      </w:pPr>
      <w:r>
        <w:rPr>
          <w:rFonts w:ascii="Arial" w:cs="Arial" w:eastAsia="Arial" w:hAnsi="Arial"/>
          <w:sz w:val="13"/>
          <w:szCs w:val="13"/>
          <w:color w:val="auto"/>
        </w:rPr>
        <w:t>The Company’s common stock is traded principally on the New York Stock Exchange. The high and low stock prices for each quarter during the last two years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41566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15665" cy="635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2006</w:t>
            </w: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2005</w:t>
            </w:r>
          </w:p>
        </w:tc>
        <w:tc>
          <w:tcPr>
            <w:tcW w:w="3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r>
      <w:tr>
        <w:trPr>
          <w:trHeight w:val="118"/>
        </w:trPr>
        <w:tc>
          <w:tcPr>
            <w:tcW w:w="334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Quarter</w:t>
            </w:r>
          </w:p>
        </w:tc>
        <w:tc>
          <w:tcPr>
            <w:tcW w:w="580" w:type="dxa"/>
            <w:vAlign w:val="bottom"/>
            <w:gridSpan w:val="3"/>
          </w:tcPr>
          <w:p>
            <w:pPr>
              <w:jc w:val="right"/>
              <w:ind w:right="280"/>
              <w:spacing w:after="0" w:line="119" w:lineRule="exact"/>
              <w:rPr>
                <w:sz w:val="20"/>
                <w:szCs w:val="20"/>
                <w:color w:val="auto"/>
              </w:rPr>
            </w:pPr>
            <w:r>
              <w:rPr>
                <w:rFonts w:ascii="Arial" w:cs="Arial" w:eastAsia="Arial" w:hAnsi="Arial"/>
                <w:sz w:val="11"/>
                <w:szCs w:val="11"/>
                <w:b w:val="1"/>
                <w:bCs w:val="1"/>
                <w:color w:val="auto"/>
              </w:rPr>
              <w:t>High</w:t>
            </w:r>
          </w:p>
        </w:tc>
        <w:tc>
          <w:tcPr>
            <w:tcW w:w="360" w:type="dxa"/>
            <w:vAlign w:val="bottom"/>
          </w:tcPr>
          <w:p>
            <w:pPr>
              <w:jc w:val="right"/>
              <w:ind w:right="38"/>
              <w:spacing w:after="0" w:line="119" w:lineRule="exact"/>
              <w:rPr>
                <w:sz w:val="20"/>
                <w:szCs w:val="20"/>
                <w:color w:val="auto"/>
              </w:rPr>
            </w:pPr>
            <w:r>
              <w:rPr>
                <w:rFonts w:ascii="Arial" w:cs="Arial" w:eastAsia="Arial" w:hAnsi="Arial"/>
                <w:sz w:val="11"/>
                <w:szCs w:val="11"/>
                <w:b w:val="1"/>
                <w:bCs w:val="1"/>
                <w:color w:val="auto"/>
              </w:rPr>
              <w:t>Low</w:t>
            </w:r>
          </w:p>
        </w:tc>
        <w:tc>
          <w:tcPr>
            <w:tcW w:w="160" w:type="dxa"/>
            <w:vAlign w:val="bottom"/>
          </w:tcPr>
          <w:p>
            <w:pPr>
              <w:spacing w:after="0"/>
              <w:rPr>
                <w:sz w:val="10"/>
                <w:szCs w:val="10"/>
                <w:color w:val="auto"/>
              </w:rPr>
            </w:pPr>
          </w:p>
        </w:tc>
        <w:tc>
          <w:tcPr>
            <w:tcW w:w="580" w:type="dxa"/>
            <w:vAlign w:val="bottom"/>
            <w:gridSpan w:val="3"/>
          </w:tcPr>
          <w:p>
            <w:pPr>
              <w:jc w:val="right"/>
              <w:ind w:right="280"/>
              <w:spacing w:after="0" w:line="119" w:lineRule="exact"/>
              <w:rPr>
                <w:sz w:val="20"/>
                <w:szCs w:val="20"/>
                <w:color w:val="auto"/>
              </w:rPr>
            </w:pPr>
            <w:r>
              <w:rPr>
                <w:rFonts w:ascii="Arial" w:cs="Arial" w:eastAsia="Arial" w:hAnsi="Arial"/>
                <w:sz w:val="11"/>
                <w:szCs w:val="11"/>
                <w:b w:val="1"/>
                <w:bCs w:val="1"/>
                <w:color w:val="auto"/>
              </w:rPr>
              <w:t>High</w:t>
            </w:r>
          </w:p>
        </w:tc>
        <w:tc>
          <w:tcPr>
            <w:tcW w:w="380" w:type="dxa"/>
            <w:vAlign w:val="bottom"/>
          </w:tcPr>
          <w:p>
            <w:pPr>
              <w:jc w:val="right"/>
              <w:ind w:right="37"/>
              <w:spacing w:after="0" w:line="119" w:lineRule="exact"/>
              <w:rPr>
                <w:sz w:val="20"/>
                <w:szCs w:val="20"/>
                <w:color w:val="auto"/>
              </w:rPr>
            </w:pPr>
            <w:r>
              <w:rPr>
                <w:rFonts w:ascii="Arial" w:cs="Arial" w:eastAsia="Arial" w:hAnsi="Arial"/>
                <w:sz w:val="11"/>
                <w:szCs w:val="11"/>
                <w:b w:val="1"/>
                <w:bCs w:val="1"/>
                <w:color w:val="auto"/>
              </w:rPr>
              <w:t>Low</w:t>
            </w:r>
          </w:p>
        </w:tc>
        <w:tc>
          <w:tcPr>
            <w:tcW w:w="560" w:type="dxa"/>
            <w:vAlign w:val="bottom"/>
          </w:tcPr>
          <w:p>
            <w:pPr>
              <w:spacing w:after="0"/>
              <w:rPr>
                <w:sz w:val="10"/>
                <w:szCs w:val="10"/>
                <w:color w:val="auto"/>
              </w:rPr>
            </w:pPr>
          </w:p>
        </w:tc>
      </w:tr>
      <w:tr>
        <w:trPr>
          <w:trHeight w:val="158"/>
        </w:trPr>
        <w:tc>
          <w:tcPr>
            <w:tcW w:w="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First</w:t>
            </w:r>
          </w:p>
        </w:tc>
        <w:tc>
          <w:tcPr>
            <w:tcW w:w="2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$36.03</w:t>
            </w: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5"/>
              </w:rPr>
              <w:t>$32.53</w:t>
            </w:r>
          </w:p>
        </w:tc>
        <w:tc>
          <w:tcPr>
            <w:tcW w:w="16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$42.90</w:t>
            </w:r>
          </w:p>
        </w:tc>
        <w:tc>
          <w:tcPr>
            <w:tcW w:w="16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$38.82</w:t>
            </w:r>
          </w:p>
        </w:tc>
        <w:tc>
          <w:tcPr>
            <w:tcW w:w="560" w:type="dxa"/>
            <w:vAlign w:val="bottom"/>
          </w:tcPr>
          <w:p>
            <w:pPr>
              <w:spacing w:after="0"/>
              <w:rPr>
                <w:sz w:val="13"/>
                <w:szCs w:val="13"/>
                <w:color w:val="auto"/>
              </w:rPr>
            </w:pPr>
          </w:p>
        </w:tc>
      </w:tr>
      <w:tr>
        <w:trPr>
          <w:trHeight w:val="167"/>
        </w:trPr>
        <w:tc>
          <w:tcPr>
            <w:tcW w:w="3340" w:type="dxa"/>
            <w:vAlign w:val="bottom"/>
            <w:gridSpan w:val="5"/>
          </w:tcPr>
          <w:p>
            <w:pPr>
              <w:spacing w:after="0"/>
              <w:rPr>
                <w:sz w:val="20"/>
                <w:szCs w:val="20"/>
                <w:color w:val="auto"/>
              </w:rPr>
            </w:pPr>
            <w:r>
              <w:rPr>
                <w:rFonts w:ascii="Arial" w:cs="Arial" w:eastAsia="Arial" w:hAnsi="Arial"/>
                <w:sz w:val="13"/>
                <w:szCs w:val="13"/>
                <w:color w:val="auto"/>
                <w:highlight w:val="white"/>
              </w:rPr>
              <w:t>Second</w:t>
            </w:r>
          </w:p>
        </w:tc>
        <w:tc>
          <w:tcPr>
            <w:tcW w:w="540" w:type="dxa"/>
            <w:vAlign w:val="bottom"/>
            <w:gridSpan w:val="2"/>
          </w:tcPr>
          <w:p>
            <w:pPr>
              <w:jc w:val="right"/>
              <w:ind w:right="107"/>
              <w:spacing w:after="0"/>
              <w:rPr>
                <w:sz w:val="20"/>
                <w:szCs w:val="20"/>
                <w:color w:val="auto"/>
              </w:rPr>
            </w:pPr>
            <w:r>
              <w:rPr>
                <w:rFonts w:ascii="Arial" w:cs="Arial" w:eastAsia="Arial" w:hAnsi="Arial"/>
                <w:sz w:val="13"/>
                <w:szCs w:val="13"/>
                <w:color w:val="auto"/>
              </w:rPr>
              <w:t>38.84</w:t>
            </w:r>
          </w:p>
        </w:tc>
        <w:tc>
          <w:tcPr>
            <w:tcW w:w="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33.46</w:t>
            </w:r>
          </w:p>
        </w:tc>
        <w:tc>
          <w:tcPr>
            <w:tcW w:w="400" w:type="dxa"/>
            <w:vAlign w:val="bottom"/>
          </w:tcPr>
          <w:p>
            <w:pPr>
              <w:jc w:val="right"/>
              <w:spacing w:after="0"/>
              <w:rPr>
                <w:sz w:val="20"/>
                <w:szCs w:val="20"/>
                <w:color w:val="auto"/>
              </w:rPr>
            </w:pPr>
            <w:r>
              <w:rPr>
                <w:rFonts w:ascii="Arial" w:cs="Arial" w:eastAsia="Arial" w:hAnsi="Arial"/>
                <w:sz w:val="13"/>
                <w:szCs w:val="13"/>
                <w:color w:val="auto"/>
              </w:rPr>
              <w:t>41.29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34.90</w:t>
            </w:r>
          </w:p>
        </w:tc>
        <w:tc>
          <w:tcPr>
            <w:tcW w:w="560" w:type="dxa"/>
            <w:vAlign w:val="bottom"/>
          </w:tcPr>
          <w:p>
            <w:pPr>
              <w:spacing w:after="0"/>
              <w:rPr>
                <w:sz w:val="14"/>
                <w:szCs w:val="14"/>
                <w:color w:val="auto"/>
              </w:rPr>
            </w:pPr>
          </w:p>
        </w:tc>
      </w:tr>
      <w:tr>
        <w:trPr>
          <w:trHeight w:val="169"/>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Third</w:t>
            </w:r>
          </w:p>
        </w:tc>
        <w:tc>
          <w:tcPr>
            <w:tcW w:w="26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spacing w:after="0"/>
              <w:rPr>
                <w:sz w:val="14"/>
                <w:szCs w:val="14"/>
                <w:color w:val="auto"/>
              </w:rPr>
            </w:pPr>
          </w:p>
        </w:tc>
        <w:tc>
          <w:tcPr>
            <w:tcW w:w="54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39.96</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34.32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34.34</w:t>
            </w:r>
          </w:p>
        </w:tc>
        <w:tc>
          <w:tcPr>
            <w:tcW w:w="560" w:type="dxa"/>
            <w:vAlign w:val="bottom"/>
          </w:tcPr>
          <w:p>
            <w:pPr>
              <w:spacing w:after="0"/>
              <w:rPr>
                <w:sz w:val="14"/>
                <w:szCs w:val="14"/>
                <w:color w:val="auto"/>
              </w:rPr>
            </w:pPr>
          </w:p>
        </w:tc>
      </w:tr>
      <w:tr>
        <w:trPr>
          <w:trHeight w:val="165"/>
        </w:trPr>
        <w:tc>
          <w:tcPr>
            <w:tcW w:w="3340" w:type="dxa"/>
            <w:vAlign w:val="bottom"/>
            <w:gridSpan w:val="5"/>
          </w:tcPr>
          <w:p>
            <w:pPr>
              <w:spacing w:after="0"/>
              <w:rPr>
                <w:sz w:val="20"/>
                <w:szCs w:val="20"/>
                <w:color w:val="auto"/>
              </w:rPr>
            </w:pPr>
            <w:r>
              <w:rPr>
                <w:rFonts w:ascii="Arial" w:cs="Arial" w:eastAsia="Arial" w:hAnsi="Arial"/>
                <w:sz w:val="13"/>
                <w:szCs w:val="13"/>
                <w:color w:val="auto"/>
                <w:highlight w:val="white"/>
              </w:rPr>
              <w:t>Fourth</w:t>
            </w:r>
          </w:p>
        </w:tc>
        <w:tc>
          <w:tcPr>
            <w:tcW w:w="540" w:type="dxa"/>
            <w:vAlign w:val="bottom"/>
            <w:gridSpan w:val="2"/>
          </w:tcPr>
          <w:p>
            <w:pPr>
              <w:jc w:val="right"/>
              <w:ind w:right="107"/>
              <w:spacing w:after="0"/>
              <w:rPr>
                <w:sz w:val="20"/>
                <w:szCs w:val="20"/>
                <w:color w:val="auto"/>
              </w:rPr>
            </w:pPr>
            <w:r>
              <w:rPr>
                <w:rFonts w:ascii="Arial" w:cs="Arial" w:eastAsia="Arial" w:hAnsi="Arial"/>
                <w:sz w:val="13"/>
                <w:szCs w:val="13"/>
                <w:color w:val="auto"/>
              </w:rPr>
              <w:t>49.88</w:t>
            </w:r>
          </w:p>
        </w:tc>
        <w:tc>
          <w:tcPr>
            <w:tcW w:w="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39.19</w:t>
            </w:r>
          </w:p>
        </w:tc>
        <w:tc>
          <w:tcPr>
            <w:tcW w:w="400" w:type="dxa"/>
            <w:vAlign w:val="bottom"/>
          </w:tcPr>
          <w:p>
            <w:pPr>
              <w:jc w:val="right"/>
              <w:spacing w:after="0"/>
              <w:rPr>
                <w:sz w:val="20"/>
                <w:szCs w:val="20"/>
                <w:color w:val="auto"/>
              </w:rPr>
            </w:pPr>
            <w:r>
              <w:rPr>
                <w:rFonts w:ascii="Arial" w:cs="Arial" w:eastAsia="Arial" w:hAnsi="Arial"/>
                <w:sz w:val="13"/>
                <w:szCs w:val="13"/>
                <w:color w:val="auto"/>
              </w:rPr>
              <w:t>35.72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31.19</w:t>
            </w:r>
          </w:p>
        </w:tc>
        <w:tc>
          <w:tcPr>
            <w:tcW w:w="560" w:type="dxa"/>
            <w:vAlign w:val="bottom"/>
          </w:tcPr>
          <w:p>
            <w:pPr>
              <w:spacing w:after="0"/>
              <w:rPr>
                <w:sz w:val="14"/>
                <w:szCs w:val="14"/>
                <w:color w:val="auto"/>
              </w:rPr>
            </w:pPr>
          </w:p>
        </w:tc>
      </w:tr>
      <w:tr>
        <w:trPr>
          <w:trHeight w:val="347"/>
        </w:trPr>
        <w:tc>
          <w:tcPr>
            <w:tcW w:w="300" w:type="dxa"/>
            <w:vAlign w:val="bottom"/>
          </w:tcPr>
          <w:p>
            <w:pPr>
              <w:spacing w:after="0"/>
              <w:rPr>
                <w:sz w:val="24"/>
                <w:szCs w:val="24"/>
                <w:color w:val="auto"/>
              </w:rPr>
            </w:pPr>
          </w:p>
        </w:tc>
        <w:tc>
          <w:tcPr>
            <w:tcW w:w="3040" w:type="dxa"/>
            <w:vAlign w:val="bottom"/>
            <w:gridSpan w:val="4"/>
          </w:tcPr>
          <w:p>
            <w:pPr>
              <w:ind w:left="260"/>
              <w:spacing w:after="0"/>
              <w:rPr>
                <w:sz w:val="20"/>
                <w:szCs w:val="20"/>
                <w:color w:val="auto"/>
              </w:rPr>
            </w:pPr>
            <w:r>
              <w:rPr>
                <w:rFonts w:ascii="Arial" w:cs="Arial" w:eastAsia="Arial" w:hAnsi="Arial"/>
                <w:sz w:val="13"/>
                <w:szCs w:val="13"/>
                <w:color w:val="auto"/>
                <w:w w:val="98"/>
              </w:rPr>
              <w:t>Approximate Number of Equity Security Holders.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1"/>
              </w:rPr>
              <w:t>(B)</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9"/>
        </w:trPr>
        <w:tc>
          <w:tcPr>
            <w:tcW w:w="300" w:type="dxa"/>
            <w:vAlign w:val="bottom"/>
          </w:tcPr>
          <w:p>
            <w:pPr>
              <w:spacing w:after="0"/>
              <w:rPr>
                <w:sz w:val="11"/>
                <w:szCs w:val="11"/>
                <w:color w:val="auto"/>
              </w:rPr>
            </w:pPr>
          </w:p>
        </w:tc>
        <w:tc>
          <w:tcPr>
            <w:tcW w:w="3040" w:type="dxa"/>
            <w:vAlign w:val="bottom"/>
            <w:gridSpan w:val="4"/>
          </w:tcPr>
          <w:p>
            <w:pPr>
              <w:jc w:val="center"/>
              <w:ind w:right="72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spacing w:after="0"/>
              <w:rPr>
                <w:sz w:val="11"/>
                <w:szCs w:val="11"/>
                <w:color w:val="auto"/>
              </w:rPr>
            </w:pPr>
          </w:p>
        </w:tc>
        <w:tc>
          <w:tcPr>
            <w:tcW w:w="2240" w:type="dxa"/>
            <w:vAlign w:val="bottom"/>
            <w:gridSpan w:val="9"/>
          </w:tcPr>
          <w:p>
            <w:pPr>
              <w:jc w:val="center"/>
              <w:ind w:right="500"/>
              <w:spacing w:after="0"/>
              <w:rPr>
                <w:sz w:val="20"/>
                <w:szCs w:val="20"/>
                <w:color w:val="auto"/>
              </w:rPr>
            </w:pPr>
            <w:r>
              <w:rPr>
                <w:rFonts w:ascii="Arial" w:cs="Arial" w:eastAsia="Arial" w:hAnsi="Arial"/>
                <w:sz w:val="11"/>
                <w:szCs w:val="11"/>
                <w:b w:val="1"/>
                <w:bCs w:val="1"/>
                <w:color w:val="auto"/>
                <w:w w:val="86"/>
              </w:rPr>
              <w:t>Number of record holders as of</w:t>
            </w:r>
          </w:p>
        </w:tc>
      </w:tr>
      <w:tr>
        <w:trPr>
          <w:trHeight w:val="136"/>
        </w:trPr>
        <w:tc>
          <w:tcPr>
            <w:tcW w:w="300" w:type="dxa"/>
            <w:vAlign w:val="bottom"/>
          </w:tcPr>
          <w:p>
            <w:pPr>
              <w:spacing w:after="0"/>
              <w:rPr>
                <w:sz w:val="11"/>
                <w:szCs w:val="11"/>
                <w:color w:val="auto"/>
              </w:rPr>
            </w:pPr>
          </w:p>
        </w:tc>
        <w:tc>
          <w:tcPr>
            <w:tcW w:w="3040" w:type="dxa"/>
            <w:vAlign w:val="bottom"/>
            <w:gridSpan w:val="4"/>
          </w:tcPr>
          <w:p>
            <w:pPr>
              <w:jc w:val="center"/>
              <w:ind w:right="720"/>
              <w:spacing w:after="0"/>
              <w:rPr>
                <w:sz w:val="20"/>
                <w:szCs w:val="20"/>
                <w:color w:val="auto"/>
              </w:rPr>
            </w:pPr>
            <w:r>
              <w:rPr>
                <w:rFonts w:ascii="Arial" w:cs="Arial" w:eastAsia="Arial" w:hAnsi="Arial"/>
                <w:sz w:val="11"/>
                <w:szCs w:val="11"/>
                <w:b w:val="1"/>
                <w:bCs w:val="1"/>
                <w:color w:val="auto"/>
                <w:w w:val="87"/>
              </w:rPr>
              <w:t>Title of Class</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5"/>
          </w:tcPr>
          <w:p>
            <w:pPr>
              <w:jc w:val="center"/>
              <w:ind w:left="178"/>
              <w:spacing w:after="0"/>
              <w:rPr>
                <w:sz w:val="20"/>
                <w:szCs w:val="20"/>
                <w:color w:val="auto"/>
              </w:rPr>
            </w:pPr>
            <w:r>
              <w:rPr>
                <w:rFonts w:ascii="Arial" w:cs="Arial" w:eastAsia="Arial" w:hAnsi="Arial"/>
                <w:sz w:val="11"/>
                <w:szCs w:val="11"/>
                <w:b w:val="1"/>
                <w:bCs w:val="1"/>
                <w:color w:val="auto"/>
                <w:w w:val="86"/>
              </w:rPr>
              <w:t>December 31, 2006</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8"/>
        </w:trPr>
        <w:tc>
          <w:tcPr>
            <w:tcW w:w="292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Common stock, par value 12½¢ per share</w:t>
            </w:r>
          </w:p>
        </w:tc>
        <w:tc>
          <w:tcPr>
            <w:tcW w:w="300" w:type="dxa"/>
            <w:vAlign w:val="bottom"/>
            <w:gridSpan w:val="2"/>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ind w:right="39"/>
              <w:spacing w:after="0" w:line="149" w:lineRule="exact"/>
              <w:rPr>
                <w:sz w:val="20"/>
                <w:szCs w:val="20"/>
                <w:color w:val="auto"/>
              </w:rPr>
            </w:pPr>
            <w:r>
              <w:rPr>
                <w:rFonts w:ascii="Arial" w:cs="Arial" w:eastAsia="Arial" w:hAnsi="Arial"/>
                <w:sz w:val="13"/>
                <w:szCs w:val="13"/>
                <w:color w:val="auto"/>
                <w:w w:val="92"/>
              </w:rPr>
              <w:t>3,393</w:t>
            </w: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-1343025</wp:posOffset>
            </wp:positionV>
            <wp:extent cx="3779520" cy="14065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779520" cy="1406525"/>
                    </a:xfrm>
                    <a:prstGeom prst="rect">
                      <a:avLst/>
                    </a:prstGeom>
                    <a:noFill/>
                  </pic:spPr>
                </pic:pic>
              </a:graphicData>
            </a:graphic>
          </wp:anchor>
        </w:drawing>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Dividends.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Cash dividends declared per share for each quarter since January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41566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15665" cy="6350"/>
                    </a:xfrm>
                    <a:prstGeom prst="rect">
                      <a:avLst/>
                    </a:prstGeom>
                    <a:noFill/>
                  </pic:spPr>
                </pic:pic>
              </a:graphicData>
            </a:graphic>
          </wp:anchor>
        </w:drawing>
      </w:r>
    </w:p>
    <w:p>
      <w:pPr>
        <w:spacing w:after="0" w:line="307" w:lineRule="exact"/>
        <w:rPr>
          <w:sz w:val="20"/>
          <w:szCs w:val="20"/>
          <w:color w:val="auto"/>
        </w:rPr>
      </w:pPr>
    </w:p>
    <w:p>
      <w:pPr>
        <w:ind w:left="3920"/>
        <w:spacing w:after="0"/>
        <w:tabs>
          <w:tab w:leader="none" w:pos="4480" w:val="left"/>
          <w:tab w:leader="none" w:pos="5060" w:val="left"/>
        </w:tabs>
        <w:rPr>
          <w:sz w:val="20"/>
          <w:szCs w:val="20"/>
          <w:color w:val="auto"/>
        </w:rPr>
      </w:pPr>
      <w:r>
        <w:rPr>
          <w:rFonts w:ascii="Arial" w:cs="Arial" w:eastAsia="Arial" w:hAnsi="Arial"/>
          <w:sz w:val="11"/>
          <w:szCs w:val="11"/>
          <w:b w:val="1"/>
          <w:bCs w:val="1"/>
          <w:color w:val="auto"/>
        </w:rPr>
        <w:t>2007</w:t>
      </w:r>
      <w:r>
        <w:rPr>
          <w:sz w:val="20"/>
          <w:szCs w:val="20"/>
          <w:color w:val="auto"/>
        </w:rPr>
        <w:tab/>
      </w:r>
      <w:r>
        <w:rPr>
          <w:rFonts w:ascii="Arial" w:cs="Arial" w:eastAsia="Arial" w:hAnsi="Arial"/>
          <w:sz w:val="11"/>
          <w:szCs w:val="11"/>
          <w:b w:val="1"/>
          <w:bCs w:val="1"/>
          <w:color w:val="auto"/>
        </w:rPr>
        <w:t>2006</w:t>
      </w:r>
      <w:r>
        <w:rPr>
          <w:sz w:val="20"/>
          <w:szCs w:val="20"/>
          <w:color w:val="auto"/>
        </w:rPr>
        <w:tab/>
      </w:r>
      <w:r>
        <w:rPr>
          <w:rFonts w:ascii="Arial" w:cs="Arial" w:eastAsia="Arial" w:hAnsi="Arial"/>
          <w:sz w:val="9"/>
          <w:szCs w:val="9"/>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5715</wp:posOffset>
            </wp:positionV>
            <wp:extent cx="99822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98220" cy="635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-37465</wp:posOffset>
            </wp:positionV>
            <wp:extent cx="635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-37465</wp:posOffset>
            </wp:positionV>
            <wp:extent cx="635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-37465</wp:posOffset>
            </wp:positionV>
            <wp:extent cx="635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-37465</wp:posOffset>
            </wp:positionV>
            <wp:extent cx="635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-37465</wp:posOffset>
            </wp:positionV>
            <wp:extent cx="635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-37465</wp:posOffset>
            </wp:positionV>
            <wp:extent cx="635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55" w:orient="portrait"/>
          <w:cols w:equalWidth="0" w:num="1">
            <w:col w:w="10239"/>
          </w:cols>
          <w:pgMar w:left="220" w:top="131" w:right="1440" w:bottom="0" w:gutter="0" w:footer="0" w:header="0"/>
        </w:sectPr>
      </w:pPr>
    </w:p>
    <w:p>
      <w:pPr>
        <w:spacing w:after="0" w:line="10" w:lineRule="exact"/>
        <w:rPr>
          <w:sz w:val="20"/>
          <w:szCs w:val="20"/>
          <w:color w:val="auto"/>
        </w:rPr>
      </w:pPr>
    </w:p>
    <w:p>
      <w:pPr>
        <w:spacing w:after="0"/>
        <w:tabs>
          <w:tab w:leader="none" w:pos="3820" w:val="left"/>
          <w:tab w:leader="none" w:pos="4420" w:val="left"/>
          <w:tab w:leader="none" w:pos="5020" w:val="left"/>
        </w:tabs>
        <w:rPr>
          <w:sz w:val="20"/>
          <w:szCs w:val="20"/>
          <w:color w:val="auto"/>
        </w:rPr>
      </w:pPr>
      <w:r>
        <w:rPr>
          <w:rFonts w:ascii="Arial" w:cs="Arial" w:eastAsia="Arial" w:hAnsi="Arial"/>
          <w:sz w:val="13"/>
          <w:szCs w:val="13"/>
          <w:color w:val="auto"/>
          <w:shd w:val="clear" w:color="auto" w:fill="CCEEFF"/>
        </w:rPr>
        <w:t>First</w:t>
      </w:r>
      <w:r>
        <w:rPr>
          <w:sz w:val="20"/>
          <w:szCs w:val="20"/>
          <w:color w:val="auto"/>
        </w:rPr>
        <w:tab/>
      </w:r>
      <w:r>
        <w:rPr>
          <w:rFonts w:ascii="Arial" w:cs="Arial" w:eastAsia="Arial" w:hAnsi="Arial"/>
          <w:sz w:val="13"/>
          <w:szCs w:val="13"/>
          <w:color w:val="auto"/>
        </w:rPr>
        <w:t>$0.210</w:t>
      </w:r>
      <w:r>
        <w:rPr>
          <w:sz w:val="20"/>
          <w:szCs w:val="20"/>
          <w:color w:val="auto"/>
        </w:rPr>
        <w:tab/>
      </w:r>
      <w:r>
        <w:rPr>
          <w:rFonts w:ascii="Arial" w:cs="Arial" w:eastAsia="Arial" w:hAnsi="Arial"/>
          <w:sz w:val="13"/>
          <w:szCs w:val="13"/>
          <w:color w:val="auto"/>
        </w:rPr>
        <w:t>$0.185</w:t>
      </w:r>
      <w:r>
        <w:rPr>
          <w:sz w:val="20"/>
          <w:szCs w:val="20"/>
          <w:color w:val="auto"/>
        </w:rPr>
        <w:tab/>
      </w:r>
      <w:r>
        <w:rPr>
          <w:rFonts w:ascii="Arial" w:cs="Arial" w:eastAsia="Arial" w:hAnsi="Arial"/>
          <w:sz w:val="11"/>
          <w:szCs w:val="11"/>
          <w:color w:val="auto"/>
        </w:rPr>
        <w:t>$0.175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434715" cy="1181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34715" cy="118110"/>
                    </a:xfrm>
                    <a:prstGeom prst="rect">
                      <a:avLst/>
                    </a:prstGeom>
                    <a:noFill/>
                  </pic:spPr>
                </pic:pic>
              </a:graphicData>
            </a:graphic>
          </wp:anchor>
        </w:drawing>
      </w:r>
    </w:p>
    <w:p>
      <w:pPr>
        <w:sectPr>
          <w:pgSz w:w="11900" w:h="16855" w:orient="portrait"/>
          <w:cols w:equalWidth="0" w:num="1">
            <w:col w:w="10239"/>
          </w:cols>
          <w:pgMar w:left="220" w:top="131" w:right="1440" w:bottom="0" w:gutter="0" w:footer="0" w:header="0"/>
          <w:type w:val="continuous"/>
        </w:sectPr>
      </w:pPr>
    </w:p>
    <w:bookmarkStart w:id="7" w:name="page8"/>
    <w:bookmarkEnd w:id="7"/>
    <w:tbl>
      <w:tblPr>
        <w:tblLayout w:type="fixed"/>
        <w:tblInd w:w="1"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Arial" w:cs="Arial" w:eastAsia="Arial" w:hAnsi="Arial"/>
                <w:sz w:val="13"/>
                <w:szCs w:val="13"/>
                <w:color w:val="auto"/>
              </w:rPr>
              <w:t>Second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0.185</w:t>
            </w: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0.185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4"/>
        </w:trPr>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Third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0.185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0.185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65"/>
        </w:trPr>
        <w:tc>
          <w:tcPr>
            <w:tcW w:w="1680" w:type="dxa"/>
            <w:vAlign w:val="bottom"/>
            <w:gridSpan w:val="2"/>
          </w:tcPr>
          <w:p>
            <w:pPr>
              <w:spacing w:after="0"/>
              <w:rPr>
                <w:sz w:val="20"/>
                <w:szCs w:val="20"/>
                <w:color w:val="auto"/>
              </w:rPr>
            </w:pPr>
            <w:r>
              <w:rPr>
                <w:rFonts w:ascii="Arial" w:cs="Arial" w:eastAsia="Arial" w:hAnsi="Arial"/>
                <w:sz w:val="13"/>
                <w:szCs w:val="13"/>
                <w:color w:val="auto"/>
                <w:highlight w:val="white"/>
              </w:rPr>
              <w:t>Fourth</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3"/>
                <w:szCs w:val="13"/>
                <w:color w:val="auto"/>
              </w:rPr>
              <w:t>0.210</w:t>
            </w:r>
          </w:p>
        </w:tc>
        <w:tc>
          <w:tcPr>
            <w:tcW w:w="580" w:type="dxa"/>
            <w:vAlign w:val="bottom"/>
            <w:gridSpan w:val="4"/>
          </w:tcPr>
          <w:p>
            <w:pPr>
              <w:jc w:val="right"/>
              <w:spacing w:after="0"/>
              <w:rPr>
                <w:sz w:val="20"/>
                <w:szCs w:val="20"/>
                <w:color w:val="auto"/>
              </w:rPr>
            </w:pPr>
            <w:r>
              <w:rPr>
                <w:rFonts w:ascii="Arial" w:cs="Arial" w:eastAsia="Arial" w:hAnsi="Arial"/>
                <w:sz w:val="13"/>
                <w:szCs w:val="13"/>
                <w:color w:val="auto"/>
              </w:rPr>
              <w:t>0.185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407"/>
        </w:trPr>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87"/>
        </w:trPr>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r>
        <w:trPr>
          <w:trHeight w:val="493"/>
        </w:trPr>
        <w:tc>
          <w:tcPr>
            <w:tcW w:w="18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Performance Graph.</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9"/>
        </w:trPr>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20" w:type="dxa"/>
            <w:vAlign w:val="bottom"/>
            <w:gridSpan w:val="10"/>
          </w:tcPr>
          <w:p>
            <w:pPr>
              <w:jc w:val="center"/>
              <w:ind w:left="357"/>
              <w:spacing w:after="0"/>
              <w:rPr>
                <w:sz w:val="20"/>
                <w:szCs w:val="20"/>
                <w:color w:val="auto"/>
              </w:rPr>
            </w:pPr>
            <w:r>
              <w:rPr>
                <w:rFonts w:ascii="Arial" w:cs="Arial" w:eastAsia="Arial" w:hAnsi="Arial"/>
                <w:sz w:val="13"/>
                <w:szCs w:val="13"/>
                <w:b w:val="1"/>
                <w:bCs w:val="1"/>
                <w:color w:val="auto"/>
                <w:w w:val="91"/>
              </w:rPr>
              <w:t>Total Return To Shareholders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5"/>
        </w:trPr>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40" w:type="dxa"/>
            <w:vAlign w:val="bottom"/>
            <w:gridSpan w:val="13"/>
          </w:tcPr>
          <w:p>
            <w:pPr>
              <w:jc w:val="center"/>
              <w:ind w:left="57"/>
              <w:spacing w:after="0"/>
              <w:rPr>
                <w:sz w:val="20"/>
                <w:szCs w:val="20"/>
                <w:color w:val="auto"/>
              </w:rPr>
            </w:pPr>
            <w:r>
              <w:rPr>
                <w:rFonts w:ascii="Arial" w:cs="Arial" w:eastAsia="Arial" w:hAnsi="Arial"/>
                <w:sz w:val="13"/>
                <w:szCs w:val="13"/>
                <w:color w:val="auto"/>
                <w:w w:val="93"/>
              </w:rPr>
              <w:t>(Includes reinvestment of dividends)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80"/>
        </w:trPr>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10"/>
          </w:tcPr>
          <w:p>
            <w:pPr>
              <w:jc w:val="right"/>
              <w:ind w:right="180"/>
              <w:spacing w:after="0"/>
              <w:rPr>
                <w:sz w:val="20"/>
                <w:szCs w:val="20"/>
                <w:color w:val="auto"/>
              </w:rPr>
            </w:pPr>
            <w:r>
              <w:rPr>
                <w:rFonts w:ascii="Arial" w:cs="Arial" w:eastAsia="Arial" w:hAnsi="Arial"/>
                <w:sz w:val="11"/>
                <w:szCs w:val="11"/>
                <w:b w:val="1"/>
                <w:bCs w:val="1"/>
                <w:color w:val="auto"/>
                <w:w w:val="86"/>
              </w:rPr>
              <w:t>Annual Return 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36"/>
        </w:trPr>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8"/>
          </w:tcPr>
          <w:p>
            <w:pPr>
              <w:ind w:left="80"/>
              <w:spacing w:after="0"/>
              <w:rPr>
                <w:sz w:val="20"/>
                <w:szCs w:val="20"/>
                <w:color w:val="auto"/>
              </w:rPr>
            </w:pPr>
            <w:r>
              <w:rPr>
                <w:rFonts w:ascii="Arial" w:cs="Arial" w:eastAsia="Arial" w:hAnsi="Arial"/>
                <w:sz w:val="11"/>
                <w:szCs w:val="11"/>
                <w:b w:val="1"/>
                <w:bCs w:val="1"/>
                <w:color w:val="auto"/>
              </w:rPr>
              <w:t>Years Ending</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r>
      <w:tr>
        <w:trPr>
          <w:trHeight w:val="118"/>
        </w:trPr>
        <w:tc>
          <w:tcPr>
            <w:tcW w:w="16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Company Name / Index</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right"/>
              <w:ind w:right="34"/>
              <w:spacing w:after="0" w:line="119" w:lineRule="exact"/>
              <w:rPr>
                <w:sz w:val="20"/>
                <w:szCs w:val="20"/>
                <w:color w:val="auto"/>
              </w:rPr>
            </w:pPr>
            <w:r>
              <w:rPr>
                <w:rFonts w:ascii="Arial" w:cs="Arial" w:eastAsia="Arial" w:hAnsi="Arial"/>
                <w:sz w:val="11"/>
                <w:szCs w:val="11"/>
                <w:b w:val="1"/>
                <w:bCs w:val="1"/>
                <w:color w:val="auto"/>
                <w:w w:val="81"/>
              </w:rPr>
              <w:t>2002</w:t>
            </w:r>
          </w:p>
        </w:tc>
        <w:tc>
          <w:tcPr>
            <w:tcW w:w="220" w:type="dxa"/>
            <w:vAlign w:val="bottom"/>
          </w:tcPr>
          <w:p>
            <w:pPr>
              <w:spacing w:after="0"/>
              <w:rPr>
                <w:sz w:val="10"/>
                <w:szCs w:val="10"/>
                <w:color w:val="auto"/>
              </w:rPr>
            </w:pPr>
          </w:p>
        </w:tc>
        <w:tc>
          <w:tcPr>
            <w:tcW w:w="2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w w:val="97"/>
              </w:rPr>
              <w:t>2003</w:t>
            </w:r>
          </w:p>
        </w:tc>
        <w:tc>
          <w:tcPr>
            <w:tcW w:w="40" w:type="dxa"/>
            <w:vAlign w:val="bottom"/>
          </w:tcPr>
          <w:p>
            <w:pPr>
              <w:spacing w:after="0"/>
              <w:rPr>
                <w:sz w:val="10"/>
                <w:szCs w:val="10"/>
                <w:color w:val="auto"/>
              </w:rPr>
            </w:pPr>
          </w:p>
        </w:tc>
        <w:tc>
          <w:tcPr>
            <w:tcW w:w="540" w:type="dxa"/>
            <w:vAlign w:val="bottom"/>
            <w:gridSpan w:val="3"/>
          </w:tcPr>
          <w:p>
            <w:pPr>
              <w:jc w:val="right"/>
              <w:ind w:right="60"/>
              <w:spacing w:after="0" w:line="119" w:lineRule="exact"/>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10"/>
                <w:szCs w:val="10"/>
                <w:color w:val="auto"/>
              </w:rPr>
            </w:pPr>
          </w:p>
        </w:tc>
        <w:tc>
          <w:tcPr>
            <w:tcW w:w="46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3"/>
          </w:tcPr>
          <w:p>
            <w:pPr>
              <w:jc w:val="right"/>
              <w:ind w:right="14"/>
              <w:spacing w:after="0" w:line="119" w:lineRule="exact"/>
              <w:rPr>
                <w:sz w:val="20"/>
                <w:szCs w:val="20"/>
                <w:color w:val="auto"/>
              </w:rPr>
            </w:pPr>
            <w:r>
              <w:rPr>
                <w:rFonts w:ascii="Arial" w:cs="Arial" w:eastAsia="Arial" w:hAnsi="Arial"/>
                <w:sz w:val="11"/>
                <w:szCs w:val="11"/>
                <w:b w:val="1"/>
                <w:bCs w:val="1"/>
                <w:color w:val="auto"/>
              </w:rPr>
              <w:t>2006</w:t>
            </w:r>
          </w:p>
        </w:tc>
        <w:tc>
          <w:tcPr>
            <w:tcW w:w="1580" w:type="dxa"/>
            <w:vAlign w:val="bottom"/>
          </w:tcPr>
          <w:p>
            <w:pPr>
              <w:spacing w:after="0"/>
              <w:rPr>
                <w:sz w:val="10"/>
                <w:szCs w:val="10"/>
                <w:color w:val="auto"/>
              </w:rPr>
            </w:pPr>
          </w:p>
        </w:tc>
      </w:tr>
      <w:tr>
        <w:trPr>
          <w:trHeight w:val="158"/>
        </w:trPr>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w w:val="81"/>
                <w:shd w:val="clear" w:color="auto" w:fill="CCEEFF"/>
              </w:rPr>
              <w:t>IFF</w:t>
            </w:r>
          </w:p>
        </w:tc>
        <w:tc>
          <w:tcPr>
            <w:tcW w:w="1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2"/>
              </w:rPr>
              <w:t>20.27</w:t>
            </w:r>
          </w:p>
        </w:tc>
        <w:tc>
          <w:tcPr>
            <w:tcW w:w="220" w:type="dxa"/>
            <w:vAlign w:val="bottom"/>
            <w:shd w:val="clear" w:color="auto" w:fill="CCEEFF"/>
          </w:tcPr>
          <w:p>
            <w:pPr>
              <w:spacing w:after="0"/>
              <w:rPr>
                <w:sz w:val="13"/>
                <w:szCs w:val="13"/>
                <w:color w:val="auto"/>
              </w:rPr>
            </w:pPr>
          </w:p>
        </w:tc>
        <w:tc>
          <w:tcPr>
            <w:tcW w:w="32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1.42</w:t>
            </w:r>
          </w:p>
        </w:tc>
        <w:tc>
          <w:tcPr>
            <w:tcW w:w="200" w:type="dxa"/>
            <w:vAlign w:val="bottom"/>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24.89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4"/>
              </w:rPr>
              <w:t>−20.21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49.64</w:t>
            </w:r>
          </w:p>
        </w:tc>
        <w:tc>
          <w:tcPr>
            <w:tcW w:w="1580" w:type="dxa"/>
            <w:vAlign w:val="bottom"/>
          </w:tcPr>
          <w:p>
            <w:pPr>
              <w:spacing w:after="0"/>
              <w:rPr>
                <w:sz w:val="13"/>
                <w:szCs w:val="13"/>
                <w:color w:val="auto"/>
              </w:rPr>
            </w:pPr>
          </w:p>
        </w:tc>
      </w:tr>
      <w:tr>
        <w:trPr>
          <w:trHeight w:val="165"/>
        </w:trPr>
        <w:tc>
          <w:tcPr>
            <w:tcW w:w="1680" w:type="dxa"/>
            <w:vAlign w:val="bottom"/>
            <w:gridSpan w:val="2"/>
          </w:tcPr>
          <w:p>
            <w:pPr>
              <w:spacing w:after="0"/>
              <w:rPr>
                <w:sz w:val="20"/>
                <w:szCs w:val="20"/>
                <w:color w:val="auto"/>
              </w:rPr>
            </w:pPr>
            <w:r>
              <w:rPr>
                <w:rFonts w:ascii="Arial" w:cs="Arial" w:eastAsia="Arial" w:hAnsi="Arial"/>
                <w:sz w:val="13"/>
                <w:szCs w:val="13"/>
                <w:color w:val="auto"/>
                <w:highlight w:val="white"/>
              </w:rPr>
              <w:t>S&amp;P 500 Index</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3"/>
                <w:szCs w:val="13"/>
                <w:color w:val="auto"/>
                <w:w w:val="94"/>
              </w:rPr>
              <w:t>−22.10</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w w:val="92"/>
              </w:rPr>
              <w:t>28.68</w:t>
            </w: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10.88</w:t>
            </w:r>
          </w:p>
        </w:tc>
        <w:tc>
          <w:tcPr>
            <w:tcW w:w="580" w:type="dxa"/>
            <w:vAlign w:val="bottom"/>
            <w:gridSpan w:val="4"/>
          </w:tcPr>
          <w:p>
            <w:pPr>
              <w:jc w:val="right"/>
              <w:ind w:right="20"/>
              <w:spacing w:after="0"/>
              <w:rPr>
                <w:sz w:val="20"/>
                <w:szCs w:val="20"/>
                <w:color w:val="auto"/>
              </w:rPr>
            </w:pPr>
            <w:r>
              <w:rPr>
                <w:rFonts w:ascii="Arial" w:cs="Arial" w:eastAsia="Arial" w:hAnsi="Arial"/>
                <w:sz w:val="13"/>
                <w:szCs w:val="13"/>
                <w:color w:val="auto"/>
              </w:rPr>
              <w:t>4.91</w:t>
            </w: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15.79</w:t>
            </w:r>
          </w:p>
        </w:tc>
        <w:tc>
          <w:tcPr>
            <w:tcW w:w="1580" w:type="dxa"/>
            <w:vAlign w:val="bottom"/>
          </w:tcPr>
          <w:p>
            <w:pPr>
              <w:spacing w:after="0"/>
              <w:rPr>
                <w:sz w:val="14"/>
                <w:szCs w:val="14"/>
                <w:color w:val="auto"/>
              </w:rPr>
            </w:pPr>
          </w:p>
        </w:tc>
      </w:tr>
      <w:tr>
        <w:trPr>
          <w:trHeight w:val="171"/>
        </w:trPr>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Peer Group</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91"/>
              </w:rPr>
              <w:t>−2.72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2"/>
              </w:rPr>
              <w:t>15.93</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8.71</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4.43</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18.29</w:t>
            </w:r>
          </w:p>
        </w:tc>
        <w:tc>
          <w:tcPr>
            <w:tcW w:w="1580" w:type="dxa"/>
            <w:vAlign w:val="bottom"/>
          </w:tcPr>
          <w:p>
            <w:pPr>
              <w:spacing w:after="0"/>
              <w:rPr>
                <w:sz w:val="14"/>
                <w:szCs w:val="14"/>
                <w:color w:val="auto"/>
              </w:rPr>
            </w:pPr>
          </w:p>
        </w:tc>
      </w:tr>
      <w:tr>
        <w:trPr>
          <w:trHeight w:val="408"/>
        </w:trPr>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6"/>
          </w:tcPr>
          <w:p>
            <w:pPr>
              <w:jc w:val="right"/>
              <w:ind w:right="20"/>
              <w:spacing w:after="0"/>
              <w:rPr>
                <w:sz w:val="20"/>
                <w:szCs w:val="20"/>
                <w:color w:val="auto"/>
              </w:rPr>
            </w:pPr>
            <w:r>
              <w:rPr>
                <w:rFonts w:ascii="Arial" w:cs="Arial" w:eastAsia="Arial" w:hAnsi="Arial"/>
                <w:sz w:val="11"/>
                <w:szCs w:val="11"/>
                <w:b w:val="1"/>
                <w:bCs w:val="1"/>
                <w:color w:val="auto"/>
                <w:w w:val="90"/>
              </w:rPr>
              <w:t>Indexed Returns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36"/>
        </w:trPr>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1"/>
                <w:szCs w:val="11"/>
                <w:b w:val="1"/>
                <w:bCs w:val="1"/>
                <w:color w:val="auto"/>
                <w:w w:val="99"/>
              </w:rPr>
              <w:t>Years Ending</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r>
      <w:tr>
        <w:trPr>
          <w:trHeight w:val="111"/>
        </w:trPr>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w w:val="75"/>
              </w:rPr>
              <w:t>Base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29"/>
        </w:trPr>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Period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36"/>
        </w:trPr>
        <w:tc>
          <w:tcPr>
            <w:tcW w:w="1680" w:type="dxa"/>
            <w:vAlign w:val="bottom"/>
            <w:gridSpan w:val="2"/>
          </w:tcPr>
          <w:p>
            <w:pPr>
              <w:spacing w:after="0"/>
              <w:rPr>
                <w:sz w:val="20"/>
                <w:szCs w:val="20"/>
                <w:color w:val="auto"/>
              </w:rPr>
            </w:pPr>
            <w:r>
              <w:rPr>
                <w:rFonts w:ascii="Arial" w:cs="Arial" w:eastAsia="Arial" w:hAnsi="Arial"/>
                <w:sz w:val="11"/>
                <w:szCs w:val="11"/>
                <w:b w:val="1"/>
                <w:bCs w:val="1"/>
                <w:color w:val="auto"/>
              </w:rPr>
              <w:t>Company Name / Index</w:t>
            </w:r>
          </w:p>
        </w:tc>
        <w:tc>
          <w:tcPr>
            <w:tcW w:w="1040" w:type="dxa"/>
            <w:vAlign w:val="bottom"/>
            <w:gridSpan w:val="3"/>
          </w:tcPr>
          <w:p>
            <w:pPr>
              <w:jc w:val="center"/>
              <w:ind w:left="657"/>
              <w:spacing w:after="0"/>
              <w:rPr>
                <w:sz w:val="20"/>
                <w:szCs w:val="20"/>
                <w:color w:val="auto"/>
              </w:rPr>
            </w:pPr>
            <w:r>
              <w:rPr>
                <w:rFonts w:ascii="Arial" w:cs="Arial" w:eastAsia="Arial" w:hAnsi="Arial"/>
                <w:sz w:val="11"/>
                <w:szCs w:val="11"/>
                <w:b w:val="1"/>
                <w:bCs w:val="1"/>
                <w:color w:val="auto"/>
                <w:w w:val="81"/>
              </w:rPr>
              <w:t>2001</w:t>
            </w:r>
          </w:p>
        </w:tc>
        <w:tc>
          <w:tcPr>
            <w:tcW w:w="18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2002</w:t>
            </w:r>
          </w:p>
        </w:tc>
        <w:tc>
          <w:tcPr>
            <w:tcW w:w="80" w:type="dxa"/>
            <w:vAlign w:val="bottom"/>
          </w:tcPr>
          <w:p>
            <w:pPr>
              <w:spacing w:after="0"/>
              <w:rPr>
                <w:sz w:val="11"/>
                <w:szCs w:val="1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2003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54"/>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right"/>
              <w:ind w:right="74"/>
              <w:spacing w:after="0"/>
              <w:rPr>
                <w:sz w:val="20"/>
                <w:szCs w:val="20"/>
                <w:color w:val="auto"/>
              </w:rPr>
            </w:pPr>
            <w:r>
              <w:rPr>
                <w:rFonts w:ascii="Arial" w:cs="Arial" w:eastAsia="Arial" w:hAnsi="Arial"/>
                <w:sz w:val="11"/>
                <w:szCs w:val="11"/>
                <w:b w:val="1"/>
                <w:bCs w:val="1"/>
                <w:color w:val="auto"/>
              </w:rPr>
              <w:t>2006</w:t>
            </w:r>
          </w:p>
        </w:tc>
        <w:tc>
          <w:tcPr>
            <w:tcW w:w="1580" w:type="dxa"/>
            <w:vAlign w:val="bottom"/>
          </w:tcPr>
          <w:p>
            <w:pPr>
              <w:spacing w:after="0"/>
              <w:rPr>
                <w:sz w:val="11"/>
                <w:szCs w:val="11"/>
                <w:color w:val="auto"/>
              </w:rPr>
            </w:pPr>
          </w:p>
        </w:tc>
      </w:tr>
      <w:tr>
        <w:trPr>
          <w:trHeight w:val="158"/>
        </w:trPr>
        <w:tc>
          <w:tcPr>
            <w:tcW w:w="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w w:val="81"/>
                <w:shd w:val="clear" w:color="auto" w:fill="CCEEFF"/>
              </w:rPr>
              <w:t>IFF</w:t>
            </w:r>
          </w:p>
        </w:tc>
        <w:tc>
          <w:tcPr>
            <w:tcW w:w="1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3"/>
                <w:szCs w:val="13"/>
                <w:color w:val="auto"/>
                <w:w w:val="89"/>
              </w:rPr>
              <w:t>$100</w:t>
            </w:r>
          </w:p>
        </w:tc>
        <w:tc>
          <w:tcPr>
            <w:tcW w:w="180" w:type="dxa"/>
            <w:vAlign w:val="bottom"/>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$120.27</w:t>
            </w:r>
          </w:p>
        </w:tc>
        <w:tc>
          <w:tcPr>
            <w:tcW w:w="180" w:type="dxa"/>
            <w:vAlign w:val="bottom"/>
            <w:shd w:val="clear" w:color="auto" w:fill="CCEEFF"/>
          </w:tcPr>
          <w:p>
            <w:pPr>
              <w:spacing w:after="0"/>
              <w:rPr>
                <w:sz w:val="13"/>
                <w:szCs w:val="13"/>
                <w:color w:val="auto"/>
              </w:rPr>
            </w:pPr>
          </w:p>
        </w:tc>
        <w:tc>
          <w:tcPr>
            <w:tcW w:w="4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$121.97</w:t>
            </w:r>
          </w:p>
        </w:tc>
        <w:tc>
          <w:tcPr>
            <w:tcW w:w="18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5"/>
              </w:rPr>
              <w:t>$152.33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$121.55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$181.89</w:t>
            </w:r>
          </w:p>
        </w:tc>
        <w:tc>
          <w:tcPr>
            <w:tcW w:w="1580" w:type="dxa"/>
            <w:vAlign w:val="bottom"/>
          </w:tcPr>
          <w:p>
            <w:pPr>
              <w:spacing w:after="0"/>
              <w:rPr>
                <w:sz w:val="13"/>
                <w:szCs w:val="13"/>
                <w:color w:val="auto"/>
              </w:rPr>
            </w:pPr>
          </w:p>
        </w:tc>
      </w:tr>
      <w:tr>
        <w:trPr>
          <w:trHeight w:val="165"/>
        </w:trPr>
        <w:tc>
          <w:tcPr>
            <w:tcW w:w="1680" w:type="dxa"/>
            <w:vAlign w:val="bottom"/>
            <w:gridSpan w:val="2"/>
          </w:tcPr>
          <w:p>
            <w:pPr>
              <w:spacing w:after="0"/>
              <w:rPr>
                <w:sz w:val="20"/>
                <w:szCs w:val="20"/>
                <w:color w:val="auto"/>
              </w:rPr>
            </w:pPr>
            <w:r>
              <w:rPr>
                <w:rFonts w:ascii="Arial" w:cs="Arial" w:eastAsia="Arial" w:hAnsi="Arial"/>
                <w:sz w:val="13"/>
                <w:szCs w:val="13"/>
                <w:color w:val="auto"/>
                <w:highlight w:val="white"/>
              </w:rPr>
              <w:t>S&amp;P 500 Index</w:t>
            </w:r>
          </w:p>
        </w:tc>
        <w:tc>
          <w:tcPr>
            <w:tcW w:w="1040" w:type="dxa"/>
            <w:vAlign w:val="bottom"/>
            <w:gridSpan w:val="3"/>
          </w:tcPr>
          <w:p>
            <w:pPr>
              <w:jc w:val="center"/>
              <w:ind w:left="677"/>
              <w:spacing w:after="0"/>
              <w:rPr>
                <w:sz w:val="20"/>
                <w:szCs w:val="20"/>
                <w:color w:val="auto"/>
              </w:rPr>
            </w:pPr>
            <w:r>
              <w:rPr>
                <w:rFonts w:ascii="Arial" w:cs="Arial" w:eastAsia="Arial" w:hAnsi="Arial"/>
                <w:sz w:val="13"/>
                <w:szCs w:val="13"/>
                <w:color w:val="auto"/>
                <w:w w:val="89"/>
              </w:rPr>
              <w:t>$100</w:t>
            </w:r>
          </w:p>
        </w:tc>
        <w:tc>
          <w:tcPr>
            <w:tcW w:w="1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$77.90</w:t>
            </w: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$100.25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3"/>
                <w:szCs w:val="13"/>
                <w:color w:val="auto"/>
                <w:w w:val="85"/>
              </w:rPr>
              <w:t>$111.15</w:t>
            </w:r>
          </w:p>
        </w:tc>
        <w:tc>
          <w:tcPr>
            <w:tcW w:w="6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3"/>
                <w:szCs w:val="13"/>
                <w:color w:val="auto"/>
                <w:w w:val="93"/>
              </w:rPr>
              <w:t>$116.61</w:t>
            </w:r>
          </w:p>
        </w:tc>
        <w:tc>
          <w:tcPr>
            <w:tcW w:w="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$135.03</w:t>
            </w:r>
          </w:p>
        </w:tc>
        <w:tc>
          <w:tcPr>
            <w:tcW w:w="1580" w:type="dxa"/>
            <w:vAlign w:val="bottom"/>
          </w:tcPr>
          <w:p>
            <w:pPr>
              <w:spacing w:after="0"/>
              <w:rPr>
                <w:sz w:val="14"/>
                <w:szCs w:val="14"/>
                <w:color w:val="auto"/>
              </w:rPr>
            </w:pPr>
          </w:p>
        </w:tc>
      </w:tr>
      <w:tr>
        <w:trPr>
          <w:trHeight w:val="171"/>
        </w:trPr>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Peer Group</w:t>
            </w:r>
          </w:p>
        </w:tc>
        <w:tc>
          <w:tcPr>
            <w:tcW w:w="1040" w:type="dxa"/>
            <w:vAlign w:val="bottom"/>
            <w:gridSpan w:val="3"/>
            <w:shd w:val="clear" w:color="auto" w:fill="CCEEFF"/>
          </w:tcPr>
          <w:p>
            <w:pPr>
              <w:jc w:val="center"/>
              <w:ind w:left="677"/>
              <w:spacing w:after="0"/>
              <w:rPr>
                <w:sz w:val="20"/>
                <w:szCs w:val="20"/>
                <w:color w:val="auto"/>
              </w:rPr>
            </w:pPr>
            <w:r>
              <w:rPr>
                <w:rFonts w:ascii="Arial" w:cs="Arial" w:eastAsia="Arial" w:hAnsi="Arial"/>
                <w:sz w:val="13"/>
                <w:szCs w:val="13"/>
                <w:color w:val="auto"/>
                <w:w w:val="89"/>
              </w:rPr>
              <w:t>$100</w:t>
            </w:r>
          </w:p>
        </w:tc>
        <w:tc>
          <w:tcPr>
            <w:tcW w:w="1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$97.28</w:t>
            </w:r>
          </w:p>
        </w:tc>
        <w:tc>
          <w:tcPr>
            <w:tcW w:w="820" w:type="dxa"/>
            <w:vAlign w:val="bottom"/>
            <w:gridSpan w:val="5"/>
            <w:shd w:val="clear" w:color="auto" w:fill="CCEEFF"/>
          </w:tcPr>
          <w:p>
            <w:pPr>
              <w:jc w:val="right"/>
              <w:ind w:right="127"/>
              <w:spacing w:after="0"/>
              <w:rPr>
                <w:sz w:val="20"/>
                <w:szCs w:val="20"/>
                <w:color w:val="auto"/>
              </w:rPr>
            </w:pPr>
            <w:r>
              <w:rPr>
                <w:rFonts w:ascii="Arial" w:cs="Arial" w:eastAsia="Arial" w:hAnsi="Arial"/>
                <w:sz w:val="13"/>
                <w:szCs w:val="13"/>
                <w:color w:val="auto"/>
              </w:rPr>
              <w:t>$112.78</w:t>
            </w:r>
          </w:p>
        </w:tc>
        <w:tc>
          <w:tcPr>
            <w:tcW w:w="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85"/>
              </w:rPr>
              <w:t>$122.60</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$128.03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$151.46</w:t>
            </w:r>
          </w:p>
        </w:tc>
        <w:tc>
          <w:tcPr>
            <w:tcW w:w="1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-2962910</wp:posOffset>
            </wp:positionV>
            <wp:extent cx="4809490" cy="31457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809490" cy="3145790"/>
                    </a:xfrm>
                    <a:prstGeom prst="rect">
                      <a:avLst/>
                    </a:prstGeom>
                    <a:noFill/>
                  </pic:spPr>
                </pic:pic>
              </a:graphicData>
            </a:graphic>
          </wp:anchor>
        </w:drawing>
      </w:r>
    </w:p>
    <w:p>
      <w:pPr>
        <w:spacing w:after="0" w:line="260"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1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Peer Group Companies</w:t>
            </w:r>
          </w:p>
        </w:tc>
        <w:tc>
          <w:tcPr>
            <w:tcW w:w="200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1"/>
        </w:trPr>
        <w:tc>
          <w:tcPr>
            <w:tcW w:w="1680" w:type="dxa"/>
            <w:vAlign w:val="bottom"/>
          </w:tcPr>
          <w:p>
            <w:pPr>
              <w:spacing w:after="0" w:line="132" w:lineRule="exact"/>
              <w:rPr>
                <w:sz w:val="20"/>
                <w:szCs w:val="20"/>
                <w:color w:val="auto"/>
              </w:rPr>
            </w:pPr>
            <w:r>
              <w:rPr>
                <w:rFonts w:ascii="Arial" w:cs="Arial" w:eastAsia="Arial" w:hAnsi="Arial"/>
                <w:sz w:val="12"/>
                <w:szCs w:val="12"/>
                <w:color w:val="auto"/>
              </w:rPr>
              <w:t>Alberto-Culver Co.</w:t>
            </w:r>
          </w:p>
        </w:tc>
        <w:tc>
          <w:tcPr>
            <w:tcW w:w="2000" w:type="dxa"/>
            <w:vAlign w:val="bottom"/>
          </w:tcPr>
          <w:p>
            <w:pPr>
              <w:ind w:left="120"/>
              <w:spacing w:after="0" w:line="132" w:lineRule="exact"/>
              <w:rPr>
                <w:sz w:val="20"/>
                <w:szCs w:val="20"/>
                <w:color w:val="auto"/>
              </w:rPr>
            </w:pPr>
            <w:r>
              <w:rPr>
                <w:rFonts w:ascii="Arial" w:cs="Arial" w:eastAsia="Arial" w:hAnsi="Arial"/>
                <w:sz w:val="12"/>
                <w:szCs w:val="12"/>
                <w:color w:val="auto"/>
              </w:rPr>
              <w:t>H.J. Heinz Co.</w:t>
            </w:r>
          </w:p>
        </w:tc>
        <w:tc>
          <w:tcPr>
            <w:tcW w:w="1640" w:type="dxa"/>
            <w:vAlign w:val="bottom"/>
          </w:tcPr>
          <w:p>
            <w:pPr>
              <w:ind w:left="280"/>
              <w:spacing w:after="0" w:line="132" w:lineRule="exact"/>
              <w:rPr>
                <w:sz w:val="20"/>
                <w:szCs w:val="20"/>
                <w:color w:val="auto"/>
              </w:rPr>
            </w:pPr>
            <w:r>
              <w:rPr>
                <w:rFonts w:ascii="Arial" w:cs="Arial" w:eastAsia="Arial" w:hAnsi="Arial"/>
                <w:sz w:val="12"/>
                <w:szCs w:val="12"/>
                <w:color w:val="auto"/>
              </w:rPr>
              <w:t>Procter &amp; Gamble Co.</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Avon Products</w:t>
            </w:r>
          </w:p>
        </w:tc>
        <w:tc>
          <w:tcPr>
            <w:tcW w:w="2000" w:type="dxa"/>
            <w:vAlign w:val="bottom"/>
          </w:tcPr>
          <w:p>
            <w:pPr>
              <w:ind w:left="120"/>
              <w:spacing w:after="0"/>
              <w:rPr>
                <w:sz w:val="20"/>
                <w:szCs w:val="20"/>
                <w:color w:val="auto"/>
              </w:rPr>
            </w:pPr>
            <w:r>
              <w:rPr>
                <w:rFonts w:ascii="Arial" w:cs="Arial" w:eastAsia="Arial" w:hAnsi="Arial"/>
                <w:sz w:val="12"/>
                <w:szCs w:val="12"/>
                <w:color w:val="auto"/>
              </w:rPr>
              <w:t>Hershey Co.</w:t>
            </w:r>
          </w:p>
        </w:tc>
        <w:tc>
          <w:tcPr>
            <w:tcW w:w="1640" w:type="dxa"/>
            <w:vAlign w:val="bottom"/>
          </w:tcPr>
          <w:p>
            <w:pPr>
              <w:ind w:left="280"/>
              <w:spacing w:after="0"/>
              <w:rPr>
                <w:sz w:val="20"/>
                <w:szCs w:val="20"/>
                <w:color w:val="auto"/>
              </w:rPr>
            </w:pPr>
            <w:r>
              <w:rPr>
                <w:rFonts w:ascii="Arial" w:cs="Arial" w:eastAsia="Arial" w:hAnsi="Arial"/>
                <w:sz w:val="12"/>
                <w:szCs w:val="12"/>
                <w:color w:val="auto"/>
              </w:rPr>
              <w:t>Revlon Inc.</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Campbell Soup Co.</w:t>
            </w:r>
          </w:p>
        </w:tc>
        <w:tc>
          <w:tcPr>
            <w:tcW w:w="2000" w:type="dxa"/>
            <w:vAlign w:val="bottom"/>
          </w:tcPr>
          <w:p>
            <w:pPr>
              <w:ind w:left="120"/>
              <w:spacing w:after="0"/>
              <w:rPr>
                <w:sz w:val="20"/>
                <w:szCs w:val="20"/>
                <w:color w:val="auto"/>
              </w:rPr>
            </w:pPr>
            <w:r>
              <w:rPr>
                <w:rFonts w:ascii="Arial" w:cs="Arial" w:eastAsia="Arial" w:hAnsi="Arial"/>
                <w:sz w:val="12"/>
                <w:szCs w:val="12"/>
                <w:color w:val="auto"/>
              </w:rPr>
              <w:t>Hormel Foods Corp.</w:t>
            </w:r>
          </w:p>
        </w:tc>
        <w:tc>
          <w:tcPr>
            <w:tcW w:w="1640" w:type="dxa"/>
            <w:vAlign w:val="bottom"/>
          </w:tcPr>
          <w:p>
            <w:pPr>
              <w:ind w:left="280"/>
              <w:spacing w:after="0"/>
              <w:rPr>
                <w:sz w:val="20"/>
                <w:szCs w:val="20"/>
                <w:color w:val="auto"/>
              </w:rPr>
            </w:pPr>
            <w:r>
              <w:rPr>
                <w:rFonts w:ascii="Arial" w:cs="Arial" w:eastAsia="Arial" w:hAnsi="Arial"/>
                <w:sz w:val="12"/>
                <w:szCs w:val="12"/>
                <w:color w:val="auto"/>
              </w:rPr>
              <w:t>Sara Lee Corp.</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Church &amp; Dwight Inc.</w:t>
            </w:r>
          </w:p>
        </w:tc>
        <w:tc>
          <w:tcPr>
            <w:tcW w:w="2000" w:type="dxa"/>
            <w:vAlign w:val="bottom"/>
          </w:tcPr>
          <w:p>
            <w:pPr>
              <w:ind w:left="120"/>
              <w:spacing w:after="0"/>
              <w:rPr>
                <w:sz w:val="20"/>
                <w:szCs w:val="20"/>
                <w:color w:val="auto"/>
              </w:rPr>
            </w:pPr>
            <w:r>
              <w:rPr>
                <w:rFonts w:ascii="Arial" w:cs="Arial" w:eastAsia="Arial" w:hAnsi="Arial"/>
                <w:sz w:val="12"/>
                <w:szCs w:val="12"/>
                <w:color w:val="auto"/>
              </w:rPr>
              <w:t>Kellogg Co.</w:t>
            </w:r>
          </w:p>
        </w:tc>
        <w:tc>
          <w:tcPr>
            <w:tcW w:w="1640" w:type="dxa"/>
            <w:vAlign w:val="bottom"/>
          </w:tcPr>
          <w:p>
            <w:pPr>
              <w:ind w:left="280"/>
              <w:spacing w:after="0"/>
              <w:rPr>
                <w:sz w:val="20"/>
                <w:szCs w:val="20"/>
                <w:color w:val="auto"/>
              </w:rPr>
            </w:pPr>
            <w:r>
              <w:rPr>
                <w:rFonts w:ascii="Arial" w:cs="Arial" w:eastAsia="Arial" w:hAnsi="Arial"/>
                <w:sz w:val="12"/>
                <w:szCs w:val="12"/>
                <w:color w:val="auto"/>
                <w:w w:val="86"/>
              </w:rPr>
              <w:t>Sensient Technologies Corp.</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Clorox Co.</w:t>
            </w:r>
          </w:p>
        </w:tc>
        <w:tc>
          <w:tcPr>
            <w:tcW w:w="2000" w:type="dxa"/>
            <w:vAlign w:val="bottom"/>
          </w:tcPr>
          <w:p>
            <w:pPr>
              <w:ind w:left="120"/>
              <w:spacing w:after="0"/>
              <w:rPr>
                <w:sz w:val="20"/>
                <w:szCs w:val="20"/>
                <w:color w:val="auto"/>
              </w:rPr>
            </w:pPr>
            <w:r>
              <w:rPr>
                <w:rFonts w:ascii="Arial" w:cs="Arial" w:eastAsia="Arial" w:hAnsi="Arial"/>
                <w:sz w:val="12"/>
                <w:szCs w:val="12"/>
                <w:color w:val="auto"/>
              </w:rPr>
              <w:t>The Estée Lauder Companies Inc.</w:t>
            </w:r>
          </w:p>
        </w:tc>
        <w:tc>
          <w:tcPr>
            <w:tcW w:w="1640" w:type="dxa"/>
            <w:vAlign w:val="bottom"/>
          </w:tcPr>
          <w:p>
            <w:pPr>
              <w:ind w:left="280"/>
              <w:spacing w:after="0"/>
              <w:rPr>
                <w:sz w:val="20"/>
                <w:szCs w:val="20"/>
                <w:color w:val="auto"/>
              </w:rPr>
            </w:pPr>
            <w:r>
              <w:rPr>
                <w:rFonts w:ascii="Arial" w:cs="Arial" w:eastAsia="Arial" w:hAnsi="Arial"/>
                <w:sz w:val="12"/>
                <w:szCs w:val="12"/>
                <w:color w:val="auto"/>
              </w:rPr>
              <w:t>Unilever NV</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Coca-Cola Co.</w:t>
            </w:r>
          </w:p>
        </w:tc>
        <w:tc>
          <w:tcPr>
            <w:tcW w:w="2000" w:type="dxa"/>
            <w:vAlign w:val="bottom"/>
          </w:tcPr>
          <w:p>
            <w:pPr>
              <w:ind w:left="120"/>
              <w:spacing w:after="0"/>
              <w:rPr>
                <w:sz w:val="20"/>
                <w:szCs w:val="20"/>
                <w:color w:val="auto"/>
              </w:rPr>
            </w:pPr>
            <w:r>
              <w:rPr>
                <w:rFonts w:ascii="Arial" w:cs="Arial" w:eastAsia="Arial" w:hAnsi="Arial"/>
                <w:sz w:val="12"/>
                <w:szCs w:val="12"/>
                <w:color w:val="auto"/>
              </w:rPr>
              <w:t>McCormick &amp; Company Inc.</w:t>
            </w:r>
          </w:p>
        </w:tc>
        <w:tc>
          <w:tcPr>
            <w:tcW w:w="1640" w:type="dxa"/>
            <w:vAlign w:val="bottom"/>
          </w:tcPr>
          <w:p>
            <w:pPr>
              <w:ind w:left="280"/>
              <w:spacing w:after="0"/>
              <w:rPr>
                <w:sz w:val="20"/>
                <w:szCs w:val="20"/>
                <w:color w:val="auto"/>
              </w:rPr>
            </w:pPr>
            <w:r>
              <w:rPr>
                <w:rFonts w:ascii="Arial" w:cs="Arial" w:eastAsia="Arial" w:hAnsi="Arial"/>
                <w:sz w:val="12"/>
                <w:szCs w:val="12"/>
                <w:color w:val="auto"/>
              </w:rPr>
              <w:t>WM. Wrigley Jr Co.</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Colgate-Palmolive Company</w:t>
            </w:r>
          </w:p>
        </w:tc>
        <w:tc>
          <w:tcPr>
            <w:tcW w:w="2000" w:type="dxa"/>
            <w:vAlign w:val="bottom"/>
          </w:tcPr>
          <w:p>
            <w:pPr>
              <w:ind w:left="120"/>
              <w:spacing w:after="0"/>
              <w:rPr>
                <w:sz w:val="20"/>
                <w:szCs w:val="20"/>
                <w:color w:val="auto"/>
              </w:rPr>
            </w:pPr>
            <w:r>
              <w:rPr>
                <w:rFonts w:ascii="Arial" w:cs="Arial" w:eastAsia="Arial" w:hAnsi="Arial"/>
                <w:sz w:val="12"/>
                <w:szCs w:val="12"/>
                <w:color w:val="auto"/>
              </w:rPr>
              <w:t>McDonald’s Corp</w:t>
            </w:r>
          </w:p>
        </w:tc>
        <w:tc>
          <w:tcPr>
            <w:tcW w:w="1640" w:type="dxa"/>
            <w:vAlign w:val="bottom"/>
          </w:tcPr>
          <w:p>
            <w:pPr>
              <w:ind w:left="280"/>
              <w:spacing w:after="0"/>
              <w:rPr>
                <w:sz w:val="20"/>
                <w:szCs w:val="20"/>
                <w:color w:val="auto"/>
              </w:rPr>
            </w:pPr>
            <w:r>
              <w:rPr>
                <w:rFonts w:ascii="Arial" w:cs="Arial" w:eastAsia="Arial" w:hAnsi="Arial"/>
                <w:sz w:val="12"/>
                <w:szCs w:val="12"/>
                <w:color w:val="auto"/>
              </w:rPr>
              <w:t>Yum! Brands Inc.</w:t>
            </w:r>
          </w:p>
        </w:tc>
      </w:tr>
      <w:tr>
        <w:trPr>
          <w:trHeight w:val="148"/>
        </w:trPr>
        <w:tc>
          <w:tcPr>
            <w:tcW w:w="1680" w:type="dxa"/>
            <w:vAlign w:val="bottom"/>
          </w:tcPr>
          <w:p>
            <w:pPr>
              <w:spacing w:after="0"/>
              <w:rPr>
                <w:sz w:val="20"/>
                <w:szCs w:val="20"/>
                <w:color w:val="auto"/>
              </w:rPr>
            </w:pPr>
            <w:r>
              <w:rPr>
                <w:rFonts w:ascii="Arial" w:cs="Arial" w:eastAsia="Arial" w:hAnsi="Arial"/>
                <w:sz w:val="12"/>
                <w:szCs w:val="12"/>
                <w:color w:val="auto"/>
              </w:rPr>
              <w:t>Conagra Foods Inc.</w:t>
            </w:r>
          </w:p>
        </w:tc>
        <w:tc>
          <w:tcPr>
            <w:tcW w:w="2000" w:type="dxa"/>
            <w:vAlign w:val="bottom"/>
          </w:tcPr>
          <w:p>
            <w:pPr>
              <w:ind w:left="120"/>
              <w:spacing w:after="0"/>
              <w:rPr>
                <w:sz w:val="20"/>
                <w:szCs w:val="20"/>
                <w:color w:val="auto"/>
              </w:rPr>
            </w:pPr>
            <w:r>
              <w:rPr>
                <w:rFonts w:ascii="Arial" w:cs="Arial" w:eastAsia="Arial" w:hAnsi="Arial"/>
                <w:sz w:val="12"/>
                <w:szCs w:val="12"/>
                <w:color w:val="auto"/>
              </w:rPr>
              <w:t>Nestle SA-ADR</w:t>
            </w:r>
          </w:p>
        </w:tc>
        <w:tc>
          <w:tcPr>
            <w:tcW w:w="1640" w:type="dxa"/>
            <w:vAlign w:val="bottom"/>
          </w:tcPr>
          <w:p>
            <w:pPr>
              <w:spacing w:after="0"/>
              <w:rPr>
                <w:sz w:val="12"/>
                <w:szCs w:val="12"/>
                <w:color w:val="auto"/>
              </w:rPr>
            </w:pPr>
          </w:p>
        </w:tc>
      </w:tr>
      <w:tr>
        <w:trPr>
          <w:trHeight w:val="150"/>
        </w:trPr>
        <w:tc>
          <w:tcPr>
            <w:tcW w:w="1680" w:type="dxa"/>
            <w:vAlign w:val="bottom"/>
          </w:tcPr>
          <w:p>
            <w:pPr>
              <w:spacing w:after="0"/>
              <w:rPr>
                <w:sz w:val="20"/>
                <w:szCs w:val="20"/>
                <w:color w:val="auto"/>
              </w:rPr>
            </w:pPr>
            <w:r>
              <w:rPr>
                <w:rFonts w:ascii="Arial" w:cs="Arial" w:eastAsia="Arial" w:hAnsi="Arial"/>
                <w:sz w:val="12"/>
                <w:szCs w:val="12"/>
                <w:color w:val="auto"/>
              </w:rPr>
              <w:t>General Mills Inc.</w:t>
            </w:r>
          </w:p>
        </w:tc>
        <w:tc>
          <w:tcPr>
            <w:tcW w:w="2000" w:type="dxa"/>
            <w:vAlign w:val="bottom"/>
          </w:tcPr>
          <w:p>
            <w:pPr>
              <w:ind w:left="120"/>
              <w:spacing w:after="0"/>
              <w:rPr>
                <w:sz w:val="20"/>
                <w:szCs w:val="20"/>
                <w:color w:val="auto"/>
              </w:rPr>
            </w:pPr>
            <w:r>
              <w:rPr>
                <w:rFonts w:ascii="Arial" w:cs="Arial" w:eastAsia="Arial" w:hAnsi="Arial"/>
                <w:sz w:val="12"/>
                <w:szCs w:val="12"/>
                <w:color w:val="auto"/>
              </w:rPr>
              <w:t>PepsiCo Inc.</w:t>
            </w:r>
          </w:p>
        </w:tc>
        <w:tc>
          <w:tcPr>
            <w:tcW w:w="16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-893445</wp:posOffset>
            </wp:positionV>
            <wp:extent cx="635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-893445</wp:posOffset>
            </wp:positionV>
            <wp:extent cx="635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-893445</wp:posOffset>
            </wp:positionV>
            <wp:extent cx="635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-893445</wp:posOffset>
            </wp:positionV>
            <wp:extent cx="635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-805815</wp:posOffset>
            </wp:positionV>
            <wp:extent cx="635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-805815</wp:posOffset>
            </wp:positionV>
            <wp:extent cx="635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-805815</wp:posOffset>
            </wp:positionV>
            <wp:extent cx="635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-805815</wp:posOffset>
            </wp:positionV>
            <wp:extent cx="635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-711835</wp:posOffset>
            </wp:positionV>
            <wp:extent cx="635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-711835</wp:posOffset>
            </wp:positionV>
            <wp:extent cx="635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-711835</wp:posOffset>
            </wp:positionV>
            <wp:extent cx="635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-711835</wp:posOffset>
            </wp:positionV>
            <wp:extent cx="635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-617220</wp:posOffset>
            </wp:positionV>
            <wp:extent cx="635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-617220</wp:posOffset>
            </wp:positionV>
            <wp:extent cx="635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-617220</wp:posOffset>
            </wp:positionV>
            <wp:extent cx="635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-617220</wp:posOffset>
            </wp:positionV>
            <wp:extent cx="635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-523240</wp:posOffset>
            </wp:positionV>
            <wp:extent cx="635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-523240</wp:posOffset>
            </wp:positionV>
            <wp:extent cx="635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-523240</wp:posOffset>
            </wp:positionV>
            <wp:extent cx="635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-523240</wp:posOffset>
            </wp:positionV>
            <wp:extent cx="635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-429260</wp:posOffset>
            </wp:positionV>
            <wp:extent cx="635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-429260</wp:posOffset>
            </wp:positionV>
            <wp:extent cx="635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-429260</wp:posOffset>
            </wp:positionV>
            <wp:extent cx="635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-429260</wp:posOffset>
            </wp:positionV>
            <wp:extent cx="635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-334645</wp:posOffset>
            </wp:positionV>
            <wp:extent cx="635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-334645</wp:posOffset>
            </wp:positionV>
            <wp:extent cx="635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-334645</wp:posOffset>
            </wp:positionV>
            <wp:extent cx="635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-334645</wp:posOffset>
            </wp:positionV>
            <wp:extent cx="635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-240665</wp:posOffset>
            </wp:positionV>
            <wp:extent cx="635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-240665</wp:posOffset>
            </wp:positionV>
            <wp:extent cx="635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-240665</wp:posOffset>
            </wp:positionV>
            <wp:extent cx="635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-240665</wp:posOffset>
            </wp:positionV>
            <wp:extent cx="635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-146685</wp:posOffset>
            </wp:positionV>
            <wp:extent cx="635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-146685</wp:posOffset>
            </wp:positionV>
            <wp:extent cx="635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-146685</wp:posOffset>
            </wp:positionV>
            <wp:extent cx="635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-146685</wp:posOffset>
            </wp:positionV>
            <wp:extent cx="635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wp:posOffset>
            </wp:positionV>
            <wp:extent cx="3654425" cy="24110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54425" cy="2411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7952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1" w:right="4459" w:hanging="261"/>
        <w:spacing w:after="0" w:line="374" w:lineRule="auto"/>
        <w:tabs>
          <w:tab w:leader="none" w:pos="261"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Cumulative Shareholder Return assumes that the value of an investment in the Company’s Common Stock and each index was $100 on December 31, 2001, and that all dividends were reinvested.</w:t>
      </w:r>
    </w:p>
    <w:p>
      <w:pPr>
        <w:spacing w:after="0" w:line="90" w:lineRule="exact"/>
        <w:rPr>
          <w:rFonts w:ascii="Arial" w:cs="Arial" w:eastAsia="Arial" w:hAnsi="Arial"/>
          <w:sz w:val="11"/>
          <w:szCs w:val="11"/>
          <w:color w:val="auto"/>
        </w:rPr>
      </w:pPr>
    </w:p>
    <w:p>
      <w:pPr>
        <w:ind w:left="261" w:right="4459" w:hanging="261"/>
        <w:spacing w:after="0" w:line="291" w:lineRule="auto"/>
        <w:tabs>
          <w:tab w:leader="none" w:pos="261" w:val="left"/>
        </w:tabs>
        <w:numPr>
          <w:ilvl w:val="0"/>
          <w:numId w:val="3"/>
        </w:numPr>
        <w:rPr>
          <w:rFonts w:ascii="Arial" w:cs="Arial" w:eastAsia="Arial" w:hAnsi="Arial"/>
          <w:sz w:val="12"/>
          <w:szCs w:val="12"/>
          <w:color w:val="auto"/>
        </w:rPr>
      </w:pPr>
      <w:r>
        <w:rPr>
          <w:rFonts w:ascii="Arial" w:cs="Arial" w:eastAsia="Arial" w:hAnsi="Arial"/>
          <w:sz w:val="12"/>
          <w:szCs w:val="12"/>
          <w:color w:val="auto"/>
        </w:rPr>
        <w:t>Due to the international scope and breadth of its business, the Company believes that a Peer Group comprised of international public companies which are representative of the customer group to which it sells its products, with market capitalizations ranging from approximately $589 million to approximately $205 billion, is the most appropriate group against which to compare shareholder returns.</w:t>
      </w:r>
    </w:p>
    <w:p>
      <w:pPr>
        <w:spacing w:after="0" w:line="121" w:lineRule="exact"/>
        <w:rPr>
          <w:rFonts w:ascii="Arial" w:cs="Arial" w:eastAsia="Arial" w:hAnsi="Arial"/>
          <w:sz w:val="12"/>
          <w:szCs w:val="12"/>
          <w:color w:val="auto"/>
        </w:rPr>
      </w:pPr>
    </w:p>
    <w:p>
      <w:pPr>
        <w:ind w:left="541" w:hanging="277"/>
        <w:spacing w:after="0"/>
        <w:tabs>
          <w:tab w:leader="none" w:pos="541" w:val="left"/>
        </w:tabs>
        <w:numPr>
          <w:ilvl w:val="1"/>
          <w:numId w:val="3"/>
        </w:numPr>
        <w:rPr>
          <w:rFonts w:ascii="Arial" w:cs="Arial" w:eastAsia="Arial" w:hAnsi="Arial"/>
          <w:sz w:val="13"/>
          <w:szCs w:val="13"/>
          <w:color w:val="auto"/>
        </w:rPr>
      </w:pPr>
      <w:r>
        <w:rPr>
          <w:rFonts w:ascii="Arial" w:cs="Arial" w:eastAsia="Arial" w:hAnsi="Arial"/>
          <w:sz w:val="13"/>
          <w:szCs w:val="13"/>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377952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7795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7380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07" w:lineRule="exact"/>
        <w:rPr>
          <w:sz w:val="20"/>
          <w:szCs w:val="20"/>
          <w:color w:val="auto"/>
        </w:rPr>
      </w:pPr>
    </w:p>
    <w:tbl>
      <w:tblPr>
        <w:tblLayout w:type="fixed"/>
        <w:tblInd w:w="1" w:type="dxa"/>
        <w:tblCellMar>
          <w:top w:w="0" w:type="dxa"/>
          <w:left w:w="0" w:type="dxa"/>
          <w:bottom w:w="0" w:type="dxa"/>
          <w:right w:w="0" w:type="dxa"/>
        </w:tblCellMar>
      </w:tblPr>
      <w:tr>
        <w:trPr>
          <w:trHeight w:val="129"/>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Maximum Dollar</w:t>
            </w:r>
          </w:p>
        </w:tc>
      </w:tr>
      <w:tr>
        <w:trPr>
          <w:trHeight w:val="129"/>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6"/>
              </w:rPr>
              <w:t>Total Number of Shares</w:t>
            </w:r>
          </w:p>
        </w:tc>
        <w:tc>
          <w:tcPr>
            <w:tcW w:w="18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4"/>
              </w:rPr>
              <w:t>Value of Shares</w:t>
            </w:r>
          </w:p>
        </w:tc>
      </w:tr>
      <w:tr>
        <w:trPr>
          <w:trHeight w:val="129"/>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7"/>
              </w:rPr>
              <w:t>Total Number</w:t>
            </w: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4"/>
              </w:rPr>
              <w:t>Average Price</w:t>
            </w: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4"/>
              </w:rPr>
              <w:t>Purchased as Part of</w:t>
            </w:r>
          </w:p>
        </w:tc>
        <w:tc>
          <w:tcPr>
            <w:tcW w:w="18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that may yet be</w:t>
            </w:r>
          </w:p>
        </w:tc>
      </w:tr>
      <w:tr>
        <w:trPr>
          <w:trHeight w:val="129"/>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3"/>
              </w:rPr>
              <w:t>of Shares</w:t>
            </w: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7"/>
              </w:rPr>
              <w:t>Paid per</w:t>
            </w: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5"/>
              </w:rPr>
              <w:t>Publicly Announced</w:t>
            </w:r>
          </w:p>
        </w:tc>
        <w:tc>
          <w:tcPr>
            <w:tcW w:w="18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Purchased under the</w:t>
            </w:r>
          </w:p>
        </w:tc>
      </w:tr>
      <w:tr>
        <w:trPr>
          <w:trHeight w:val="136"/>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Purchased</w:t>
            </w:r>
            <w:r>
              <w:rPr>
                <w:rFonts w:ascii="Arial" w:cs="Arial" w:eastAsia="Arial" w:hAnsi="Arial"/>
                <w:sz w:val="8"/>
                <w:szCs w:val="8"/>
                <w:b w:val="1"/>
                <w:bCs w:val="1"/>
                <w:color w:val="auto"/>
                <w:w w:val="87"/>
              </w:rPr>
              <w:t>(1)</w:t>
            </w:r>
          </w:p>
        </w:tc>
        <w:tc>
          <w:tcPr>
            <w:tcW w:w="18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w:t>
            </w:r>
          </w:p>
        </w:tc>
        <w:tc>
          <w:tcPr>
            <w:tcW w:w="16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Programs</w:t>
            </w:r>
            <w:r>
              <w:rPr>
                <w:rFonts w:ascii="Arial" w:cs="Arial" w:eastAsia="Arial" w:hAnsi="Arial"/>
                <w:sz w:val="8"/>
                <w:szCs w:val="8"/>
                <w:b w:val="1"/>
                <w:bCs w:val="1"/>
                <w:color w:val="auto"/>
                <w:w w:val="90"/>
              </w:rPr>
              <w:t>(2)(3)</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93"/>
              </w:rPr>
              <w:t>Programs</w:t>
            </w:r>
            <w:r>
              <w:rPr>
                <w:rFonts w:ascii="Arial" w:cs="Arial" w:eastAsia="Arial" w:hAnsi="Arial"/>
                <w:sz w:val="8"/>
                <w:szCs w:val="8"/>
                <w:b w:val="1"/>
                <w:bCs w:val="1"/>
                <w:color w:val="auto"/>
                <w:w w:val="93"/>
              </w:rPr>
              <w:t>(2)(3)</w:t>
            </w:r>
          </w:p>
        </w:tc>
      </w:tr>
      <w:tr>
        <w:trPr>
          <w:trHeight w:val="158"/>
        </w:trPr>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October 1</w:t>
            </w:r>
          </w:p>
        </w:tc>
        <w:tc>
          <w:tcPr>
            <w:tcW w:w="1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 31, 2006</w:t>
            </w:r>
          </w:p>
        </w:tc>
        <w:tc>
          <w:tcPr>
            <w:tcW w:w="660" w:type="dxa"/>
            <w:vAlign w:val="bottom"/>
            <w:shd w:val="clear" w:color="auto" w:fill="CCEEFF"/>
          </w:tcPr>
          <w:p>
            <w:pPr>
              <w:jc w:val="right"/>
              <w:ind w:right="1"/>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04"/>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45"/>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line="149" w:lineRule="exact"/>
              <w:rPr>
                <w:sz w:val="20"/>
                <w:szCs w:val="20"/>
                <w:color w:val="auto"/>
              </w:rPr>
            </w:pPr>
            <w:r>
              <w:rPr>
                <w:rFonts w:ascii="Arial" w:cs="Arial" w:eastAsia="Arial" w:hAnsi="Arial"/>
                <w:sz w:val="13"/>
                <w:szCs w:val="13"/>
                <w:color w:val="auto"/>
                <w:w w:val="96"/>
              </w:rPr>
              <w:t>315,002,000</w:t>
            </w:r>
          </w:p>
        </w:tc>
      </w:tr>
      <w:tr>
        <w:trPr>
          <w:trHeight w:val="167"/>
        </w:trPr>
        <w:tc>
          <w:tcPr>
            <w:tcW w:w="680" w:type="dxa"/>
            <w:vAlign w:val="bottom"/>
          </w:tcPr>
          <w:p>
            <w:pPr>
              <w:jc w:val="right"/>
              <w:spacing w:after="0"/>
              <w:rPr>
                <w:sz w:val="20"/>
                <w:szCs w:val="20"/>
                <w:color w:val="auto"/>
              </w:rPr>
            </w:pPr>
            <w:r>
              <w:rPr>
                <w:rFonts w:ascii="Arial" w:cs="Arial" w:eastAsia="Arial" w:hAnsi="Arial"/>
                <w:sz w:val="13"/>
                <w:szCs w:val="13"/>
                <w:color w:val="auto"/>
                <w:highlight w:val="white"/>
                <w:w w:val="90"/>
              </w:rPr>
              <w:t>November 1</w:t>
            </w:r>
          </w:p>
        </w:tc>
        <w:tc>
          <w:tcPr>
            <w:tcW w:w="1220" w:type="dxa"/>
            <w:vAlign w:val="bottom"/>
          </w:tcPr>
          <w:p>
            <w:pPr>
              <w:spacing w:after="0"/>
              <w:rPr>
                <w:sz w:val="20"/>
                <w:szCs w:val="20"/>
                <w:color w:val="auto"/>
              </w:rPr>
            </w:pPr>
            <w:r>
              <w:rPr>
                <w:rFonts w:ascii="Arial" w:cs="Arial" w:eastAsia="Arial" w:hAnsi="Arial"/>
                <w:sz w:val="13"/>
                <w:szCs w:val="13"/>
                <w:color w:val="auto"/>
                <w:highlight w:val="white"/>
              </w:rPr>
              <w:t>– 30, 2006</w:t>
            </w: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1,215,100</w:t>
            </w:r>
          </w:p>
        </w:tc>
        <w:tc>
          <w:tcPr>
            <w:tcW w:w="860" w:type="dxa"/>
            <w:vAlign w:val="bottom"/>
            <w:gridSpan w:val="2"/>
          </w:tcPr>
          <w:p>
            <w:pPr>
              <w:jc w:val="right"/>
              <w:ind w:right="104"/>
              <w:spacing w:after="0"/>
              <w:rPr>
                <w:sz w:val="20"/>
                <w:szCs w:val="20"/>
                <w:color w:val="auto"/>
              </w:rPr>
            </w:pPr>
            <w:r>
              <w:rPr>
                <w:rFonts w:ascii="Arial" w:cs="Arial" w:eastAsia="Arial" w:hAnsi="Arial"/>
                <w:sz w:val="13"/>
                <w:szCs w:val="13"/>
                <w:color w:val="auto"/>
              </w:rPr>
              <w:t>$46.45</w:t>
            </w:r>
          </w:p>
        </w:tc>
        <w:tc>
          <w:tcPr>
            <w:tcW w:w="1300" w:type="dxa"/>
            <w:vAlign w:val="bottom"/>
            <w:gridSpan w:val="2"/>
          </w:tcPr>
          <w:p>
            <w:pPr>
              <w:jc w:val="right"/>
              <w:ind w:right="245"/>
              <w:spacing w:after="0"/>
              <w:rPr>
                <w:sz w:val="20"/>
                <w:szCs w:val="20"/>
                <w:color w:val="auto"/>
              </w:rPr>
            </w:pPr>
            <w:r>
              <w:rPr>
                <w:rFonts w:ascii="Arial" w:cs="Arial" w:eastAsia="Arial" w:hAnsi="Arial"/>
                <w:sz w:val="13"/>
                <w:szCs w:val="13"/>
                <w:color w:val="auto"/>
              </w:rPr>
              <w:t>1,215,100</w:t>
            </w:r>
          </w:p>
        </w:tc>
        <w:tc>
          <w:tcPr>
            <w:tcW w:w="380" w:type="dxa"/>
            <w:vAlign w:val="bottom"/>
            <w:gridSpan w:val="2"/>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w w:val="96"/>
              </w:rPr>
              <w:t>258,558,000</w:t>
            </w:r>
          </w:p>
        </w:tc>
      </w:tr>
      <w:tr>
        <w:trPr>
          <w:trHeight w:val="169"/>
        </w:trPr>
        <w:tc>
          <w:tcPr>
            <w:tcW w:w="190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December 1 – 31, 2006</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1,099,600</w:t>
            </w:r>
          </w:p>
        </w:tc>
        <w:tc>
          <w:tcPr>
            <w:tcW w:w="860" w:type="dxa"/>
            <w:vAlign w:val="bottom"/>
            <w:gridSpan w:val="2"/>
            <w:shd w:val="clear" w:color="auto" w:fill="CCEEFF"/>
          </w:tcPr>
          <w:p>
            <w:pPr>
              <w:jc w:val="right"/>
              <w:ind w:right="104"/>
              <w:spacing w:after="0"/>
              <w:rPr>
                <w:sz w:val="20"/>
                <w:szCs w:val="20"/>
                <w:color w:val="auto"/>
              </w:rPr>
            </w:pPr>
            <w:r>
              <w:rPr>
                <w:rFonts w:ascii="Arial" w:cs="Arial" w:eastAsia="Arial" w:hAnsi="Arial"/>
                <w:sz w:val="13"/>
                <w:szCs w:val="13"/>
                <w:color w:val="auto"/>
              </w:rPr>
              <w:t>$47.59</w:t>
            </w:r>
          </w:p>
        </w:tc>
        <w:tc>
          <w:tcPr>
            <w:tcW w:w="1300" w:type="dxa"/>
            <w:vAlign w:val="bottom"/>
            <w:gridSpan w:val="2"/>
            <w:shd w:val="clear" w:color="auto" w:fill="CCEEFF"/>
          </w:tcPr>
          <w:p>
            <w:pPr>
              <w:jc w:val="right"/>
              <w:ind w:right="245"/>
              <w:spacing w:after="0"/>
              <w:rPr>
                <w:sz w:val="20"/>
                <w:szCs w:val="20"/>
                <w:color w:val="auto"/>
              </w:rPr>
            </w:pPr>
            <w:r>
              <w:rPr>
                <w:rFonts w:ascii="Arial" w:cs="Arial" w:eastAsia="Arial" w:hAnsi="Arial"/>
                <w:sz w:val="13"/>
                <w:szCs w:val="13"/>
                <w:color w:val="auto"/>
              </w:rPr>
              <w:t>1,099,600</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6"/>
              </w:rPr>
              <w:t>206,225,000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3924300" cy="7156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924300" cy="715645"/>
                    </a:xfrm>
                    <a:prstGeom prst="rect">
                      <a:avLst/>
                    </a:prstGeom>
                    <a:noFill/>
                  </pic:spPr>
                </pic:pic>
              </a:graphicData>
            </a:graphic>
          </wp:anchor>
        </w:drawing>
      </w:r>
    </w:p>
    <w:p>
      <w:pPr>
        <w:spacing w:after="0" w:line="258" w:lineRule="exact"/>
        <w:rPr>
          <w:sz w:val="20"/>
          <w:szCs w:val="20"/>
          <w:color w:val="auto"/>
        </w:rPr>
      </w:pPr>
    </w:p>
    <w:p>
      <w:pPr>
        <w:ind w:left="221" w:right="4099" w:hanging="221"/>
        <w:spacing w:after="0" w:line="266" w:lineRule="auto"/>
        <w:tabs>
          <w:tab w:leader="none" w:pos="221"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aggregate of 6,892,000 shares of common stock was repurchased during 2006; 4,904,000 and 1,988,000 shares of common stock were purchased under repurchase programs announced in May 2005 and October 2006, respectively.</w:t>
      </w:r>
    </w:p>
    <w:p>
      <w:pPr>
        <w:spacing w:after="0" w:line="26" w:lineRule="exact"/>
        <w:rPr>
          <w:rFonts w:ascii="Arial" w:cs="Arial" w:eastAsia="Arial" w:hAnsi="Arial"/>
          <w:sz w:val="13"/>
          <w:szCs w:val="13"/>
          <w:color w:val="auto"/>
        </w:rPr>
      </w:pPr>
    </w:p>
    <w:p>
      <w:pPr>
        <w:ind w:left="221" w:right="4139" w:hanging="221"/>
        <w:spacing w:after="0" w:line="279" w:lineRule="auto"/>
        <w:tabs>
          <w:tab w:leader="none" w:pos="22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May 2005, the Board of Directors approved the repurchase of up to $200 million of the Company’s common stock, which has now been completed.</w:t>
      </w:r>
    </w:p>
    <w:p>
      <w:pPr>
        <w:spacing w:after="0" w:line="18" w:lineRule="exact"/>
        <w:rPr>
          <w:rFonts w:ascii="Arial" w:cs="Arial" w:eastAsia="Arial" w:hAnsi="Arial"/>
          <w:sz w:val="13"/>
          <w:szCs w:val="13"/>
          <w:color w:val="auto"/>
        </w:rPr>
      </w:pPr>
    </w:p>
    <w:p>
      <w:pPr>
        <w:ind w:left="221" w:right="4459" w:hanging="221"/>
        <w:spacing w:after="0" w:line="279" w:lineRule="auto"/>
        <w:tabs>
          <w:tab w:leader="none" w:pos="22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October 2006, the Board of Directors approved the repurchase of up to $300 million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-453390</wp:posOffset>
            </wp:positionV>
            <wp:extent cx="392430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924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-220980</wp:posOffset>
            </wp:positionV>
            <wp:extent cx="392430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ectPr>
          <w:pgSz w:w="11900" w:h="16838" w:orient="portrait"/>
          <w:cols w:equalWidth="0" w:num="1">
            <w:col w:w="10240"/>
          </w:cols>
          <w:pgMar w:left="219" w:top="131" w:right="1440" w:bottom="16" w:gutter="0" w:footer="0" w:header="0"/>
        </w:sectPr>
      </w:pPr>
    </w:p>
    <w:p>
      <w:pPr>
        <w:spacing w:after="0" w:line="147" w:lineRule="exact"/>
        <w:rPr>
          <w:sz w:val="20"/>
          <w:szCs w:val="20"/>
          <w:color w:val="auto"/>
        </w:rPr>
      </w:pPr>
    </w:p>
    <w:p>
      <w:pPr>
        <w:ind w:left="2941"/>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250825</wp:posOffset>
            </wp:positionV>
            <wp:extent cx="4809490" cy="304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809490" cy="30480"/>
                    </a:xfrm>
                    <a:prstGeom prst="rect">
                      <a:avLst/>
                    </a:prstGeom>
                    <a:noFill/>
                  </pic:spPr>
                </pic:pic>
              </a:graphicData>
            </a:graphic>
          </wp:anchor>
        </w:drawing>
      </w:r>
    </w:p>
    <w:p>
      <w:pPr>
        <w:sectPr>
          <w:pgSz w:w="11900" w:h="16838" w:orient="portrait"/>
          <w:cols w:equalWidth="0" w:num="1">
            <w:col w:w="10240"/>
          </w:cols>
          <w:pgMar w:left="219" w:top="131" w:right="1440" w:bottom="16" w:gutter="0" w:footer="0" w:header="0"/>
          <w:type w:val="continuous"/>
        </w:sectPr>
      </w:pPr>
    </w:p>
    <w:bookmarkStart w:id="8" w:name="page9"/>
    <w:bookmarkEnd w:id="8"/>
    <w:p>
      <w:pPr>
        <w:ind w:left="1"/>
        <w:spacing w:after="0"/>
        <w:tabs>
          <w:tab w:leader="none" w:pos="64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139065</wp:posOffset>
            </wp:positionH>
            <wp:positionV relativeFrom="page">
              <wp:posOffset>201930</wp:posOffset>
            </wp:positionV>
            <wp:extent cx="377952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779520" cy="6350"/>
                    </a:xfrm>
                    <a:prstGeom prst="rect">
                      <a:avLst/>
                    </a:prstGeom>
                    <a:noFill/>
                  </pic:spPr>
                </pic:pic>
              </a:graphicData>
            </a:graphic>
          </wp:anchor>
        </w:drawing>
        <w:t>ITEM 6.</w:t>
        <w:tab/>
        <w:t>SELECTED FINANCIAL DATA.</w:t>
      </w:r>
    </w:p>
    <w:p>
      <w:pPr>
        <w:spacing w:after="0" w:line="246" w:lineRule="exact"/>
        <w:rPr>
          <w:sz w:val="20"/>
          <w:szCs w:val="20"/>
          <w:color w:val="auto"/>
        </w:rPr>
      </w:pPr>
    </w:p>
    <w:p>
      <w:pPr>
        <w:jc w:val="center"/>
        <w:ind w:right="4218"/>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20" w:lineRule="exact"/>
        <w:rPr>
          <w:sz w:val="20"/>
          <w:szCs w:val="20"/>
          <w:color w:val="auto"/>
        </w:rPr>
      </w:pPr>
    </w:p>
    <w:p>
      <w:pPr>
        <w:jc w:val="center"/>
        <w:ind w:right="4218"/>
        <w:spacing w:after="0"/>
        <w:rPr>
          <w:sz w:val="20"/>
          <w:szCs w:val="20"/>
          <w:color w:val="auto"/>
        </w:rPr>
      </w:pPr>
      <w:r>
        <w:rPr>
          <w:rFonts w:ascii="Arial" w:cs="Arial" w:eastAsia="Arial" w:hAnsi="Arial"/>
          <w:sz w:val="13"/>
          <w:szCs w:val="13"/>
          <w:b w:val="1"/>
          <w:bCs w:val="1"/>
          <w:color w:val="auto"/>
        </w:rPr>
        <w:t>QUARTERLY FINANCIAL DATA (UNAUDITED)</w:t>
      </w:r>
    </w:p>
    <w:p>
      <w:pPr>
        <w:spacing w:after="0" w:line="9" w:lineRule="exact"/>
        <w:rPr>
          <w:sz w:val="20"/>
          <w:szCs w:val="20"/>
          <w:color w:val="auto"/>
        </w:rPr>
      </w:pPr>
    </w:p>
    <w:p>
      <w:pPr>
        <w:ind w:left="1101"/>
        <w:spacing w:after="0"/>
        <w:rPr>
          <w:sz w:val="20"/>
          <w:szCs w:val="20"/>
          <w:color w:val="auto"/>
        </w:rPr>
      </w:pPr>
      <w:r>
        <w:rPr>
          <w:rFonts w:ascii="Arial" w:cs="Arial" w:eastAsia="Arial" w:hAnsi="Arial"/>
          <w:sz w:val="13"/>
          <w:szCs w:val="13"/>
          <w:b w:val="1"/>
          <w:bCs w:val="1"/>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350" cy="628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201295</wp:posOffset>
            </wp:positionV>
            <wp:extent cx="401193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011930" cy="6350"/>
                    </a:xfrm>
                    <a:prstGeom prst="rect">
                      <a:avLst/>
                    </a:prstGeom>
                    <a:noFill/>
                  </pic:spPr>
                </pic:pic>
              </a:graphicData>
            </a:graphic>
          </wp:anchor>
        </w:drawing>
      </w:r>
    </w:p>
    <w:p>
      <w:pPr>
        <w:spacing w:after="0" w:line="300"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11"/>
          </w:tcPr>
          <w:p>
            <w:pPr>
              <w:ind w:left="200"/>
              <w:spacing w:after="0"/>
              <w:rPr>
                <w:sz w:val="20"/>
                <w:szCs w:val="20"/>
                <w:color w:val="auto"/>
              </w:rPr>
            </w:pPr>
            <w:r>
              <w:rPr>
                <w:rFonts w:ascii="Arial" w:cs="Arial" w:eastAsia="Arial" w:hAnsi="Arial"/>
                <w:sz w:val="11"/>
                <w:szCs w:val="11"/>
                <w:b w:val="1"/>
                <w:bCs w:val="1"/>
                <w:color w:val="auto"/>
              </w:rPr>
              <w:t>Net Income Per Share</w:t>
            </w:r>
            <w:r>
              <w:rPr>
                <w:rFonts w:ascii="Arial" w:cs="Arial" w:eastAsia="Arial" w:hAnsi="Arial"/>
                <w:sz w:val="8"/>
                <w:szCs w:val="8"/>
                <w:b w:val="1"/>
                <w:bCs w:val="1"/>
                <w:color w:val="auto"/>
              </w:rPr>
              <w:t>(b)</w:t>
            </w:r>
          </w:p>
        </w:tc>
      </w:tr>
      <w:tr>
        <w:trPr>
          <w:trHeight w:val="118"/>
        </w:trPr>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right"/>
              <w:ind w:right="580"/>
              <w:spacing w:after="0" w:line="119" w:lineRule="exact"/>
              <w:rPr>
                <w:sz w:val="20"/>
                <w:szCs w:val="20"/>
                <w:color w:val="auto"/>
              </w:rPr>
            </w:pPr>
            <w:r>
              <w:rPr>
                <w:rFonts w:ascii="Arial" w:cs="Arial" w:eastAsia="Arial" w:hAnsi="Arial"/>
                <w:sz w:val="11"/>
                <w:szCs w:val="11"/>
                <w:b w:val="1"/>
                <w:bCs w:val="1"/>
                <w:color w:val="auto"/>
              </w:rPr>
              <w:t>Net Sales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ind w:left="220"/>
              <w:spacing w:after="0" w:line="119" w:lineRule="exact"/>
              <w:rPr>
                <w:sz w:val="20"/>
                <w:szCs w:val="20"/>
                <w:color w:val="auto"/>
              </w:rPr>
            </w:pPr>
            <w:r>
              <w:rPr>
                <w:rFonts w:ascii="Arial" w:cs="Arial" w:eastAsia="Arial" w:hAnsi="Arial"/>
                <w:sz w:val="11"/>
                <w:szCs w:val="11"/>
                <w:b w:val="1"/>
                <w:bCs w:val="1"/>
                <w:color w:val="auto"/>
              </w:rPr>
              <w:t>Gross Profit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6"/>
          </w:tcPr>
          <w:p>
            <w:pPr>
              <w:ind w:left="200"/>
              <w:spacing w:after="0" w:line="119" w:lineRule="exact"/>
              <w:rPr>
                <w:sz w:val="20"/>
                <w:szCs w:val="20"/>
                <w:color w:val="auto"/>
              </w:rPr>
            </w:pPr>
            <w:r>
              <w:rPr>
                <w:rFonts w:ascii="Arial" w:cs="Arial" w:eastAsia="Arial" w:hAnsi="Arial"/>
                <w:sz w:val="11"/>
                <w:szCs w:val="11"/>
                <w:b w:val="1"/>
                <w:bCs w:val="1"/>
                <w:color w:val="auto"/>
              </w:rPr>
              <w:t>Net Income</w:t>
            </w:r>
            <w:r>
              <w:rPr>
                <w:rFonts w:ascii="Arial" w:cs="Arial" w:eastAsia="Arial" w:hAnsi="Arial"/>
                <w:sz w:val="8"/>
                <w:szCs w:val="8"/>
                <w:b w:val="1"/>
                <w:bCs w:val="1"/>
                <w:color w:val="auto"/>
              </w:rPr>
              <w:t>(a)</w:t>
            </w:r>
          </w:p>
        </w:tc>
        <w:tc>
          <w:tcPr>
            <w:tcW w:w="780" w:type="dxa"/>
            <w:vAlign w:val="bottom"/>
            <w:tcBorders>
              <w:top w:val="single" w:sz="8" w:color="auto"/>
            </w:tcBorders>
            <w:gridSpan w:val="5"/>
          </w:tcPr>
          <w:p>
            <w:pPr>
              <w:jc w:val="right"/>
              <w:ind w:right="300"/>
              <w:spacing w:after="0" w:line="119" w:lineRule="exact"/>
              <w:rPr>
                <w:sz w:val="20"/>
                <w:szCs w:val="20"/>
                <w:color w:val="auto"/>
              </w:rPr>
            </w:pPr>
            <w:r>
              <w:rPr>
                <w:rFonts w:ascii="Arial" w:cs="Arial" w:eastAsia="Arial" w:hAnsi="Arial"/>
                <w:sz w:val="11"/>
                <w:szCs w:val="11"/>
                <w:b w:val="1"/>
                <w:bCs w:val="1"/>
                <w:color w:val="auto"/>
              </w:rPr>
              <w:t>Basic</w:t>
            </w: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4"/>
          </w:tcPr>
          <w:p>
            <w:pPr>
              <w:jc w:val="right"/>
              <w:ind w:right="134"/>
              <w:spacing w:after="0" w:line="119" w:lineRule="exact"/>
              <w:rPr>
                <w:sz w:val="20"/>
                <w:szCs w:val="20"/>
                <w:color w:val="auto"/>
              </w:rPr>
            </w:pPr>
            <w:r>
              <w:rPr>
                <w:rFonts w:ascii="Arial" w:cs="Arial" w:eastAsia="Arial" w:hAnsi="Arial"/>
                <w:sz w:val="11"/>
                <w:szCs w:val="11"/>
                <w:b w:val="1"/>
                <w:bCs w:val="1"/>
                <w:color w:val="auto"/>
              </w:rPr>
              <w:t>Diluted</w:t>
            </w:r>
          </w:p>
        </w:tc>
        <w:tc>
          <w:tcPr>
            <w:tcW w:w="20" w:type="dxa"/>
            <w:vAlign w:val="bottom"/>
          </w:tcPr>
          <w:p>
            <w:pPr>
              <w:spacing w:after="0"/>
              <w:rPr>
                <w:sz w:val="10"/>
                <w:szCs w:val="10"/>
                <w:color w:val="auto"/>
              </w:rPr>
            </w:pPr>
          </w:p>
        </w:tc>
      </w:tr>
      <w:tr>
        <w:trPr>
          <w:trHeight w:val="118"/>
        </w:trPr>
        <w:tc>
          <w:tcPr>
            <w:tcW w:w="7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Quarter</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1"/>
                <w:szCs w:val="11"/>
                <w:b w:val="1"/>
                <w:bCs w:val="1"/>
                <w:color w:val="auto"/>
              </w:rPr>
              <w:t>2006</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1"/>
                <w:szCs w:val="11"/>
                <w:b w:val="1"/>
                <w:bCs w:val="1"/>
                <w:color w:val="auto"/>
              </w:rPr>
              <w:t>2006</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36"/>
              <w:spacing w:after="0" w:line="119" w:lineRule="exact"/>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1"/>
                <w:szCs w:val="11"/>
                <w:b w:val="1"/>
                <w:bCs w:val="1"/>
                <w:color w:val="auto"/>
              </w:rPr>
              <w:t>2006</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2006</w:t>
            </w: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1"/>
              <w:spacing w:after="0" w:line="119" w:lineRule="exact"/>
              <w:rPr>
                <w:sz w:val="20"/>
                <w:szCs w:val="20"/>
                <w:color w:val="auto"/>
              </w:rPr>
            </w:pPr>
            <w:r>
              <w:rPr>
                <w:rFonts w:ascii="Arial" w:cs="Arial" w:eastAsia="Arial" w:hAnsi="Arial"/>
                <w:sz w:val="11"/>
                <w:szCs w:val="11"/>
                <w:b w:val="1"/>
                <w:bCs w:val="1"/>
                <w:color w:val="auto"/>
                <w:w w:val="97"/>
              </w:rPr>
              <w:t>2006</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w w:val="97"/>
              </w:rPr>
              <w:t>2005</w:t>
            </w:r>
          </w:p>
        </w:tc>
        <w:tc>
          <w:tcPr>
            <w:tcW w:w="20" w:type="dxa"/>
            <w:vAlign w:val="bottom"/>
          </w:tcPr>
          <w:p>
            <w:pPr>
              <w:spacing w:after="0"/>
              <w:rPr>
                <w:sz w:val="10"/>
                <w:szCs w:val="10"/>
                <w:color w:val="auto"/>
              </w:rPr>
            </w:pPr>
          </w:p>
        </w:tc>
      </w:tr>
      <w:tr>
        <w:trPr>
          <w:trHeight w:val="158"/>
        </w:trPr>
        <w:tc>
          <w:tcPr>
            <w:tcW w:w="6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First</w:t>
            </w: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511,432</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523,052</w:t>
            </w: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216,614</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7"/>
              </w:rPr>
              <w:t>214,655</w:t>
            </w: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53,690</w:t>
            </w: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52,543</w:t>
            </w:r>
          </w:p>
        </w:tc>
        <w:tc>
          <w:tcPr>
            <w:tcW w:w="8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2"/>
              </w:rPr>
              <w:t>$0.59</w:t>
            </w:r>
          </w:p>
        </w:tc>
        <w:tc>
          <w:tcPr>
            <w:tcW w:w="60" w:type="dxa"/>
            <w:vAlign w:val="bottom"/>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2"/>
              </w:rPr>
              <w:t>$0.56</w:t>
            </w:r>
          </w:p>
        </w:tc>
        <w:tc>
          <w:tcPr>
            <w:tcW w:w="80" w:type="dxa"/>
            <w:vAlign w:val="bottom"/>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2"/>
              </w:rPr>
              <w:t>$0.58</w:t>
            </w:r>
          </w:p>
        </w:tc>
        <w:tc>
          <w:tcPr>
            <w:tcW w:w="80" w:type="dxa"/>
            <w:vAlign w:val="bottom"/>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2"/>
              </w:rPr>
              <w:t>$0.55</w:t>
            </w:r>
          </w:p>
        </w:tc>
        <w:tc>
          <w:tcPr>
            <w:tcW w:w="20" w:type="dxa"/>
            <w:vAlign w:val="bottom"/>
          </w:tcPr>
          <w:p>
            <w:pPr>
              <w:spacing w:after="0"/>
              <w:rPr>
                <w:sz w:val="13"/>
                <w:szCs w:val="13"/>
                <w:color w:val="auto"/>
              </w:rPr>
            </w:pPr>
          </w:p>
        </w:tc>
      </w:tr>
      <w:tr>
        <w:trPr>
          <w:trHeight w:val="165"/>
        </w:trPr>
        <w:tc>
          <w:tcPr>
            <w:tcW w:w="700" w:type="dxa"/>
            <w:vAlign w:val="bottom"/>
            <w:gridSpan w:val="2"/>
          </w:tcPr>
          <w:p>
            <w:pPr>
              <w:spacing w:after="0"/>
              <w:rPr>
                <w:sz w:val="20"/>
                <w:szCs w:val="20"/>
                <w:color w:val="auto"/>
              </w:rPr>
            </w:pPr>
            <w:r>
              <w:rPr>
                <w:rFonts w:ascii="Arial" w:cs="Arial" w:eastAsia="Arial" w:hAnsi="Arial"/>
                <w:sz w:val="13"/>
                <w:szCs w:val="13"/>
                <w:color w:val="auto"/>
                <w:highlight w:val="white"/>
              </w:rPr>
              <w:t>Second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530,505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515,578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227,616</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216,513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61,182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56,713</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0.67</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0.60</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0.67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0.60</w:t>
            </w:r>
          </w:p>
        </w:tc>
        <w:tc>
          <w:tcPr>
            <w:tcW w:w="20" w:type="dxa"/>
            <w:vAlign w:val="bottom"/>
          </w:tcPr>
          <w:p>
            <w:pPr>
              <w:spacing w:after="0"/>
              <w:rPr>
                <w:sz w:val="14"/>
                <w:szCs w:val="14"/>
                <w:color w:val="auto"/>
              </w:rPr>
            </w:pPr>
          </w:p>
        </w:tc>
      </w:tr>
      <w:tr>
        <w:trPr>
          <w:trHeight w:val="171"/>
        </w:trPr>
        <w:tc>
          <w:tcPr>
            <w:tcW w:w="6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Third</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493,118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228,986</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206,406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63,646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68,572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0.71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0.73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0.72</w:t>
            </w:r>
          </w:p>
        </w:tc>
        <w:tc>
          <w:tcPr>
            <w:tcW w:w="20" w:type="dxa"/>
            <w:vAlign w:val="bottom"/>
          </w:tcPr>
          <w:p>
            <w:pPr>
              <w:spacing w:after="0"/>
              <w:rPr>
                <w:sz w:val="14"/>
                <w:szCs w:val="14"/>
                <w:color w:val="auto"/>
              </w:rPr>
            </w:pPr>
          </w:p>
        </w:tc>
      </w:tr>
      <w:tr>
        <w:trPr>
          <w:trHeight w:val="158"/>
        </w:trPr>
        <w:tc>
          <w:tcPr>
            <w:tcW w:w="700" w:type="dxa"/>
            <w:vAlign w:val="bottom"/>
            <w:gridSpan w:val="2"/>
          </w:tcPr>
          <w:p>
            <w:pPr>
              <w:spacing w:after="0"/>
              <w:rPr>
                <w:sz w:val="20"/>
                <w:szCs w:val="20"/>
                <w:color w:val="auto"/>
              </w:rPr>
            </w:pPr>
            <w:r>
              <w:rPr>
                <w:rFonts w:ascii="Arial" w:cs="Arial" w:eastAsia="Arial" w:hAnsi="Arial"/>
                <w:sz w:val="13"/>
                <w:szCs w:val="13"/>
                <w:color w:val="auto"/>
                <w:highlight w:val="white"/>
              </w:rPr>
              <w:t>Fourth</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514,318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461,645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210,915</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186,827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47,982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15,238</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0.54</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0.16</w:t>
            </w:r>
          </w:p>
        </w:tc>
        <w:tc>
          <w:tcPr>
            <w:tcW w:w="400" w:type="dxa"/>
            <w:vAlign w:val="bottom"/>
            <w:gridSpan w:val="3"/>
          </w:tcPr>
          <w:p>
            <w:pPr>
              <w:jc w:val="right"/>
              <w:ind w:right="80"/>
              <w:spacing w:after="0"/>
              <w:rPr>
                <w:sz w:val="20"/>
                <w:szCs w:val="20"/>
                <w:color w:val="auto"/>
              </w:rPr>
            </w:pPr>
            <w:r>
              <w:rPr>
                <w:rFonts w:ascii="Arial" w:cs="Arial" w:eastAsia="Arial" w:hAnsi="Arial"/>
                <w:sz w:val="13"/>
                <w:szCs w:val="13"/>
                <w:color w:val="auto"/>
              </w:rPr>
              <w:t>0.53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0.16</w:t>
            </w:r>
          </w:p>
        </w:tc>
        <w:tc>
          <w:tcPr>
            <w:tcW w:w="20" w:type="dxa"/>
            <w:vAlign w:val="bottom"/>
          </w:tcPr>
          <w:p>
            <w:pPr>
              <w:spacing w:after="0"/>
              <w:rPr>
                <w:sz w:val="13"/>
                <w:szCs w:val="13"/>
                <w:color w:val="auto"/>
              </w:rPr>
            </w:pPr>
          </w:p>
        </w:tc>
      </w:tr>
      <w:tr>
        <w:trPr>
          <w:trHeight w:val="158"/>
        </w:trPr>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2,095,390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1,993,393</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884,131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824,401</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226,500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193,066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2.50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2.06</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2.48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2.04</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-771525</wp:posOffset>
            </wp:positionV>
            <wp:extent cx="4018280" cy="9544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018280" cy="954405"/>
                    </a:xfrm>
                    <a:prstGeom prst="rect">
                      <a:avLst/>
                    </a:prstGeom>
                    <a:noFill/>
                  </pic:spPr>
                </pic:pic>
              </a:graphicData>
            </a:graphic>
          </wp:anchor>
        </w:drawing>
      </w:r>
    </w:p>
    <w:p>
      <w:pPr>
        <w:spacing w:after="0" w:line="258" w:lineRule="exact"/>
        <w:rPr>
          <w:sz w:val="20"/>
          <w:szCs w:val="20"/>
          <w:color w:val="auto"/>
        </w:rPr>
      </w:pPr>
    </w:p>
    <w:p>
      <w:pPr>
        <w:ind w:left="221" w:right="4099" w:hanging="221"/>
        <w:spacing w:after="0" w:line="318" w:lineRule="auto"/>
        <w:tabs>
          <w:tab w:leader="none" w:pos="221" w:val="left"/>
        </w:tabs>
        <w:numPr>
          <w:ilvl w:val="0"/>
          <w:numId w:val="5"/>
        </w:numPr>
        <w:rPr>
          <w:rFonts w:ascii="Arial" w:cs="Arial" w:eastAsia="Arial" w:hAnsi="Arial"/>
          <w:sz w:val="11"/>
          <w:szCs w:val="11"/>
          <w:color w:val="auto"/>
        </w:rPr>
      </w:pPr>
      <w:r>
        <w:rPr>
          <w:rFonts w:ascii="Arial" w:cs="Arial" w:eastAsia="Arial" w:hAnsi="Arial"/>
          <w:sz w:val="11"/>
          <w:szCs w:val="11"/>
          <w:color w:val="auto"/>
        </w:rPr>
        <w:t>Net Income in the 2006 first, second, third and fourth quarter includes the after-tax effects of certain charges (credits) of $461, ($97), $210 and $1,408, respectively. Net income in the 2005 fourth quarter includes the after-tax effects of certain charges of $15,857. See Note 2 for further discussion. Net income in the 2005 third quarter includes a tax benefit of $23,290 relating to the repatriation of $242,000 of dividends from foreign subsidiaries under the provisions of the American Jobs Creation Act of 2004; see Note 10 for further discussion.</w:t>
      </w:r>
    </w:p>
    <w:p>
      <w:pPr>
        <w:spacing w:after="0" w:line="2" w:lineRule="exact"/>
        <w:rPr>
          <w:rFonts w:ascii="Arial" w:cs="Arial" w:eastAsia="Arial" w:hAnsi="Arial"/>
          <w:sz w:val="11"/>
          <w:szCs w:val="11"/>
          <w:color w:val="auto"/>
        </w:rPr>
      </w:pPr>
    </w:p>
    <w:p>
      <w:pPr>
        <w:ind w:left="221" w:right="4199" w:hanging="221"/>
        <w:spacing w:after="0" w:line="279" w:lineRule="auto"/>
        <w:tabs>
          <w:tab w:leader="none" w:pos="221"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sum of the 2006 and 2005 quarters’ net income per share does not equal the earnings per share for the full year due to changes in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392430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pacing w:after="0" w:line="117"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4809490"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218"/>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20" w:lineRule="exact"/>
        <w:rPr>
          <w:sz w:val="20"/>
          <w:szCs w:val="20"/>
          <w:color w:val="auto"/>
        </w:rPr>
      </w:pPr>
    </w:p>
    <w:p>
      <w:pPr>
        <w:jc w:val="center"/>
        <w:ind w:right="4218"/>
        <w:spacing w:after="0"/>
        <w:rPr>
          <w:sz w:val="20"/>
          <w:szCs w:val="20"/>
          <w:color w:val="auto"/>
        </w:rPr>
      </w:pPr>
      <w:r>
        <w:rPr>
          <w:rFonts w:ascii="Arial" w:cs="Arial" w:eastAsia="Arial" w:hAnsi="Arial"/>
          <w:sz w:val="13"/>
          <w:szCs w:val="13"/>
          <w:b w:val="1"/>
          <w:bCs w:val="1"/>
          <w:color w:val="auto"/>
        </w:rPr>
        <w:t>FIVE-YEAR SUMMARY</w:t>
      </w:r>
    </w:p>
    <w:p>
      <w:pPr>
        <w:spacing w:after="0" w:line="9" w:lineRule="exact"/>
        <w:rPr>
          <w:sz w:val="20"/>
          <w:szCs w:val="20"/>
          <w:color w:val="auto"/>
        </w:rPr>
      </w:pPr>
    </w:p>
    <w:p>
      <w:pPr>
        <w:jc w:val="center"/>
        <w:ind w:right="4218"/>
        <w:spacing w:after="0"/>
        <w:rPr>
          <w:sz w:val="20"/>
          <w:szCs w:val="20"/>
          <w:color w:val="auto"/>
        </w:rPr>
      </w:pPr>
      <w:r>
        <w:rPr>
          <w:rFonts w:ascii="Arial" w:cs="Arial" w:eastAsia="Arial" w:hAnsi="Arial"/>
          <w:sz w:val="13"/>
          <w:szCs w:val="13"/>
          <w:b w:val="1"/>
          <w:bCs w:val="1"/>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350" cy="628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397446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974465" cy="6350"/>
                    </a:xfrm>
                    <a:prstGeom prst="rect">
                      <a:avLst/>
                    </a:prstGeom>
                    <a:noFill/>
                  </pic:spPr>
                </pic:pic>
              </a:graphicData>
            </a:graphic>
          </wp:anchor>
        </w:drawing>
      </w:r>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2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2004</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2002</w:t>
            </w:r>
          </w:p>
        </w:tc>
        <w:tc>
          <w:tcPr>
            <w:tcW w:w="40" w:type="dxa"/>
            <w:vAlign w:val="bottom"/>
          </w:tcPr>
          <w:p>
            <w:pPr>
              <w:spacing w:after="0"/>
              <w:rPr>
                <w:sz w:val="11"/>
                <w:szCs w:val="11"/>
                <w:color w:val="auto"/>
              </w:rPr>
            </w:pPr>
          </w:p>
        </w:tc>
      </w:tr>
      <w:tr>
        <w:trPr>
          <w:trHeight w:val="158"/>
        </w:trPr>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Consolidated Statement of Income Data</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2580" w:type="dxa"/>
            <w:vAlign w:val="bottom"/>
          </w:tcPr>
          <w:p>
            <w:pPr>
              <w:spacing w:after="0"/>
              <w:rPr>
                <w:sz w:val="20"/>
                <w:szCs w:val="20"/>
                <w:color w:val="auto"/>
              </w:rPr>
            </w:pPr>
            <w:r>
              <w:rPr>
                <w:rFonts w:ascii="Arial" w:cs="Arial" w:eastAsia="Arial" w:hAnsi="Arial"/>
                <w:sz w:val="13"/>
                <w:szCs w:val="13"/>
                <w:color w:val="auto"/>
                <w:highlight w:val="white"/>
              </w:rPr>
              <w:t>Net sales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2,095,390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1,993,393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2,033,653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1,901,520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1,809,249</w:t>
            </w:r>
          </w:p>
        </w:tc>
        <w:tc>
          <w:tcPr>
            <w:tcW w:w="40" w:type="dxa"/>
            <w:vAlign w:val="bottom"/>
          </w:tcPr>
          <w:p>
            <w:pPr>
              <w:spacing w:after="0"/>
              <w:rPr>
                <w:sz w:val="13"/>
                <w:szCs w:val="13"/>
                <w:color w:val="auto"/>
              </w:rPr>
            </w:pPr>
          </w:p>
        </w:tc>
      </w:tr>
      <w:tr>
        <w:trPr>
          <w:trHeight w:val="158"/>
        </w:trPr>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Cost of goods sold</w:t>
            </w:r>
            <w:r>
              <w:rPr>
                <w:rFonts w:ascii="Arial" w:cs="Arial" w:eastAsia="Arial" w:hAnsi="Arial"/>
                <w:sz w:val="10"/>
                <w:szCs w:val="10"/>
                <w:color w:val="auto"/>
                <w:shd w:val="clear" w:color="auto" w:fill="CCEEFF"/>
              </w:rPr>
              <w:t>(b)</w:t>
            </w: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1,211,259</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1,168,992</w:t>
            </w: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1,160,235</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1,092,456</w:t>
            </w: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1,035,835</w:t>
            </w:r>
          </w:p>
        </w:tc>
        <w:tc>
          <w:tcPr>
            <w:tcW w:w="40" w:type="dxa"/>
            <w:vAlign w:val="bottom"/>
          </w:tcPr>
          <w:p>
            <w:pPr>
              <w:spacing w:after="0"/>
              <w:rPr>
                <w:sz w:val="13"/>
                <w:szCs w:val="13"/>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Research and development expenses</w:t>
            </w:r>
            <w:r>
              <w:rPr>
                <w:rFonts w:ascii="Arial" w:cs="Arial" w:eastAsia="Arial" w:hAnsi="Arial"/>
                <w:sz w:val="10"/>
                <w:szCs w:val="10"/>
                <w:color w:val="auto"/>
                <w:highlight w:val="white"/>
              </w:rPr>
              <w:t>(b)</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185,692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179,812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175,173</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159,286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144,027</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Selling and administrative expenses</w:t>
            </w:r>
            <w:r>
              <w:rPr>
                <w:rFonts w:ascii="Arial" w:cs="Arial" w:eastAsia="Arial" w:hAnsi="Arial"/>
                <w:sz w:val="10"/>
                <w:szCs w:val="10"/>
                <w:color w:val="auto"/>
                <w:shd w:val="clear" w:color="auto" w:fill="CCEEFF"/>
              </w:rPr>
              <w:t>(b)</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339,323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341,306</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308,951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305,156</w:t>
            </w:r>
          </w:p>
        </w:tc>
        <w:tc>
          <w:tcPr>
            <w:tcW w:w="40" w:type="dxa"/>
            <w:vAlign w:val="bottom"/>
          </w:tcPr>
          <w:p>
            <w:pPr>
              <w:spacing w:after="0"/>
              <w:rPr>
                <w:sz w:val="14"/>
                <w:szCs w:val="14"/>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Amortization of intangibles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15,071</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14,830</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12,632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12,632</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Restructuring and other charges</w:t>
            </w:r>
            <w:r>
              <w:rPr>
                <w:rFonts w:ascii="Arial" w:cs="Arial" w:eastAsia="Arial" w:hAnsi="Arial"/>
                <w:sz w:val="10"/>
                <w:szCs w:val="10"/>
                <w:color w:val="auto"/>
                <w:shd w:val="clear" w:color="auto" w:fill="CCEEFF"/>
              </w:rPr>
              <w:t>(a)</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23,319</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31,830</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42,421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11,737</w:t>
            </w:r>
          </w:p>
        </w:tc>
        <w:tc>
          <w:tcPr>
            <w:tcW w:w="40" w:type="dxa"/>
            <w:vAlign w:val="bottom"/>
          </w:tcPr>
          <w:p>
            <w:pPr>
              <w:spacing w:after="0"/>
              <w:rPr>
                <w:sz w:val="14"/>
                <w:szCs w:val="14"/>
                <w:color w:val="auto"/>
              </w:rPr>
            </w:pPr>
          </w:p>
        </w:tc>
      </w:tr>
      <w:tr>
        <w:trPr>
          <w:trHeight w:val="165"/>
        </w:trPr>
        <w:tc>
          <w:tcPr>
            <w:tcW w:w="2580" w:type="dxa"/>
            <w:vAlign w:val="bottom"/>
          </w:tcPr>
          <w:p>
            <w:pPr>
              <w:spacing w:after="0"/>
              <w:rPr>
                <w:sz w:val="20"/>
                <w:szCs w:val="20"/>
                <w:color w:val="auto"/>
              </w:rPr>
            </w:pPr>
            <w:r>
              <w:rPr>
                <w:rFonts w:ascii="Arial" w:cs="Arial" w:eastAsia="Arial" w:hAnsi="Arial"/>
                <w:sz w:val="13"/>
                <w:szCs w:val="13"/>
                <w:color w:val="auto"/>
                <w:highlight w:val="white"/>
              </w:rPr>
              <w:t>Interest expense</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25,549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23,956</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24,002</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28,477</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37,036</w:t>
            </w:r>
          </w:p>
        </w:tc>
        <w:tc>
          <w:tcPr>
            <w:tcW w:w="40" w:type="dxa"/>
            <w:vAlign w:val="bottom"/>
          </w:tcPr>
          <w:p>
            <w:pPr>
              <w:spacing w:after="0"/>
              <w:rPr>
                <w:sz w:val="14"/>
                <w:szCs w:val="14"/>
                <w:color w:val="auto"/>
              </w:rPr>
            </w:pPr>
          </w:p>
        </w:tc>
      </w:tr>
      <w:tr>
        <w:trPr>
          <w:trHeight w:val="156"/>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(income) expense, net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(9,838)</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(3,268)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5,275</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(3,591)</w:t>
            </w:r>
          </w:p>
        </w:tc>
        <w:tc>
          <w:tcPr>
            <w:tcW w:w="40" w:type="dxa"/>
            <w:vAlign w:val="bottom"/>
          </w:tcPr>
          <w:p>
            <w:pPr>
              <w:spacing w:after="0"/>
              <w:rPr>
                <w:sz w:val="13"/>
                <w:szCs w:val="13"/>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1,782,108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1,747,205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1,752,651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1,649,660</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1,542,832</w:t>
            </w:r>
          </w:p>
        </w:tc>
        <w:tc>
          <w:tcPr>
            <w:tcW w:w="40" w:type="dxa"/>
            <w:vAlign w:val="bottom"/>
          </w:tcPr>
          <w:p>
            <w:pPr>
              <w:spacing w:after="0"/>
              <w:rPr>
                <w:sz w:val="13"/>
                <w:szCs w:val="13"/>
                <w:color w:val="auto"/>
              </w:rPr>
            </w:pPr>
          </w:p>
        </w:tc>
      </w:tr>
      <w:tr>
        <w:trPr>
          <w:trHeight w:val="158"/>
        </w:trPr>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Income before taxes on income</w:t>
            </w: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313,282</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246,188</w:t>
            </w: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281,002</w:t>
            </w: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251,860</w:t>
            </w: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266,417</w:t>
            </w:r>
          </w:p>
        </w:tc>
        <w:tc>
          <w:tcPr>
            <w:tcW w:w="40" w:type="dxa"/>
            <w:vAlign w:val="bottom"/>
          </w:tcPr>
          <w:p>
            <w:pPr>
              <w:spacing w:after="0"/>
              <w:rPr>
                <w:sz w:val="13"/>
                <w:szCs w:val="13"/>
                <w:color w:val="auto"/>
              </w:rPr>
            </w:pPr>
          </w:p>
        </w:tc>
      </w:tr>
      <w:tr>
        <w:trPr>
          <w:trHeight w:val="158"/>
        </w:trPr>
        <w:tc>
          <w:tcPr>
            <w:tcW w:w="2580" w:type="dxa"/>
            <w:vAlign w:val="bottom"/>
          </w:tcPr>
          <w:p>
            <w:pPr>
              <w:spacing w:after="0"/>
              <w:rPr>
                <w:sz w:val="20"/>
                <w:szCs w:val="20"/>
                <w:color w:val="auto"/>
              </w:rPr>
            </w:pPr>
            <w:r>
              <w:rPr>
                <w:rFonts w:ascii="Arial" w:cs="Arial" w:eastAsia="Arial" w:hAnsi="Arial"/>
                <w:sz w:val="13"/>
                <w:szCs w:val="13"/>
                <w:color w:val="auto"/>
                <w:highlight w:val="white"/>
              </w:rPr>
              <w:t>Taxes on income</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86,782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53,122</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84,931</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79,263</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90,473</w:t>
            </w:r>
          </w:p>
        </w:tc>
        <w:tc>
          <w:tcPr>
            <w:tcW w:w="40" w:type="dxa"/>
            <w:vAlign w:val="bottom"/>
          </w:tcPr>
          <w:p>
            <w:pPr>
              <w:spacing w:after="0"/>
              <w:rPr>
                <w:sz w:val="13"/>
                <w:szCs w:val="13"/>
                <w:color w:val="auto"/>
              </w:rPr>
            </w:pPr>
          </w:p>
        </w:tc>
      </w:tr>
      <w:tr>
        <w:trPr>
          <w:trHeight w:val="158"/>
        </w:trPr>
        <w:tc>
          <w:tcPr>
            <w:tcW w:w="25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Net income</w:t>
            </w:r>
          </w:p>
        </w:tc>
        <w:tc>
          <w:tcPr>
            <w:tcW w:w="1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226,500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193,066</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196,071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172,597</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175,944</w:t>
            </w:r>
          </w:p>
        </w:tc>
        <w:tc>
          <w:tcPr>
            <w:tcW w:w="40" w:type="dxa"/>
            <w:vAlign w:val="bottom"/>
          </w:tcPr>
          <w:p>
            <w:pPr>
              <w:spacing w:after="0"/>
              <w:rPr>
                <w:sz w:val="13"/>
                <w:szCs w:val="13"/>
                <w:color w:val="auto"/>
              </w:rPr>
            </w:pPr>
          </w:p>
        </w:tc>
      </w:tr>
      <w:tr>
        <w:trPr>
          <w:trHeight w:val="165"/>
        </w:trPr>
        <w:tc>
          <w:tcPr>
            <w:tcW w:w="2580" w:type="dxa"/>
            <w:vAlign w:val="bottom"/>
          </w:tcPr>
          <w:p>
            <w:pPr>
              <w:ind w:left="140"/>
              <w:spacing w:after="0"/>
              <w:rPr>
                <w:sz w:val="20"/>
                <w:szCs w:val="20"/>
                <w:color w:val="auto"/>
              </w:rPr>
            </w:pPr>
            <w:r>
              <w:rPr>
                <w:rFonts w:ascii="Arial" w:cs="Arial" w:eastAsia="Arial" w:hAnsi="Arial"/>
                <w:sz w:val="13"/>
                <w:szCs w:val="13"/>
                <w:color w:val="auto"/>
                <w:highlight w:val="white"/>
              </w:rPr>
              <w:t>Percentage of net sales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w:t>
            </w:r>
          </w:p>
        </w:tc>
        <w:tc>
          <w:tcPr>
            <w:tcW w:w="40" w:type="dxa"/>
            <w:vAlign w:val="bottom"/>
          </w:tcPr>
          <w:p>
            <w:pPr>
              <w:spacing w:after="0"/>
              <w:rPr>
                <w:sz w:val="14"/>
                <w:szCs w:val="14"/>
                <w:color w:val="auto"/>
              </w:rPr>
            </w:pPr>
          </w:p>
        </w:tc>
      </w:tr>
      <w:tr>
        <w:trPr>
          <w:trHeight w:val="171"/>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6"/>
                <w:shd w:val="clear" w:color="auto" w:fill="CCEEFF"/>
              </w:rPr>
              <w:t>Percentage of average shareholders’ equity</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 w:type="dxa"/>
            <w:vAlign w:val="bottom"/>
          </w:tcPr>
          <w:p>
            <w:pPr>
              <w:spacing w:after="0"/>
              <w:rPr>
                <w:sz w:val="14"/>
                <w:szCs w:val="14"/>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Net income per share – basic</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$1.86</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Net income per share – diluted</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$2.04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$1.84</w:t>
            </w:r>
          </w:p>
        </w:tc>
        <w:tc>
          <w:tcPr>
            <w:tcW w:w="40" w:type="dxa"/>
            <w:vAlign w:val="bottom"/>
          </w:tcPr>
          <w:p>
            <w:pPr>
              <w:spacing w:after="0"/>
              <w:rPr>
                <w:sz w:val="14"/>
                <w:szCs w:val="14"/>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Average number of shares (thousands)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90,443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93,584</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94,143</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93,718</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94,511</w:t>
            </w:r>
          </w:p>
        </w:tc>
        <w:tc>
          <w:tcPr>
            <w:tcW w:w="40" w:type="dxa"/>
            <w:vAlign w:val="bottom"/>
          </w:tcPr>
          <w:p>
            <w:pPr>
              <w:spacing w:after="0"/>
              <w:rPr>
                <w:sz w:val="14"/>
                <w:szCs w:val="14"/>
                <w:color w:val="auto"/>
              </w:rPr>
            </w:pPr>
          </w:p>
        </w:tc>
      </w:tr>
      <w:tr>
        <w:trPr>
          <w:trHeight w:val="268"/>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shd w:val="clear" w:color="auto" w:fill="CCEEFF"/>
              </w:rPr>
              <w:t>Consolidated Balance Sheet Data</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Cash and short-term investments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115,112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272,897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32,995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12,555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15,165</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Receivables, net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368,519</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358,361</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339,725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338,607</w:t>
            </w:r>
          </w:p>
        </w:tc>
        <w:tc>
          <w:tcPr>
            <w:tcW w:w="40" w:type="dxa"/>
            <w:vAlign w:val="bottom"/>
          </w:tcPr>
          <w:p>
            <w:pPr>
              <w:spacing w:after="0"/>
              <w:rPr>
                <w:sz w:val="14"/>
                <w:szCs w:val="14"/>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Inventories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446,606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430,794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457,204</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454,631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421,603</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Property, plant and equipment, net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499,145</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501,334</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510,612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520,499</w:t>
            </w:r>
          </w:p>
        </w:tc>
        <w:tc>
          <w:tcPr>
            <w:tcW w:w="40" w:type="dxa"/>
            <w:vAlign w:val="bottom"/>
          </w:tcPr>
          <w:p>
            <w:pPr>
              <w:spacing w:after="0"/>
              <w:rPr>
                <w:sz w:val="14"/>
                <w:szCs w:val="14"/>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Goodwill and intangible assets, net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745,716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772,651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789,676</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799,413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794,079</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Total assets</w:t>
            </w:r>
            <w:r>
              <w:rPr>
                <w:rFonts w:ascii="Arial" w:cs="Arial" w:eastAsia="Arial" w:hAnsi="Arial"/>
                <w:sz w:val="10"/>
                <w:szCs w:val="10"/>
                <w:color w:val="auto"/>
                <w:shd w:val="clear" w:color="auto" w:fill="CCEEFF"/>
              </w:rPr>
              <w:t>(c)</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2,478,904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2,638,196</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2,363,294</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2,306,892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2,232,694</w:t>
            </w:r>
          </w:p>
        </w:tc>
        <w:tc>
          <w:tcPr>
            <w:tcW w:w="40" w:type="dxa"/>
            <w:vAlign w:val="bottom"/>
          </w:tcPr>
          <w:p>
            <w:pPr>
              <w:spacing w:after="0"/>
              <w:rPr>
                <w:sz w:val="14"/>
                <w:szCs w:val="14"/>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3"/>
                <w:szCs w:val="13"/>
                <w:color w:val="auto"/>
                <w:highlight w:val="white"/>
              </w:rPr>
              <w:t>Bank borrowings, overdrafts and current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80" w:type="dxa"/>
            <w:vAlign w:val="bottom"/>
          </w:tcPr>
          <w:p>
            <w:pPr>
              <w:ind w:left="140"/>
              <w:spacing w:after="0"/>
              <w:rPr>
                <w:sz w:val="20"/>
                <w:szCs w:val="20"/>
                <w:color w:val="auto"/>
              </w:rPr>
            </w:pPr>
            <w:r>
              <w:rPr>
                <w:rFonts w:ascii="Arial" w:cs="Arial" w:eastAsia="Arial" w:hAnsi="Arial"/>
                <w:sz w:val="13"/>
                <w:szCs w:val="13"/>
                <w:color w:val="auto"/>
                <w:highlight w:val="white"/>
              </w:rPr>
              <w:t>portion of long-term debt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15,897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819,392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15,957</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194,304</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49,663</w:t>
            </w:r>
          </w:p>
        </w:tc>
      </w:tr>
      <w:tr>
        <w:trPr>
          <w:trHeight w:val="174"/>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Long-term debt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791,443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131,281</w:t>
            </w: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668,969</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690,231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1,007,085</w:t>
            </w:r>
          </w:p>
        </w:tc>
        <w:tc>
          <w:tcPr>
            <w:tcW w:w="40" w:type="dxa"/>
            <w:vAlign w:val="bottom"/>
          </w:tcPr>
          <w:p>
            <w:pPr>
              <w:spacing w:after="0"/>
              <w:rPr>
                <w:sz w:val="15"/>
                <w:szCs w:val="15"/>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Shareholders’ equity</w:t>
            </w:r>
            <w:r>
              <w:rPr>
                <w:rFonts w:ascii="Arial" w:cs="Arial" w:eastAsia="Arial" w:hAnsi="Arial"/>
                <w:sz w:val="10"/>
                <w:szCs w:val="10"/>
                <w:color w:val="auto"/>
                <w:highlight w:val="white"/>
              </w:rPr>
              <w:t>(b)(c)</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905,168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915,347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910,487</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742,631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574,678</w:t>
            </w:r>
          </w:p>
        </w:tc>
        <w:tc>
          <w:tcPr>
            <w:tcW w:w="40" w:type="dxa"/>
            <w:vAlign w:val="bottom"/>
          </w:tcPr>
          <w:p>
            <w:pPr>
              <w:spacing w:after="0"/>
              <w:rPr>
                <w:sz w:val="14"/>
                <w:szCs w:val="14"/>
                <w:color w:val="auto"/>
              </w:rPr>
            </w:pPr>
          </w:p>
        </w:tc>
      </w:tr>
      <w:tr>
        <w:trPr>
          <w:trHeight w:val="268"/>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shd w:val="clear" w:color="auto" w:fill="CCEEFF"/>
              </w:rPr>
              <w:t>Other Data</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167"/>
        </w:trPr>
        <w:tc>
          <w:tcPr>
            <w:tcW w:w="2580" w:type="dxa"/>
            <w:vAlign w:val="bottom"/>
          </w:tcPr>
          <w:p>
            <w:pPr>
              <w:spacing w:after="0"/>
              <w:rPr>
                <w:sz w:val="20"/>
                <w:szCs w:val="20"/>
                <w:color w:val="auto"/>
              </w:rPr>
            </w:pPr>
            <w:r>
              <w:rPr>
                <w:rFonts w:ascii="Arial" w:cs="Arial" w:eastAsia="Arial" w:hAnsi="Arial"/>
                <w:sz w:val="13"/>
                <w:szCs w:val="13"/>
                <w:color w:val="auto"/>
                <w:highlight w:val="white"/>
              </w:rPr>
              <w:t>Current Ratio</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4"/>
                <w:szCs w:val="14"/>
                <w:color w:val="auto"/>
              </w:rPr>
            </w:pPr>
          </w:p>
        </w:tc>
      </w:tr>
      <w:tr>
        <w:trPr>
          <w:trHeight w:val="150"/>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Gross additions to property, plant and</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93,433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70,607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81,815</w:t>
            </w:r>
          </w:p>
        </w:tc>
        <w:tc>
          <w:tcPr>
            <w:tcW w:w="40" w:type="dxa"/>
            <w:vAlign w:val="bottom"/>
          </w:tcPr>
          <w:p>
            <w:pPr>
              <w:spacing w:after="0"/>
              <w:rPr>
                <w:sz w:val="15"/>
                <w:szCs w:val="15"/>
                <w:color w:val="auto"/>
              </w:rPr>
            </w:pPr>
          </w:p>
        </w:tc>
      </w:tr>
      <w:tr>
        <w:trPr>
          <w:trHeight w:val="165"/>
        </w:trPr>
        <w:tc>
          <w:tcPr>
            <w:tcW w:w="2580" w:type="dxa"/>
            <w:vAlign w:val="bottom"/>
          </w:tcPr>
          <w:p>
            <w:pPr>
              <w:spacing w:after="0"/>
              <w:rPr>
                <w:sz w:val="20"/>
                <w:szCs w:val="20"/>
                <w:color w:val="auto"/>
              </w:rPr>
            </w:pPr>
            <w:r>
              <w:rPr>
                <w:rFonts w:ascii="Arial" w:cs="Arial" w:eastAsia="Arial" w:hAnsi="Arial"/>
                <w:sz w:val="13"/>
                <w:szCs w:val="13"/>
                <w:color w:val="auto"/>
                <w:highlight w:val="white"/>
              </w:rPr>
              <w:t>Depreciation and amortization expense</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89,733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91,928</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90,996</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86,721</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84,458</w:t>
            </w:r>
          </w:p>
        </w:tc>
        <w:tc>
          <w:tcPr>
            <w:tcW w:w="40" w:type="dxa"/>
            <w:vAlign w:val="bottom"/>
          </w:tcPr>
          <w:p>
            <w:pPr>
              <w:spacing w:after="0"/>
              <w:rPr>
                <w:sz w:val="14"/>
                <w:szCs w:val="14"/>
                <w:color w:val="auto"/>
              </w:rPr>
            </w:pPr>
          </w:p>
        </w:tc>
      </w:tr>
      <w:tr>
        <w:trPr>
          <w:trHeight w:val="171"/>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Cash dividends declared</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68,397</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64,789</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59,032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56,749</w:t>
            </w:r>
          </w:p>
        </w:tc>
        <w:tc>
          <w:tcPr>
            <w:tcW w:w="40" w:type="dxa"/>
            <w:vAlign w:val="bottom"/>
          </w:tcPr>
          <w:p>
            <w:pPr>
              <w:spacing w:after="0"/>
              <w:rPr>
                <w:sz w:val="14"/>
                <w:szCs w:val="14"/>
                <w:color w:val="auto"/>
              </w:rPr>
            </w:pPr>
          </w:p>
        </w:tc>
      </w:tr>
      <w:tr>
        <w:trPr>
          <w:trHeight w:val="167"/>
        </w:trPr>
        <w:tc>
          <w:tcPr>
            <w:tcW w:w="2580" w:type="dxa"/>
            <w:vAlign w:val="bottom"/>
          </w:tcPr>
          <w:p>
            <w:pPr>
              <w:ind w:left="140"/>
              <w:spacing w:after="0"/>
              <w:rPr>
                <w:sz w:val="20"/>
                <w:szCs w:val="20"/>
                <w:color w:val="auto"/>
              </w:rPr>
            </w:pPr>
            <w:r>
              <w:rPr>
                <w:rFonts w:ascii="Arial" w:cs="Arial" w:eastAsia="Arial" w:hAnsi="Arial"/>
                <w:sz w:val="13"/>
                <w:szCs w:val="13"/>
                <w:color w:val="auto"/>
                <w:highlight w:val="white"/>
              </w:rPr>
              <w:t>per share</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$0.730</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$0.685</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$0.630</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$0.600</w:t>
            </w:r>
          </w:p>
        </w:tc>
        <w:tc>
          <w:tcPr>
            <w:tcW w:w="40" w:type="dxa"/>
            <w:vAlign w:val="bottom"/>
          </w:tcPr>
          <w:p>
            <w:pPr>
              <w:spacing w:after="0"/>
              <w:rPr>
                <w:sz w:val="14"/>
                <w:szCs w:val="14"/>
                <w:color w:val="auto"/>
              </w:rPr>
            </w:pPr>
          </w:p>
        </w:tc>
      </w:tr>
      <w:tr>
        <w:trPr>
          <w:trHeight w:val="169"/>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w w:val="97"/>
                <w:shd w:val="clear" w:color="auto" w:fill="CCEEFF"/>
              </w:rPr>
              <w:t>Number of shareholders of record at year-end</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3,207</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3,419</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3,875</w:t>
            </w:r>
          </w:p>
        </w:tc>
        <w:tc>
          <w:tcPr>
            <w:tcW w:w="40" w:type="dxa"/>
            <w:vAlign w:val="bottom"/>
          </w:tcPr>
          <w:p>
            <w:pPr>
              <w:spacing w:after="0"/>
              <w:rPr>
                <w:sz w:val="14"/>
                <w:szCs w:val="14"/>
                <w:color w:val="auto"/>
              </w:rPr>
            </w:pPr>
          </w:p>
        </w:tc>
      </w:tr>
      <w:tr>
        <w:trPr>
          <w:trHeight w:val="165"/>
        </w:trPr>
        <w:tc>
          <w:tcPr>
            <w:tcW w:w="2580" w:type="dxa"/>
            <w:vAlign w:val="bottom"/>
          </w:tcPr>
          <w:p>
            <w:pPr>
              <w:spacing w:after="0"/>
              <w:rPr>
                <w:sz w:val="20"/>
                <w:szCs w:val="20"/>
                <w:color w:val="auto"/>
              </w:rPr>
            </w:pPr>
            <w:r>
              <w:rPr>
                <w:rFonts w:ascii="Arial" w:cs="Arial" w:eastAsia="Arial" w:hAnsi="Arial"/>
                <w:sz w:val="13"/>
                <w:szCs w:val="13"/>
                <w:color w:val="auto"/>
                <w:highlight w:val="white"/>
              </w:rPr>
              <w:t>Number of employees at year-end</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5,212</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5,454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5,728</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-4229735</wp:posOffset>
            </wp:positionV>
            <wp:extent cx="3980815" cy="44138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980815" cy="4413885"/>
                    </a:xfrm>
                    <a:prstGeom prst="rect">
                      <a:avLst/>
                    </a:prstGeom>
                    <a:noFill/>
                  </pic:spPr>
                </pic:pic>
              </a:graphicData>
            </a:graphic>
          </wp:anchor>
        </w:drawing>
      </w:r>
    </w:p>
    <w:p>
      <w:pPr>
        <w:spacing w:after="0" w:line="261" w:lineRule="exact"/>
        <w:rPr>
          <w:sz w:val="20"/>
          <w:szCs w:val="20"/>
          <w:color w:val="auto"/>
        </w:rPr>
      </w:pPr>
    </w:p>
    <w:p>
      <w:pPr>
        <w:ind w:left="221" w:right="4079" w:hanging="221"/>
        <w:spacing w:after="0" w:line="266" w:lineRule="auto"/>
        <w:tabs>
          <w:tab w:leader="none" w:pos="221"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Restructuring and other charges ($1,982 after tax) in 2006, ($15,857 after tax) in 2005, ($20,370 after tax) in 2004, ($27,514 after tax) in 2003 and ($7,745 after tax) in 2002 as a result of various reorganization programs of the Company.</w:t>
      </w:r>
    </w:p>
    <w:p>
      <w:pPr>
        <w:spacing w:after="0" w:line="26" w:lineRule="exact"/>
        <w:rPr>
          <w:rFonts w:ascii="Arial" w:cs="Arial" w:eastAsia="Arial" w:hAnsi="Arial"/>
          <w:sz w:val="13"/>
          <w:szCs w:val="13"/>
          <w:color w:val="auto"/>
        </w:rPr>
      </w:pPr>
    </w:p>
    <w:p>
      <w:pPr>
        <w:ind w:left="221" w:hanging="221"/>
        <w:spacing w:after="0"/>
        <w:tabs>
          <w:tab w:leader="none" w:pos="221"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2006 amounts reflect adoption of FAS 123(R). See Note 12 for further details.</w:t>
      </w:r>
    </w:p>
    <w:p>
      <w:pPr>
        <w:spacing w:after="0" w:line="58" w:lineRule="exact"/>
        <w:rPr>
          <w:rFonts w:ascii="Arial" w:cs="Arial" w:eastAsia="Arial" w:hAnsi="Arial"/>
          <w:sz w:val="13"/>
          <w:szCs w:val="13"/>
          <w:color w:val="auto"/>
        </w:rPr>
      </w:pPr>
    </w:p>
    <w:p>
      <w:pPr>
        <w:ind w:left="221" w:hanging="221"/>
        <w:spacing w:after="0"/>
        <w:tabs>
          <w:tab w:leader="none" w:pos="221"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2006 amount reflect adoption of FAS 158. See Note 14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392430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924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392430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pacing w:after="0" w:line="157"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7952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1" w:right="4519" w:hanging="651"/>
        <w:spacing w:after="0" w:line="286" w:lineRule="auto"/>
        <w:tabs>
          <w:tab w:leader="none" w:pos="640" w:val="left"/>
        </w:tabs>
        <w:rPr>
          <w:sz w:val="20"/>
          <w:szCs w:val="20"/>
          <w:color w:val="auto"/>
        </w:rPr>
      </w:pPr>
      <w:r>
        <w:rPr>
          <w:rFonts w:ascii="Arial" w:cs="Arial" w:eastAsia="Arial" w:hAnsi="Arial"/>
          <w:sz w:val="13"/>
          <w:szCs w:val="13"/>
          <w:b w:val="1"/>
          <w:bCs w:val="1"/>
          <w:color w:val="auto"/>
        </w:rPr>
        <w:t>ITEM 7.</w:t>
        <w:tab/>
        <w:t>MANAGEMENT’S DISCUSSION AND ANALYSIS OF FINANCIAL CONDITION AND RESULTS OF OPERATIONS.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Organization of Information</w:t>
      </w:r>
    </w:p>
    <w:p>
      <w:pPr>
        <w:spacing w:after="0" w:line="92" w:lineRule="exact"/>
        <w:rPr>
          <w:sz w:val="20"/>
          <w:szCs w:val="20"/>
          <w:color w:val="auto"/>
        </w:rPr>
      </w:pPr>
    </w:p>
    <w:p>
      <w:pPr>
        <w:ind w:left="1" w:right="4239" w:firstLine="263"/>
        <w:spacing w:after="0" w:line="266" w:lineRule="auto"/>
        <w:rPr>
          <w:sz w:val="20"/>
          <w:szCs w:val="20"/>
          <w:color w:val="auto"/>
        </w:rPr>
      </w:pPr>
      <w:r>
        <w:rPr>
          <w:rFonts w:ascii="Arial" w:cs="Arial" w:eastAsia="Arial" w:hAnsi="Arial"/>
          <w:sz w:val="13"/>
          <w:szCs w:val="13"/>
          <w:color w:val="auto"/>
        </w:rPr>
        <w:t>Management’s Discussion and Analysis provides a narrative on the Company’s operating performance, financial condition and liquidity and should be read in conjunction with the accompanying financial statements. It includes the following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377380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ectPr>
          <w:pgSz w:w="11900" w:h="16838" w:orient="portrait"/>
          <w:cols w:equalWidth="0" w:num="1">
            <w:col w:w="10240"/>
          </w:cols>
          <w:pgMar w:left="219" w:top="473" w:right="1440" w:bottom="0" w:gutter="0" w:footer="0" w:header="0"/>
        </w:sectPr>
      </w:pPr>
    </w:p>
    <w:bookmarkStart w:id="9" w:name="page10"/>
    <w:bookmarkEnd w:id="9"/>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Executive Overview</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Sales Commentary</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Operating Results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Acquisitions and Divestitures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Restructuring and Other Charges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Equity Compensation Plans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Financial Condition</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Market Risk</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Critical Accounting Policies and Use of Estimates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New Accounting Standards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Financial Measures</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Cautionary Statement Under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-1689735</wp:posOffset>
            </wp:positionV>
            <wp:extent cx="377380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-1532890</wp:posOffset>
            </wp:positionV>
            <wp:extent cx="377380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-1376045</wp:posOffset>
            </wp:positionV>
            <wp:extent cx="377380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-1219200</wp:posOffset>
            </wp:positionV>
            <wp:extent cx="377380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-1061720</wp:posOffset>
            </wp:positionV>
            <wp:extent cx="377380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-904875</wp:posOffset>
            </wp:positionV>
            <wp:extent cx="377380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-748030</wp:posOffset>
            </wp:positionV>
            <wp:extent cx="3773805"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-591185</wp:posOffset>
            </wp:positionV>
            <wp:extent cx="377380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-434340</wp:posOffset>
            </wp:positionV>
            <wp:extent cx="377380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377380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377380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Overview</w:t>
      </w:r>
    </w:p>
    <w:p>
      <w:pPr>
        <w:spacing w:after="0" w:line="92" w:lineRule="exact"/>
        <w:rPr>
          <w:sz w:val="20"/>
          <w:szCs w:val="20"/>
          <w:color w:val="auto"/>
        </w:rPr>
      </w:pPr>
    </w:p>
    <w:p>
      <w:pPr>
        <w:ind w:right="4239" w:firstLine="263"/>
        <w:spacing w:after="0" w:line="277" w:lineRule="auto"/>
        <w:rPr>
          <w:sz w:val="20"/>
          <w:szCs w:val="20"/>
          <w:color w:val="auto"/>
        </w:rPr>
      </w:pPr>
      <w:r>
        <w:rPr>
          <w:rFonts w:ascii="Arial" w:cs="Arial" w:eastAsia="Arial" w:hAnsi="Arial"/>
          <w:sz w:val="12"/>
          <w:szCs w:val="12"/>
          <w:color w:val="auto"/>
        </w:rPr>
        <w:t>The Company is a leading creator and manufacturer of flavor and fragrance compounds used to impart or improve the flavor or fragrance in a wide variety of consumer products. The precise size of the global market for flavors and fragrances is difficult to determine because the industry is highly fragmented, both geographically and along product lines; there are few publicly traded companies in the industry; certain customers maintain in-house capabilities fulfilling a portion of their flavor or fragrance needs; and the quality and depth of market information in developing regions of the world is limited. Analysts generally estimate the global market to be $11</w:t>
      </w:r>
    </w:p>
    <w:p>
      <w:pPr>
        <w:spacing w:after="0" w:line="1" w:lineRule="exact"/>
        <w:rPr>
          <w:sz w:val="20"/>
          <w:szCs w:val="20"/>
          <w:color w:val="auto"/>
        </w:rPr>
      </w:pPr>
    </w:p>
    <w:p>
      <w:pPr>
        <w:ind w:right="4299"/>
        <w:spacing w:after="0" w:line="258" w:lineRule="auto"/>
        <w:rPr>
          <w:sz w:val="20"/>
          <w:szCs w:val="20"/>
          <w:color w:val="auto"/>
        </w:rPr>
      </w:pPr>
      <w:r>
        <w:rPr>
          <w:rFonts w:ascii="Arial" w:cs="Arial" w:eastAsia="Arial" w:hAnsi="Arial"/>
          <w:sz w:val="13"/>
          <w:szCs w:val="13"/>
          <w:color w:val="auto"/>
        </w:rPr>
        <w:t>– $12 billion of which IFF represents approximately 17% – 18%; the Company’s nearest sized competitor is of similar size, although it is in the process of acquiring another flavor and fragrance supplier which will result in it being substantially larger than IFF. Currently, the five largest companies in the industry combined represent approximately 65% – 70% of the global market.</w:t>
      </w:r>
    </w:p>
    <w:p>
      <w:pPr>
        <w:spacing w:after="0" w:line="62" w:lineRule="exact"/>
        <w:rPr>
          <w:sz w:val="20"/>
          <w:szCs w:val="20"/>
          <w:color w:val="auto"/>
        </w:rPr>
      </w:pPr>
    </w:p>
    <w:p>
      <w:pPr>
        <w:ind w:right="4299" w:firstLine="263"/>
        <w:spacing w:after="0" w:line="257" w:lineRule="auto"/>
        <w:rPr>
          <w:sz w:val="20"/>
          <w:szCs w:val="20"/>
          <w:color w:val="auto"/>
        </w:rPr>
      </w:pPr>
      <w:r>
        <w:rPr>
          <w:rFonts w:ascii="Arial" w:cs="Arial" w:eastAsia="Arial" w:hAnsi="Arial"/>
          <w:sz w:val="13"/>
          <w:szCs w:val="13"/>
          <w:color w:val="auto"/>
        </w:rPr>
        <w:t>Fragrance compounds are used in perfumes, cosmetics, toiletries, hair care products, deodorants, soaps, detergents and softeners as well as air care products. Major fragrance customers include the cosmetics industry, including perfume and toiletries manufacturers, and the household products industry, including manufacturers of soaps, detergents, household cleaners and air fresheners. Flavor products are sold to the food and beverage industries for use in consumer products such as prepared foods, beverages, dairy, food and confectionery products. The Company is also a leading manufacturer of synthetic ingredients used in making fragrances. Approximately 55% of the Company’s ingredient production is consumed internally; the balance is sold to third party customers.</w:t>
      </w:r>
    </w:p>
    <w:p>
      <w:pPr>
        <w:spacing w:after="0" w:line="64" w:lineRule="exact"/>
        <w:rPr>
          <w:sz w:val="20"/>
          <w:szCs w:val="20"/>
          <w:color w:val="auto"/>
        </w:rPr>
      </w:pPr>
    </w:p>
    <w:p>
      <w:pPr>
        <w:ind w:right="4299" w:firstLine="263"/>
        <w:spacing w:after="0" w:line="258" w:lineRule="auto"/>
        <w:rPr>
          <w:sz w:val="20"/>
          <w:szCs w:val="20"/>
          <w:color w:val="auto"/>
        </w:rPr>
      </w:pPr>
      <w:r>
        <w:rPr>
          <w:rFonts w:ascii="Arial" w:cs="Arial" w:eastAsia="Arial" w:hAnsi="Arial"/>
          <w:sz w:val="13"/>
          <w:szCs w:val="13"/>
          <w:color w:val="auto"/>
        </w:rPr>
        <w:t>Changing social habits resulting from such factors as changes in disposable income, leisure time, health concerns, urbanization and population growth stimulate demand for consumer products utilizing flavors and fragrances. These developments expand the market for products with finer fragrance quality, as well as the market for colognes and toiletries. Such developments also stimulate demand for convenience foods, soft drinks and low-fat food products that must conform to expected tastes. These developments necessitate the creation and development of flavors and fragrances and ingredients that are compatible with newly introduced materials and methods of application used in consumer products.</w:t>
      </w:r>
    </w:p>
    <w:p>
      <w:pPr>
        <w:spacing w:after="0" w:line="200"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Flavors and fragrances are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77380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8" w:lineRule="exact"/>
        <w:rPr>
          <w:sz w:val="20"/>
          <w:szCs w:val="20"/>
          <w:color w:val="auto"/>
        </w:rPr>
      </w:pPr>
    </w:p>
    <w:p>
      <w:pPr>
        <w:ind w:left="560" w:hanging="304"/>
        <w:spacing w:after="0"/>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created for the exclusive use of a specific customer;</w:t>
      </w:r>
    </w:p>
    <w:p>
      <w:pPr>
        <w:spacing w:after="0" w:line="97" w:lineRule="exact"/>
        <w:rPr>
          <w:rFonts w:ascii="Arial" w:cs="Arial" w:eastAsia="Arial" w:hAnsi="Arial"/>
          <w:sz w:val="13"/>
          <w:szCs w:val="13"/>
          <w:color w:val="auto"/>
        </w:rPr>
      </w:pPr>
    </w:p>
    <w:p>
      <w:pPr>
        <w:ind w:left="560" w:right="4419" w:hanging="304"/>
        <w:spacing w:after="0" w:line="279" w:lineRule="auto"/>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sold in solid or liquid form, in amounts ranging from a few pounds to several tons depending on the nature of the end product in which they are used;</w:t>
      </w:r>
    </w:p>
    <w:p>
      <w:pPr>
        <w:spacing w:after="0" w:line="57" w:lineRule="exact"/>
        <w:rPr>
          <w:rFonts w:ascii="Arial" w:cs="Arial" w:eastAsia="Arial" w:hAnsi="Arial"/>
          <w:sz w:val="13"/>
          <w:szCs w:val="13"/>
          <w:color w:val="auto"/>
        </w:rPr>
      </w:pPr>
    </w:p>
    <w:p>
      <w:pPr>
        <w:ind w:left="560" w:hanging="304"/>
        <w:spacing w:after="0"/>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small percentage of the volume and cost of the end product sold to the consumer; and</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major factor in consumer selection and acceptance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-534670</wp:posOffset>
            </wp:positionV>
            <wp:extent cx="377380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377380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377380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107" w:lineRule="exact"/>
        <w:rPr>
          <w:sz w:val="20"/>
          <w:szCs w:val="20"/>
          <w:color w:val="auto"/>
        </w:rPr>
      </w:pPr>
    </w:p>
    <w:p>
      <w:pPr>
        <w:ind w:right="4399" w:firstLine="263"/>
        <w:spacing w:after="0" w:line="337" w:lineRule="auto"/>
        <w:rPr>
          <w:sz w:val="20"/>
          <w:szCs w:val="20"/>
          <w:color w:val="auto"/>
        </w:rPr>
      </w:pPr>
      <w:r>
        <w:rPr>
          <w:rFonts w:ascii="Arial" w:cs="Arial" w:eastAsia="Arial" w:hAnsi="Arial"/>
          <w:sz w:val="11"/>
          <w:szCs w:val="11"/>
          <w:color w:val="auto"/>
        </w:rPr>
        <w:t>Flavors and fragrances have similar economic and operational characteristics, including research and development, the nature of the creative and production processes, the manner in which products are distributed and the type of customer; many of the Company’s customers purchase both flavors and fragrances.</w:t>
      </w:r>
    </w:p>
    <w:p>
      <w:pPr>
        <w:spacing w:after="0" w:line="21" w:lineRule="exact"/>
        <w:rPr>
          <w:sz w:val="20"/>
          <w:szCs w:val="20"/>
          <w:color w:val="auto"/>
        </w:rPr>
      </w:pPr>
    </w:p>
    <w:p>
      <w:pPr>
        <w:ind w:right="4239" w:firstLine="263"/>
        <w:spacing w:after="0" w:line="312" w:lineRule="auto"/>
        <w:rPr>
          <w:sz w:val="20"/>
          <w:szCs w:val="20"/>
          <w:color w:val="auto"/>
        </w:rPr>
      </w:pPr>
      <w:r>
        <w:rPr>
          <w:rFonts w:ascii="Arial" w:cs="Arial" w:eastAsia="Arial" w:hAnsi="Arial"/>
          <w:sz w:val="11"/>
          <w:szCs w:val="11"/>
          <w:color w:val="auto"/>
        </w:rPr>
        <w:t>The flavor and fragrance industry is impacted by macroeconomic factors in all product categories and geographic regions. Such factors include the impact of currency on the price of raw materials and operating costs as well as on translation of reported results. In addition, pricing pressure placed on the Company’s customers by large and powerful retailers and distributors is inevitably passed along to the Company, and its competitors. Leadership in innovation and creativity mitigates the impact of pricing pressure. Success and growth in the industry is dependent upon creativity and innovation in meeting the many and varied needs of the customers’ products in a cost-efficient and effective manner, and with a consistently high level of timely service and delivery.</w:t>
      </w:r>
    </w:p>
    <w:p>
      <w:pPr>
        <w:spacing w:after="0" w:line="36" w:lineRule="exact"/>
        <w:rPr>
          <w:sz w:val="20"/>
          <w:szCs w:val="20"/>
          <w:color w:val="auto"/>
        </w:rPr>
      </w:pPr>
    </w:p>
    <w:p>
      <w:pPr>
        <w:ind w:right="4239" w:firstLine="263"/>
        <w:spacing w:after="0" w:line="281" w:lineRule="auto"/>
        <w:rPr>
          <w:sz w:val="20"/>
          <w:szCs w:val="20"/>
          <w:color w:val="auto"/>
        </w:rPr>
      </w:pPr>
      <w:r>
        <w:rPr>
          <w:rFonts w:ascii="Arial" w:cs="Arial" w:eastAsia="Arial" w:hAnsi="Arial"/>
          <w:sz w:val="12"/>
          <w:szCs w:val="12"/>
          <w:color w:val="auto"/>
        </w:rPr>
        <w:t>The Company produces more than 31,000 unique compounds, of which approximately 60% are flavors and 40% fragrances. The Company continually creates new compounds to meet the changing characteristics and needs of its customers’ end products. No single compound represents more than 1% of net sales. Development of fragrances and flavors is a complex technical and artistic process calling upon the combined knowledge and talents of creative perfumers and flavorists, and application and research chemists. An important element of creation is the development of new ingredients. The Company bears essentially all costs incurred in connection with the creation and development of new flavors and fragrances and such formulae are generally protected under trade secrecy. The Company is not materially dependent on any patents, trademarks or licenses.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strategic direction is defined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77380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8" w:lineRule="exact"/>
        <w:rPr>
          <w:sz w:val="20"/>
          <w:szCs w:val="20"/>
          <w:color w:val="auto"/>
        </w:rPr>
      </w:pPr>
    </w:p>
    <w:p>
      <w:pPr>
        <w:ind w:left="560" w:hanging="304"/>
        <w:spacing w:after="0"/>
        <w:tabs>
          <w:tab w:leader="none" w:pos="5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Be a global leader in fragrances and flavors; and</w:t>
      </w:r>
    </w:p>
    <w:p>
      <w:pPr>
        <w:spacing w:after="0" w:line="97" w:lineRule="exact"/>
        <w:rPr>
          <w:rFonts w:ascii="Arial" w:cs="Arial" w:eastAsia="Arial" w:hAnsi="Arial"/>
          <w:sz w:val="13"/>
          <w:szCs w:val="13"/>
          <w:color w:val="auto"/>
        </w:rPr>
      </w:pPr>
    </w:p>
    <w:p>
      <w:pPr>
        <w:ind w:left="560" w:hanging="304"/>
        <w:spacing w:after="0"/>
        <w:tabs>
          <w:tab w:leader="none" w:pos="5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Provide our customers with differentiated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3773805"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plan to achieve this strategy is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773805"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8" w:lineRule="exact"/>
        <w:rPr>
          <w:sz w:val="20"/>
          <w:szCs w:val="20"/>
          <w:color w:val="auto"/>
        </w:rPr>
      </w:pPr>
    </w:p>
    <w:p>
      <w:pPr>
        <w:ind w:left="560" w:right="4659" w:hanging="304"/>
        <w:spacing w:after="0" w:line="322" w:lineRule="auto"/>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Implement a business unit focus that will align management and resources with the needs of its strategic customers and provide greater accountability; this will drive improved results.</w:t>
      </w:r>
    </w:p>
    <w:p>
      <w:pPr>
        <w:spacing w:after="0" w:line="35" w:lineRule="exact"/>
        <w:rPr>
          <w:rFonts w:ascii="Arial" w:cs="Arial" w:eastAsia="Arial" w:hAnsi="Arial"/>
          <w:sz w:val="12"/>
          <w:szCs w:val="12"/>
          <w:color w:val="auto"/>
        </w:rPr>
      </w:pPr>
    </w:p>
    <w:p>
      <w:pPr>
        <w:ind w:left="560" w:right="4359" w:hanging="304"/>
        <w:spacing w:after="0" w:line="337" w:lineRule="auto"/>
        <w:tabs>
          <w:tab w:leader="none" w:pos="5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Focus its research and development efforts on those projects considered most likely to drive future profitable growth. The Company anticipates much of this research will be conducted internally, but such efforts may be augmented by joint research undertakings and through acquisition of technology.</w:t>
      </w:r>
    </w:p>
    <w:p>
      <w:pPr>
        <w:spacing w:after="0" w:line="30" w:lineRule="exact"/>
        <w:rPr>
          <w:rFonts w:ascii="Arial" w:cs="Arial" w:eastAsia="Arial" w:hAnsi="Arial"/>
          <w:sz w:val="11"/>
          <w:szCs w:val="11"/>
          <w:color w:val="auto"/>
        </w:rPr>
      </w:pPr>
    </w:p>
    <w:p>
      <w:pPr>
        <w:ind w:left="560" w:right="4359" w:hanging="304"/>
        <w:spacing w:after="0" w:line="299" w:lineRule="auto"/>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Provide quality products, safe and suitable for inclusion in its customers’ end products; an essential element is the consistent quality and safety of raw materials achieved through a combination of steps including but not limited to vendor certification and quality assurance testing.</w:t>
      </w:r>
    </w:p>
    <w:p>
      <w:pPr>
        <w:spacing w:after="0" w:line="47" w:lineRule="exact"/>
        <w:rPr>
          <w:rFonts w:ascii="Arial" w:cs="Arial" w:eastAsia="Arial" w:hAnsi="Arial"/>
          <w:sz w:val="12"/>
          <w:szCs w:val="12"/>
          <w:color w:val="auto"/>
        </w:rPr>
      </w:pPr>
    </w:p>
    <w:p>
      <w:pPr>
        <w:ind w:left="560" w:right="4679" w:hanging="304"/>
        <w:spacing w:after="0" w:line="279" w:lineRule="auto"/>
        <w:tabs>
          <w:tab w:leader="none" w:pos="5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Continuously improving its operations and customer service supported by the global enterprise requirements planning software package (‘‘SAP’’), and related initiatives.</w:t>
      </w:r>
    </w:p>
    <w:p>
      <w:pPr>
        <w:spacing w:after="0" w:line="57" w:lineRule="exact"/>
        <w:rPr>
          <w:rFonts w:ascii="Arial" w:cs="Arial" w:eastAsia="Arial" w:hAnsi="Arial"/>
          <w:sz w:val="13"/>
          <w:szCs w:val="13"/>
          <w:color w:val="auto"/>
        </w:rPr>
      </w:pPr>
    </w:p>
    <w:p>
      <w:pPr>
        <w:ind w:left="560" w:right="4819" w:hanging="304"/>
        <w:spacing w:after="0" w:line="279" w:lineRule="auto"/>
        <w:tabs>
          <w:tab w:leader="none" w:pos="5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Build a culture that attracts, retains and develops the best talent in the world. Our customers, stakeholders and employees expect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-1219200</wp:posOffset>
            </wp:positionV>
            <wp:extent cx="377380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-861060</wp:posOffset>
            </wp:positionV>
            <wp:extent cx="377380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-503555</wp:posOffset>
            </wp:positionV>
            <wp:extent cx="3773805"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3773805"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sectPr>
      </w:pPr>
    </w:p>
    <w:bookmarkStart w:id="10" w:name="page11"/>
    <w:bookmarkEnd w:id="10"/>
    <w:p>
      <w:pPr>
        <w:ind w:right="4279" w:firstLine="263"/>
        <w:spacing w:after="0" w:line="266" w:lineRule="auto"/>
        <w:rPr>
          <w:sz w:val="20"/>
          <w:szCs w:val="20"/>
          <w:color w:val="auto"/>
        </w:rPr>
      </w:pPr>
      <w:r>
        <w:rPr>
          <w:rFonts w:ascii="Arial" w:cs="Arial" w:eastAsia="Arial" w:hAnsi="Arial"/>
          <w:sz w:val="13"/>
          <w:szCs w:val="13"/>
          <w:color w:val="auto"/>
        </w:rPr>
        <w:t>As implementation of our strategy progresses, setting strategic initiatives requires regular establishment and reassessment of priorities and necessitates choices in order to provide the best opportunity for continuous improvement in shareholder value.</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Commentary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breakdown of sales by principal product category is depicted in the graph below.</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2006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155575</wp:posOffset>
            </wp:positionV>
            <wp:extent cx="2084705" cy="7410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8470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259" w:firstLine="263"/>
        <w:spacing w:after="0" w:line="287" w:lineRule="auto"/>
        <w:rPr>
          <w:sz w:val="20"/>
          <w:szCs w:val="20"/>
          <w:color w:val="auto"/>
        </w:rPr>
      </w:pPr>
      <w:r>
        <w:rPr>
          <w:rFonts w:ascii="Arial" w:cs="Arial" w:eastAsia="Arial" w:hAnsi="Arial"/>
          <w:sz w:val="12"/>
          <w:szCs w:val="12"/>
          <w:color w:val="auto"/>
        </w:rPr>
        <w:t>The Company’s five largest customers comprise 31% of consolidated sales and its top thirty customers 57%; these percentages have remained fairly constant for several years although sales to larger customers, as a percentage of total sales, are trending higher. No customer accounts for 10% or more of sales. A key factor for commercial success is inclusion on core supplier lists of strategic customers, opening opportunities to win new business. The Company is currently on the majority of core supplier lists of its strategic customers.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Net sales for 2006, 2005 and 2004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83603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84"/>
              </w:rPr>
              <w:t>Percent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Percent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3020" w:type="dxa"/>
            <w:vAlign w:val="bottom"/>
          </w:tcPr>
          <w:p>
            <w:pPr>
              <w:spacing w:after="0"/>
              <w:rPr>
                <w:sz w:val="20"/>
                <w:szCs w:val="20"/>
                <w:color w:val="auto"/>
              </w:rPr>
            </w:pPr>
            <w:r>
              <w:rPr>
                <w:rFonts w:ascii="Arial" w:cs="Arial" w:eastAsia="Arial" w:hAnsi="Arial"/>
                <w:sz w:val="11"/>
                <w:szCs w:val="11"/>
                <w:b w:val="1"/>
                <w:bCs w:val="1"/>
                <w:color w:val="auto"/>
              </w:rPr>
              <w:t>Net Sales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57"/>
              <w:spacing w:after="0"/>
              <w:rPr>
                <w:sz w:val="20"/>
                <w:szCs w:val="20"/>
                <w:color w:val="auto"/>
              </w:rPr>
            </w:pPr>
            <w:r>
              <w:rPr>
                <w:rFonts w:ascii="Arial" w:cs="Arial" w:eastAsia="Arial" w:hAnsi="Arial"/>
                <w:sz w:val="11"/>
                <w:szCs w:val="11"/>
                <w:b w:val="1"/>
                <w:bCs w:val="1"/>
                <w:color w:val="auto"/>
                <w:w w:val="81"/>
              </w:rPr>
              <w:t>2006</w:t>
            </w:r>
          </w:p>
        </w:tc>
        <w:tc>
          <w:tcPr>
            <w:tcW w:w="200" w:type="dxa"/>
            <w:vAlign w:val="bottom"/>
          </w:tcPr>
          <w:p>
            <w:pPr>
              <w:spacing w:after="0"/>
              <w:rPr>
                <w:sz w:val="11"/>
                <w:szCs w:val="11"/>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Pr>
          <w:p>
            <w:pPr>
              <w:spacing w:after="0"/>
              <w:rPr>
                <w:sz w:val="11"/>
                <w:szCs w:val="11"/>
                <w:color w:val="auto"/>
              </w:rPr>
            </w:pPr>
          </w:p>
        </w:tc>
        <w:tc>
          <w:tcPr>
            <w:tcW w:w="340" w:type="dxa"/>
            <w:vAlign w:val="bottom"/>
          </w:tcPr>
          <w:p>
            <w:pPr>
              <w:jc w:val="right"/>
              <w:ind w:right="57"/>
              <w:spacing w:after="0"/>
              <w:rPr>
                <w:sz w:val="20"/>
                <w:szCs w:val="20"/>
                <w:color w:val="auto"/>
              </w:rPr>
            </w:pPr>
            <w:r>
              <w:rPr>
                <w:rFonts w:ascii="Arial" w:cs="Arial" w:eastAsia="Arial" w:hAnsi="Arial"/>
                <w:sz w:val="11"/>
                <w:szCs w:val="11"/>
                <w:b w:val="1"/>
                <w:bCs w:val="1"/>
                <w:color w:val="auto"/>
                <w:w w:val="81"/>
              </w:rPr>
              <w:t>2005</w:t>
            </w:r>
          </w:p>
        </w:tc>
        <w:tc>
          <w:tcPr>
            <w:tcW w:w="200" w:type="dxa"/>
            <w:vAlign w:val="bottom"/>
          </w:tcPr>
          <w:p>
            <w:pPr>
              <w:spacing w:after="0"/>
              <w:rPr>
                <w:sz w:val="11"/>
                <w:szCs w:val="11"/>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1"/>
                <w:szCs w:val="11"/>
                <w:color w:val="auto"/>
              </w:rPr>
            </w:pPr>
          </w:p>
        </w:tc>
        <w:tc>
          <w:tcPr>
            <w:tcW w:w="340" w:type="dxa"/>
            <w:vAlign w:val="bottom"/>
          </w:tcPr>
          <w:p>
            <w:pPr>
              <w:jc w:val="right"/>
              <w:ind w:right="57"/>
              <w:spacing w:after="0"/>
              <w:rPr>
                <w:sz w:val="20"/>
                <w:szCs w:val="20"/>
                <w:color w:val="auto"/>
              </w:rPr>
            </w:pPr>
            <w:r>
              <w:rPr>
                <w:rFonts w:ascii="Arial" w:cs="Arial" w:eastAsia="Arial" w:hAnsi="Arial"/>
                <w:sz w:val="11"/>
                <w:szCs w:val="11"/>
                <w:b w:val="1"/>
                <w:bCs w:val="1"/>
                <w:color w:val="auto"/>
                <w:w w:val="81"/>
              </w:rPr>
              <w:t>2004</w:t>
            </w:r>
          </w:p>
        </w:tc>
        <w:tc>
          <w:tcPr>
            <w:tcW w:w="20" w:type="dxa"/>
            <w:vAlign w:val="bottom"/>
          </w:tcPr>
          <w:p>
            <w:pPr>
              <w:spacing w:after="0"/>
              <w:rPr>
                <w:sz w:val="11"/>
                <w:szCs w:val="11"/>
                <w:color w:val="auto"/>
              </w:rPr>
            </w:pPr>
          </w:p>
        </w:tc>
      </w:tr>
      <w:tr>
        <w:trPr>
          <w:trHeight w:val="158"/>
        </w:trPr>
        <w:tc>
          <w:tcPr>
            <w:tcW w:w="30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Flavors</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895</w:t>
            </w:r>
          </w:p>
        </w:tc>
        <w:tc>
          <w:tcPr>
            <w:tcW w:w="200" w:type="dxa"/>
            <w:vAlign w:val="bottom"/>
            <w:shd w:val="clear" w:color="auto" w:fill="CCEEFF"/>
          </w:tcPr>
          <w:p>
            <w:pPr>
              <w:spacing w:after="0"/>
              <w:rPr>
                <w:sz w:val="13"/>
                <w:szCs w:val="13"/>
                <w:color w:val="auto"/>
              </w:rPr>
            </w:pPr>
          </w:p>
        </w:tc>
        <w:tc>
          <w:tcPr>
            <w:tcW w:w="3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858</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−6%</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911</w:t>
            </w:r>
          </w:p>
        </w:tc>
        <w:tc>
          <w:tcPr>
            <w:tcW w:w="20" w:type="dxa"/>
            <w:vAlign w:val="bottom"/>
          </w:tcPr>
          <w:p>
            <w:pPr>
              <w:spacing w:after="0"/>
              <w:rPr>
                <w:sz w:val="13"/>
                <w:szCs w:val="13"/>
                <w:color w:val="auto"/>
              </w:rPr>
            </w:pPr>
          </w:p>
        </w:tc>
      </w:tr>
      <w:tr>
        <w:trPr>
          <w:trHeight w:val="158"/>
        </w:trPr>
        <w:tc>
          <w:tcPr>
            <w:tcW w:w="3020" w:type="dxa"/>
            <w:vAlign w:val="bottom"/>
          </w:tcPr>
          <w:p>
            <w:pPr>
              <w:spacing w:after="0"/>
              <w:rPr>
                <w:sz w:val="20"/>
                <w:szCs w:val="20"/>
                <w:color w:val="auto"/>
              </w:rPr>
            </w:pPr>
            <w:r>
              <w:rPr>
                <w:rFonts w:ascii="Arial" w:cs="Arial" w:eastAsia="Arial" w:hAnsi="Arial"/>
                <w:sz w:val="13"/>
                <w:szCs w:val="13"/>
                <w:color w:val="auto"/>
                <w:highlight w:val="white"/>
              </w:rPr>
              <w:t>Fragrances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1,200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1,135</w:t>
            </w:r>
          </w:p>
        </w:tc>
        <w:tc>
          <w:tcPr>
            <w:tcW w:w="580" w:type="dxa"/>
            <w:vAlign w:val="bottom"/>
            <w:gridSpan w:val="4"/>
          </w:tcPr>
          <w:p>
            <w:pPr>
              <w:jc w:val="right"/>
              <w:ind w:right="2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1,123</w:t>
            </w:r>
          </w:p>
        </w:tc>
        <w:tc>
          <w:tcPr>
            <w:tcW w:w="20" w:type="dxa"/>
            <w:vAlign w:val="bottom"/>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30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shd w:val="clear" w:color="auto" w:fill="CCEEFF"/>
              </w:rPr>
              <w:t>Total net sales</w:t>
            </w: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2,095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1,993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0"/>
              </w:rPr>
              <w:t>−2%</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2,034</w:t>
            </w:r>
          </w:p>
        </w:tc>
        <w:tc>
          <w:tcPr>
            <w:tcW w:w="20" w:type="dxa"/>
            <w:vAlign w:val="bottom"/>
          </w:tcPr>
          <w:p>
            <w:pPr>
              <w:spacing w:after="0"/>
              <w:rPr>
                <w:sz w:val="12"/>
                <w:szCs w:val="12"/>
                <w:color w:val="auto"/>
              </w:rPr>
            </w:pPr>
          </w:p>
        </w:tc>
      </w:tr>
      <w:tr>
        <w:trPr>
          <w:trHeight w:val="30"/>
        </w:trPr>
        <w:tc>
          <w:tcPr>
            <w:tcW w:w="302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3842385" cy="4895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42385" cy="489585"/>
                    </a:xfrm>
                    <a:prstGeom prst="rect">
                      <a:avLst/>
                    </a:prstGeom>
                    <a:noFill/>
                  </pic:spPr>
                </pic:pic>
              </a:graphicData>
            </a:graphic>
          </wp:anchor>
        </w:drawing>
      </w:r>
    </w:p>
    <w:p>
      <w:pPr>
        <w:spacing w:after="0" w:line="159" w:lineRule="exact"/>
        <w:rPr>
          <w:sz w:val="20"/>
          <w:szCs w:val="20"/>
          <w:color w:val="auto"/>
        </w:rPr>
      </w:pPr>
    </w:p>
    <w:p>
      <w:pPr>
        <w:jc w:val="both"/>
        <w:ind w:right="4239" w:firstLine="263"/>
        <w:spacing w:after="0" w:line="337" w:lineRule="auto"/>
        <w:rPr>
          <w:sz w:val="20"/>
          <w:szCs w:val="20"/>
          <w:color w:val="auto"/>
        </w:rPr>
      </w:pPr>
      <w:r>
        <w:rPr>
          <w:rFonts w:ascii="Arial" w:cs="Arial" w:eastAsia="Arial" w:hAnsi="Arial"/>
          <w:sz w:val="11"/>
          <w:szCs w:val="11"/>
          <w:color w:val="auto"/>
        </w:rPr>
        <w:t>The Company currently manages its operations by major geographical region and considers destination sales a key performance measure. Although reported sales and earnings are affected by the weakening or strengthening of the U.S. dollar, this has not had a long-term effect on the underlying strength of the Company’s business.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2006 Sales by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161925</wp:posOffset>
            </wp:positionV>
            <wp:extent cx="3383915" cy="11614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8391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239" w:firstLine="263"/>
        <w:spacing w:after="0" w:line="266" w:lineRule="auto"/>
        <w:rPr>
          <w:sz w:val="20"/>
          <w:szCs w:val="20"/>
          <w:color w:val="auto"/>
        </w:rPr>
      </w:pPr>
      <w:r>
        <w:rPr>
          <w:rFonts w:ascii="Arial" w:cs="Arial" w:eastAsia="Arial" w:hAnsi="Arial"/>
          <w:sz w:val="13"/>
          <w:szCs w:val="13"/>
          <w:color w:val="auto"/>
        </w:rPr>
        <w:t>In 2004, the Company disposed of its European fruit preparation business; disposal did not materially impact operating results. The following table summarizes sales on a geographic basis and reflects adjustments, as appropriate, to exclude sales attributable to the fruit business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350" cy="628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383603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84"/>
              </w:rPr>
              <w:t>Percent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Percent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20" w:type="dxa"/>
            <w:vAlign w:val="bottom"/>
          </w:tcPr>
          <w:p>
            <w:pPr>
              <w:spacing w:after="0"/>
              <w:rPr>
                <w:sz w:val="20"/>
                <w:szCs w:val="20"/>
                <w:color w:val="auto"/>
              </w:rPr>
            </w:pPr>
            <w:r>
              <w:rPr>
                <w:rFonts w:ascii="Arial" w:cs="Arial" w:eastAsia="Arial" w:hAnsi="Arial"/>
                <w:sz w:val="11"/>
                <w:szCs w:val="11"/>
                <w:b w:val="1"/>
                <w:bCs w:val="1"/>
                <w:color w:val="auto"/>
              </w:rPr>
              <w:t>Sales by Destination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56"/>
              <w:spacing w:after="0"/>
              <w:rPr>
                <w:sz w:val="20"/>
                <w:szCs w:val="20"/>
                <w:color w:val="auto"/>
              </w:rPr>
            </w:pPr>
            <w:r>
              <w:rPr>
                <w:rFonts w:ascii="Arial" w:cs="Arial" w:eastAsia="Arial" w:hAnsi="Arial"/>
                <w:sz w:val="11"/>
                <w:szCs w:val="11"/>
                <w:b w:val="1"/>
                <w:bCs w:val="1"/>
                <w:color w:val="auto"/>
                <w:w w:val="81"/>
              </w:rPr>
              <w:t>2006</w:t>
            </w:r>
          </w:p>
        </w:tc>
        <w:tc>
          <w:tcPr>
            <w:tcW w:w="200" w:type="dxa"/>
            <w:vAlign w:val="bottom"/>
          </w:tcPr>
          <w:p>
            <w:pPr>
              <w:spacing w:after="0"/>
              <w:rPr>
                <w:sz w:val="11"/>
                <w:szCs w:val="11"/>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Pr>
          <w:p>
            <w:pPr>
              <w:spacing w:after="0"/>
              <w:rPr>
                <w:sz w:val="11"/>
                <w:szCs w:val="11"/>
                <w:color w:val="auto"/>
              </w:rPr>
            </w:pPr>
          </w:p>
        </w:tc>
        <w:tc>
          <w:tcPr>
            <w:tcW w:w="340" w:type="dxa"/>
            <w:vAlign w:val="bottom"/>
          </w:tcPr>
          <w:p>
            <w:pPr>
              <w:jc w:val="right"/>
              <w:ind w:right="56"/>
              <w:spacing w:after="0"/>
              <w:rPr>
                <w:sz w:val="20"/>
                <w:szCs w:val="20"/>
                <w:color w:val="auto"/>
              </w:rPr>
            </w:pPr>
            <w:r>
              <w:rPr>
                <w:rFonts w:ascii="Arial" w:cs="Arial" w:eastAsia="Arial" w:hAnsi="Arial"/>
                <w:sz w:val="11"/>
                <w:szCs w:val="11"/>
                <w:b w:val="1"/>
                <w:bCs w:val="1"/>
                <w:color w:val="auto"/>
                <w:w w:val="81"/>
              </w:rPr>
              <w:t>2005</w:t>
            </w:r>
          </w:p>
        </w:tc>
        <w:tc>
          <w:tcPr>
            <w:tcW w:w="200" w:type="dxa"/>
            <w:vAlign w:val="bottom"/>
          </w:tcPr>
          <w:p>
            <w:pPr>
              <w:spacing w:after="0"/>
              <w:rPr>
                <w:sz w:val="11"/>
                <w:szCs w:val="11"/>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1"/>
                <w:szCs w:val="11"/>
                <w:color w:val="auto"/>
              </w:rPr>
            </w:pPr>
          </w:p>
        </w:tc>
        <w:tc>
          <w:tcPr>
            <w:tcW w:w="340" w:type="dxa"/>
            <w:vAlign w:val="bottom"/>
          </w:tcPr>
          <w:p>
            <w:pPr>
              <w:jc w:val="right"/>
              <w:ind w:right="56"/>
              <w:spacing w:after="0"/>
              <w:rPr>
                <w:sz w:val="20"/>
                <w:szCs w:val="20"/>
                <w:color w:val="auto"/>
              </w:rPr>
            </w:pPr>
            <w:r>
              <w:rPr>
                <w:rFonts w:ascii="Arial" w:cs="Arial" w:eastAsia="Arial" w:hAnsi="Arial"/>
                <w:sz w:val="11"/>
                <w:szCs w:val="11"/>
                <w:b w:val="1"/>
                <w:bCs w:val="1"/>
                <w:color w:val="auto"/>
                <w:w w:val="81"/>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0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North America</w:t>
            </w: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612</w:t>
            </w:r>
          </w:p>
        </w:tc>
        <w:tc>
          <w:tcPr>
            <w:tcW w:w="200" w:type="dxa"/>
            <w:vAlign w:val="bottom"/>
            <w:shd w:val="clear" w:color="auto" w:fill="CCEEFF"/>
          </w:tcPr>
          <w:p>
            <w:pPr>
              <w:spacing w:after="0"/>
              <w:rPr>
                <w:sz w:val="13"/>
                <w:szCs w:val="13"/>
                <w:color w:val="auto"/>
              </w:rPr>
            </w:pPr>
          </w:p>
        </w:tc>
        <w:tc>
          <w:tcPr>
            <w:tcW w:w="3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572</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−4%</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20"/>
                <w:szCs w:val="20"/>
                <w:color w:val="auto"/>
              </w:rPr>
            </w:pPr>
            <w:r>
              <w:rPr>
                <w:rFonts w:ascii="Arial" w:cs="Arial" w:eastAsia="Arial" w:hAnsi="Arial"/>
                <w:sz w:val="13"/>
                <w:szCs w:val="13"/>
                <w:color w:val="auto"/>
                <w:highlight w:val="white"/>
              </w:rPr>
              <w:t>Europe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758</w:t>
            </w:r>
          </w:p>
        </w:tc>
        <w:tc>
          <w:tcPr>
            <w:tcW w:w="560" w:type="dxa"/>
            <w:vAlign w:val="bottom"/>
            <w:gridSpan w:val="4"/>
          </w:tcPr>
          <w:p>
            <w:pPr>
              <w:jc w:val="right"/>
              <w:ind w:right="2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739</w:t>
            </w:r>
          </w:p>
        </w:tc>
        <w:tc>
          <w:tcPr>
            <w:tcW w:w="120" w:type="dxa"/>
            <w:vAlign w:val="bottom"/>
          </w:tcPr>
          <w:p>
            <w:pPr>
              <w:spacing w:after="0"/>
              <w:rPr>
                <w:sz w:val="14"/>
                <w:szCs w:val="14"/>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3"/>
                <w:szCs w:val="13"/>
                <w:color w:val="auto"/>
                <w:w w:val="90"/>
              </w:rPr>
              <w:t>−6%</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Asia Pacific</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362</w:t>
            </w:r>
          </w:p>
        </w:tc>
        <w:tc>
          <w:tcPr>
            <w:tcW w:w="56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348</w:t>
            </w:r>
          </w:p>
        </w:tc>
        <w:tc>
          <w:tcPr>
            <w:tcW w:w="5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20"/>
                <w:szCs w:val="20"/>
                <w:color w:val="auto"/>
              </w:rPr>
            </w:pPr>
            <w:r>
              <w:rPr>
                <w:rFonts w:ascii="Arial" w:cs="Arial" w:eastAsia="Arial" w:hAnsi="Arial"/>
                <w:sz w:val="13"/>
                <w:szCs w:val="13"/>
                <w:color w:val="auto"/>
                <w:highlight w:val="white"/>
              </w:rPr>
              <w:t>Latin America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286</w:t>
            </w:r>
          </w:p>
        </w:tc>
        <w:tc>
          <w:tcPr>
            <w:tcW w:w="560" w:type="dxa"/>
            <w:vAlign w:val="bottom"/>
            <w:gridSpan w:val="4"/>
          </w:tcPr>
          <w:p>
            <w:pPr>
              <w:jc w:val="right"/>
              <w:ind w:right="2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262</w:t>
            </w:r>
          </w:p>
        </w:tc>
        <w:tc>
          <w:tcPr>
            <w:tcW w:w="580" w:type="dxa"/>
            <w:vAlign w:val="bottom"/>
            <w:gridSpan w:val="4"/>
          </w:tcPr>
          <w:p>
            <w:pPr>
              <w:jc w:val="right"/>
              <w:ind w:right="20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w:t>
            </w:r>
          </w:p>
        </w:tc>
        <w:tc>
          <w:tcPr>
            <w:tcW w:w="5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20" w:type="dxa"/>
            <w:vAlign w:val="bottom"/>
          </w:tcPr>
          <w:p>
            <w:pPr>
              <w:ind w:left="140"/>
              <w:spacing w:after="0"/>
              <w:rPr>
                <w:sz w:val="20"/>
                <w:szCs w:val="20"/>
                <w:color w:val="auto"/>
              </w:rPr>
            </w:pPr>
            <w:r>
              <w:rPr>
                <w:rFonts w:ascii="Arial" w:cs="Arial" w:eastAsia="Arial" w:hAnsi="Arial"/>
                <w:sz w:val="13"/>
                <w:szCs w:val="13"/>
                <w:color w:val="auto"/>
                <w:highlight w:val="white"/>
              </w:rPr>
              <w:t>Total net sales, as reported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2,095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1,993</w:t>
            </w:r>
          </w:p>
        </w:tc>
        <w:tc>
          <w:tcPr>
            <w:tcW w:w="120" w:type="dxa"/>
            <w:vAlign w:val="bottom"/>
          </w:tcPr>
          <w:p>
            <w:pPr>
              <w:spacing w:after="0"/>
              <w:rPr>
                <w:sz w:val="13"/>
                <w:szCs w:val="13"/>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3"/>
                <w:szCs w:val="13"/>
                <w:color w:val="auto"/>
                <w:w w:val="90"/>
              </w:rPr>
              <w:t>−2%</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2,034</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Less: European fruit preparations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tcPr>
          <w:p>
            <w:pPr>
              <w:ind w:left="140"/>
              <w:spacing w:after="0"/>
              <w:rPr>
                <w:sz w:val="20"/>
                <w:szCs w:val="20"/>
                <w:color w:val="auto"/>
              </w:rPr>
            </w:pPr>
            <w:r>
              <w:rPr>
                <w:rFonts w:ascii="Arial" w:cs="Arial" w:eastAsia="Arial" w:hAnsi="Arial"/>
                <w:sz w:val="13"/>
                <w:szCs w:val="13"/>
                <w:color w:val="auto"/>
                <w:highlight w:val="white"/>
              </w:rPr>
              <w:t>Total net sales, as adjusted</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2,095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3"/>
                <w:szCs w:val="13"/>
                <w:color w:val="auto"/>
              </w:rPr>
              <w:t>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1,993</w:t>
            </w:r>
          </w:p>
        </w:tc>
        <w:tc>
          <w:tcPr>
            <w:tcW w:w="580" w:type="dxa"/>
            <w:vAlign w:val="bottom"/>
            <w:gridSpan w:val="4"/>
          </w:tcPr>
          <w:p>
            <w:pPr>
              <w:jc w:val="right"/>
              <w:ind w:right="2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1,975</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-960120</wp:posOffset>
            </wp:positionV>
            <wp:extent cx="3842385" cy="1023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42385" cy="1023620"/>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Net sales below are adjusted to exclude all sales associated with the fruit business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83603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84"/>
              </w:rPr>
              <w:t>Percent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4"/>
              </w:rPr>
              <w:t>Percent</w:t>
            </w: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w w:val="90"/>
              </w:rPr>
              <w:t>As Adjusted</w:t>
            </w:r>
          </w:p>
        </w:tc>
      </w:tr>
      <w:tr>
        <w:trPr>
          <w:trHeight w:val="136"/>
        </w:trPr>
        <w:tc>
          <w:tcPr>
            <w:tcW w:w="3000" w:type="dxa"/>
            <w:vAlign w:val="bottom"/>
          </w:tcPr>
          <w:p>
            <w:pPr>
              <w:spacing w:after="0"/>
              <w:rPr>
                <w:sz w:val="20"/>
                <w:szCs w:val="20"/>
                <w:color w:val="auto"/>
              </w:rPr>
            </w:pPr>
            <w:r>
              <w:rPr>
                <w:rFonts w:ascii="Arial" w:cs="Arial" w:eastAsia="Arial" w:hAnsi="Arial"/>
                <w:sz w:val="11"/>
                <w:szCs w:val="11"/>
                <w:b w:val="1"/>
                <w:bCs w:val="1"/>
                <w:color w:val="auto"/>
              </w:rPr>
              <w:t>Net Sales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57"/>
              <w:spacing w:after="0"/>
              <w:rPr>
                <w:sz w:val="20"/>
                <w:szCs w:val="20"/>
                <w:color w:val="auto"/>
              </w:rPr>
            </w:pPr>
            <w:r>
              <w:rPr>
                <w:rFonts w:ascii="Arial" w:cs="Arial" w:eastAsia="Arial" w:hAnsi="Arial"/>
                <w:sz w:val="11"/>
                <w:szCs w:val="11"/>
                <w:b w:val="1"/>
                <w:bCs w:val="1"/>
                <w:color w:val="auto"/>
                <w:w w:val="81"/>
              </w:rPr>
              <w:t>2006</w:t>
            </w:r>
          </w:p>
        </w:tc>
        <w:tc>
          <w:tcPr>
            <w:tcW w:w="160" w:type="dxa"/>
            <w:vAlign w:val="bottom"/>
          </w:tcPr>
          <w:p>
            <w:pPr>
              <w:spacing w:after="0"/>
              <w:rPr>
                <w:sz w:val="11"/>
                <w:szCs w:val="11"/>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Pr>
          <w:p>
            <w:pPr>
              <w:spacing w:after="0"/>
              <w:rPr>
                <w:sz w:val="11"/>
                <w:szCs w:val="11"/>
                <w:color w:val="auto"/>
              </w:rPr>
            </w:pPr>
          </w:p>
        </w:tc>
        <w:tc>
          <w:tcPr>
            <w:tcW w:w="340" w:type="dxa"/>
            <w:vAlign w:val="bottom"/>
          </w:tcPr>
          <w:p>
            <w:pPr>
              <w:jc w:val="right"/>
              <w:ind w:right="57"/>
              <w:spacing w:after="0"/>
              <w:rPr>
                <w:sz w:val="20"/>
                <w:szCs w:val="20"/>
                <w:color w:val="auto"/>
              </w:rPr>
            </w:pPr>
            <w:r>
              <w:rPr>
                <w:rFonts w:ascii="Arial" w:cs="Arial" w:eastAsia="Arial" w:hAnsi="Arial"/>
                <w:sz w:val="11"/>
                <w:szCs w:val="11"/>
                <w:b w:val="1"/>
                <w:bCs w:val="1"/>
                <w:color w:val="auto"/>
                <w:w w:val="81"/>
              </w:rPr>
              <w:t>2005</w:t>
            </w:r>
          </w:p>
        </w:tc>
        <w:tc>
          <w:tcPr>
            <w:tcW w:w="160" w:type="dxa"/>
            <w:vAlign w:val="bottom"/>
          </w:tcPr>
          <w:p>
            <w:pPr>
              <w:spacing w:after="0"/>
              <w:rPr>
                <w:sz w:val="11"/>
                <w:szCs w:val="11"/>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4"/>
              </w:rPr>
              <w:t>Change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57"/>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r>
      <w:tr>
        <w:trPr>
          <w:trHeight w:val="158"/>
        </w:trPr>
        <w:tc>
          <w:tcPr>
            <w:tcW w:w="3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Flavors</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895</w:t>
            </w:r>
          </w:p>
        </w:tc>
        <w:tc>
          <w:tcPr>
            <w:tcW w:w="160" w:type="dxa"/>
            <w:vAlign w:val="bottom"/>
            <w:shd w:val="clear" w:color="auto" w:fill="CCEEFF"/>
          </w:tcPr>
          <w:p>
            <w:pPr>
              <w:spacing w:after="0"/>
              <w:rPr>
                <w:sz w:val="13"/>
                <w:szCs w:val="13"/>
                <w:color w:val="auto"/>
              </w:rPr>
            </w:pPr>
          </w:p>
        </w:tc>
        <w:tc>
          <w:tcPr>
            <w:tcW w:w="3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4%</w:t>
            </w: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858</w:t>
            </w:r>
          </w:p>
        </w:tc>
        <w:tc>
          <w:tcPr>
            <w:tcW w:w="160" w:type="dxa"/>
            <w:vAlign w:val="bottom"/>
            <w:shd w:val="clear" w:color="auto" w:fill="CCEEFF"/>
          </w:tcPr>
          <w:p>
            <w:pPr>
              <w:spacing w:after="0"/>
              <w:rPr>
                <w:sz w:val="13"/>
                <w:szCs w:val="13"/>
                <w:color w:val="auto"/>
              </w:rPr>
            </w:pPr>
          </w:p>
        </w:tc>
        <w:tc>
          <w:tcPr>
            <w:tcW w:w="36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852</w:t>
            </w:r>
          </w:p>
        </w:tc>
      </w:tr>
      <w:tr>
        <w:trPr>
          <w:trHeight w:val="158"/>
        </w:trPr>
        <w:tc>
          <w:tcPr>
            <w:tcW w:w="3000" w:type="dxa"/>
            <w:vAlign w:val="bottom"/>
          </w:tcPr>
          <w:p>
            <w:pPr>
              <w:spacing w:after="0"/>
              <w:rPr>
                <w:sz w:val="20"/>
                <w:szCs w:val="20"/>
                <w:color w:val="auto"/>
              </w:rPr>
            </w:pPr>
            <w:r>
              <w:rPr>
                <w:rFonts w:ascii="Arial" w:cs="Arial" w:eastAsia="Arial" w:hAnsi="Arial"/>
                <w:sz w:val="13"/>
                <w:szCs w:val="13"/>
                <w:color w:val="auto"/>
                <w:highlight w:val="white"/>
              </w:rPr>
              <w:t>Fragrances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1,200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1,135</w:t>
            </w:r>
          </w:p>
        </w:tc>
        <w:tc>
          <w:tcPr>
            <w:tcW w:w="520" w:type="dxa"/>
            <w:vAlign w:val="bottom"/>
            <w:gridSpan w:val="4"/>
          </w:tcPr>
          <w:p>
            <w:pPr>
              <w:jc w:val="right"/>
              <w:ind w:right="1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1,123</w:t>
            </w: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30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shd w:val="clear" w:color="auto" w:fill="CCEEFF"/>
              </w:rPr>
              <w:t>Total net sales, as adjusted</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2,095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1,993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1,975</w:t>
            </w:r>
          </w:p>
        </w:tc>
        <w:tc>
          <w:tcPr>
            <w:tcW w:w="100" w:type="dxa"/>
            <w:vAlign w:val="bottom"/>
            <w:shd w:val="clear" w:color="auto" w:fill="CCEEFF"/>
          </w:tcPr>
          <w:p>
            <w:pPr>
              <w:spacing w:after="0"/>
              <w:rPr>
                <w:sz w:val="12"/>
                <w:szCs w:val="12"/>
                <w:color w:val="auto"/>
              </w:rPr>
            </w:pPr>
          </w:p>
        </w:tc>
      </w:tr>
      <w:tr>
        <w:trPr>
          <w:trHeight w:val="30"/>
        </w:trPr>
        <w:tc>
          <w:tcPr>
            <w:tcW w:w="30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3836035" cy="4895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36035" cy="489585"/>
                    </a:xfrm>
                    <a:prstGeom prst="rect">
                      <a:avLst/>
                    </a:prstGeom>
                    <a:noFill/>
                  </pic:spPr>
                </pic:pic>
              </a:graphicData>
            </a:graphic>
          </wp:anchor>
        </w:drawing>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2006 in Comparison to 2005</w:t>
      </w:r>
    </w:p>
    <w:p>
      <w:pPr>
        <w:spacing w:after="0" w:line="78" w:lineRule="exact"/>
        <w:rPr>
          <w:sz w:val="20"/>
          <w:szCs w:val="20"/>
          <w:color w:val="auto"/>
        </w:rPr>
      </w:pPr>
    </w:p>
    <w:p>
      <w:pPr>
        <w:jc w:val="both"/>
        <w:ind w:right="4259" w:firstLine="263"/>
        <w:spacing w:after="0" w:line="262" w:lineRule="auto"/>
        <w:rPr>
          <w:sz w:val="20"/>
          <w:szCs w:val="20"/>
          <w:color w:val="auto"/>
        </w:rPr>
      </w:pPr>
      <w:r>
        <w:rPr>
          <w:rFonts w:ascii="Arial" w:cs="Arial" w:eastAsia="Arial" w:hAnsi="Arial"/>
          <w:sz w:val="13"/>
          <w:szCs w:val="13"/>
          <w:color w:val="auto"/>
        </w:rPr>
        <w:t>In 2006, net sales increased 5% in both dollars and local currency compared to 2005. The sales performance was led by strong growth in fine fragrances driven primarily by new product introductions and continued success of existing creations. Flavor sales increased compared to 2005 due to a combination of new product introductions and volume growth.</w:t>
      </w:r>
    </w:p>
    <w:p>
      <w:pPr>
        <w:spacing w:after="0" w:line="59" w:lineRule="exact"/>
        <w:rPr>
          <w:sz w:val="20"/>
          <w:szCs w:val="20"/>
          <w:color w:val="auto"/>
        </w:rPr>
      </w:pPr>
    </w:p>
    <w:p>
      <w:pPr>
        <w:ind w:right="4419" w:firstLine="263"/>
        <w:spacing w:after="0" w:line="279" w:lineRule="auto"/>
        <w:rPr>
          <w:sz w:val="20"/>
          <w:szCs w:val="20"/>
          <w:color w:val="auto"/>
        </w:rPr>
      </w:pPr>
      <w:r>
        <w:rPr>
          <w:rFonts w:ascii="Arial" w:cs="Arial" w:eastAsia="Arial" w:hAnsi="Arial"/>
          <w:sz w:val="13"/>
          <w:szCs w:val="13"/>
          <w:color w:val="auto"/>
        </w:rPr>
        <w:t>Regional and product category sales performance for 2006 compared to the prior year, in reported dollars and local currency,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76745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767455" cy="6350"/>
                    </a:xfrm>
                    <a:prstGeom prst="rect">
                      <a:avLst/>
                    </a:prstGeom>
                    <a:noFill/>
                  </pic:spPr>
                </pic:pic>
              </a:graphicData>
            </a:graphic>
          </wp:anchor>
        </w:drawing>
      </w:r>
    </w:p>
    <w:p>
      <w:pPr>
        <w:sectPr>
          <w:pgSz w:w="11900" w:h="16838" w:orient="portrait"/>
          <w:cols w:equalWidth="0" w:num="1">
            <w:col w:w="10239"/>
          </w:cols>
          <w:pgMar w:left="220" w:top="210" w:right="1440" w:bottom="0" w:gutter="0" w:footer="0" w:header="0"/>
        </w:sectPr>
      </w:pPr>
    </w:p>
    <w:p>
      <w:pPr>
        <w:spacing w:after="0" w:line="287" w:lineRule="exact"/>
        <w:rPr>
          <w:sz w:val="20"/>
          <w:szCs w:val="20"/>
          <w:color w:val="auto"/>
        </w:rPr>
      </w:pPr>
    </w:p>
    <w:p>
      <w:pPr>
        <w:jc w:val="center"/>
        <w:ind w:right="1899"/>
        <w:spacing w:after="0"/>
        <w:rPr>
          <w:sz w:val="20"/>
          <w:szCs w:val="20"/>
          <w:color w:val="auto"/>
        </w:rPr>
      </w:pPr>
      <w:r>
        <w:rPr>
          <w:rFonts w:ascii="Arial" w:cs="Arial" w:eastAsia="Arial" w:hAnsi="Arial"/>
          <w:sz w:val="11"/>
          <w:szCs w:val="11"/>
          <w:b w:val="1"/>
          <w:bCs w:val="1"/>
          <w:color w:val="auto"/>
        </w:rPr>
        <w:t>2006 vs.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-37465</wp:posOffset>
            </wp:positionV>
            <wp:extent cx="635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-37465</wp:posOffset>
            </wp:positionV>
            <wp:extent cx="635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-37465</wp:posOffset>
            </wp:positionV>
            <wp:extent cx="635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-37465</wp:posOffset>
            </wp:positionV>
            <wp:extent cx="635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center"/>
        <w:ind w:right="1899"/>
        <w:spacing w:after="0"/>
        <w:rPr>
          <w:sz w:val="20"/>
          <w:szCs w:val="20"/>
          <w:color w:val="auto"/>
        </w:rPr>
      </w:pPr>
      <w:r>
        <w:rPr>
          <w:rFonts w:ascii="Arial" w:cs="Arial" w:eastAsia="Arial" w:hAnsi="Arial"/>
          <w:sz w:val="9"/>
          <w:szCs w:val="9"/>
          <w:b w:val="1"/>
          <w:bCs w:val="1"/>
          <w:color w:val="auto"/>
        </w:rPr>
        <w:t>% Change in Sales by Region of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-22860</wp:posOffset>
            </wp:positionV>
            <wp:extent cx="635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-22860</wp:posOffset>
            </wp:positionV>
            <wp:extent cx="635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-22860</wp:posOffset>
            </wp:positionV>
            <wp:extent cx="635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-22860</wp:posOffset>
            </wp:positionV>
            <wp:extent cx="6350"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26670</wp:posOffset>
            </wp:positionV>
            <wp:extent cx="635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26670</wp:posOffset>
            </wp:positionV>
            <wp:extent cx="6350"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20320</wp:posOffset>
            </wp:positionV>
            <wp:extent cx="2373630" cy="12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373630" cy="12700"/>
                    </a:xfrm>
                    <a:prstGeom prst="rect">
                      <a:avLst/>
                    </a:prstGeom>
                    <a:noFill/>
                  </pic:spPr>
                </pic:pic>
              </a:graphicData>
            </a:graphic>
          </wp:anchor>
        </w:drawing>
      </w:r>
    </w:p>
    <w:p>
      <w:pPr>
        <w:sectPr>
          <w:pgSz w:w="11900" w:h="16838" w:orient="portrait"/>
          <w:cols w:equalWidth="0" w:num="1">
            <w:col w:w="10239"/>
          </w:cols>
          <w:pgMar w:left="220" w:top="210" w:right="1440" w:bottom="0" w:gutter="0" w:footer="0" w:header="0"/>
          <w:type w:val="continuous"/>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8"/>
              </w:rPr>
              <w:t>Fine</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86"/>
              </w:rPr>
              <w:t>Functional</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87"/>
              </w:rPr>
              <w:t>Ingredients</w:t>
            </w:r>
          </w:p>
        </w:tc>
        <w:tc>
          <w:tcPr>
            <w:tcW w:w="220" w:type="dxa"/>
            <w:vAlign w:val="bottom"/>
          </w:tcPr>
          <w:p>
            <w:pPr>
              <w:spacing w:after="0"/>
              <w:rPr>
                <w:sz w:val="11"/>
                <w:szCs w:val="11"/>
                <w:color w:val="auto"/>
              </w:rPr>
            </w:pPr>
          </w:p>
        </w:tc>
        <w:tc>
          <w:tcPr>
            <w:tcW w:w="520" w:type="dxa"/>
            <w:vAlign w:val="bottom"/>
          </w:tcPr>
          <w:p>
            <w:pPr>
              <w:jc w:val="right"/>
              <w:ind w:right="83"/>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6"/>
              </w:rPr>
              <w:t>Flavors</w:t>
            </w:r>
          </w:p>
        </w:tc>
        <w:tc>
          <w:tcPr>
            <w:tcW w:w="3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Total</w:t>
            </w:r>
          </w:p>
        </w:tc>
      </w:tr>
      <w:tr>
        <w:trPr>
          <w:trHeight w:val="136"/>
        </w:trPr>
        <w:tc>
          <w:tcPr>
            <w:tcW w:w="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Fragrances</w:t>
            </w: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8"/>
        </w:trPr>
        <w:tc>
          <w:tcPr>
            <w:tcW w:w="8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3"/>
                <w:shd w:val="clear" w:color="auto" w:fill="CCEEFF"/>
              </w:rPr>
              <w:t>North America</w:t>
            </w:r>
          </w:p>
        </w:tc>
        <w:tc>
          <w:tcPr>
            <w:tcW w:w="1580" w:type="dxa"/>
            <w:vAlign w:val="bottom"/>
            <w:shd w:val="clear" w:color="auto" w:fill="CCEEFF"/>
          </w:tcPr>
          <w:p>
            <w:pPr>
              <w:ind w:left="320"/>
              <w:spacing w:after="0" w:line="149" w:lineRule="exact"/>
              <w:rPr>
                <w:sz w:val="20"/>
                <w:szCs w:val="20"/>
                <w:color w:val="auto"/>
              </w:rPr>
            </w:pPr>
            <w:r>
              <w:rPr>
                <w:rFonts w:ascii="Arial" w:cs="Arial" w:eastAsia="Arial" w:hAnsi="Arial"/>
                <w:sz w:val="13"/>
                <w:szCs w:val="13"/>
                <w:color w:val="auto"/>
                <w:shd w:val="clear" w:color="auto" w:fill="CCEEFF"/>
              </w:rPr>
              <w:t>Reported</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3"/>
                <w:szCs w:val="13"/>
                <w:color w:val="auto"/>
              </w:rPr>
              <w:t>20%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7"/>
              <w:spacing w:after="0" w:line="149"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3"/>
              <w:spacing w:after="0" w:line="149"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3"/>
                <w:szCs w:val="13"/>
                <w:color w:val="auto"/>
              </w:rPr>
            </w:pPr>
          </w:p>
        </w:tc>
      </w:tr>
      <w:tr>
        <w:trPr>
          <w:trHeight w:val="165"/>
        </w:trPr>
        <w:tc>
          <w:tcPr>
            <w:tcW w:w="800" w:type="dxa"/>
            <w:vAlign w:val="bottom"/>
          </w:tcPr>
          <w:p>
            <w:pPr>
              <w:spacing w:after="0"/>
              <w:rPr>
                <w:sz w:val="20"/>
                <w:szCs w:val="20"/>
                <w:color w:val="auto"/>
              </w:rPr>
            </w:pPr>
            <w:r>
              <w:rPr>
                <w:rFonts w:ascii="Arial" w:cs="Arial" w:eastAsia="Arial" w:hAnsi="Arial"/>
                <w:sz w:val="13"/>
                <w:szCs w:val="13"/>
                <w:color w:val="auto"/>
                <w:highlight w:val="white"/>
              </w:rPr>
              <w:t>Europe</w:t>
            </w:r>
          </w:p>
        </w:tc>
        <w:tc>
          <w:tcPr>
            <w:tcW w:w="1580" w:type="dxa"/>
            <w:vAlign w:val="bottom"/>
          </w:tcPr>
          <w:p>
            <w:pPr>
              <w:ind w:left="320"/>
              <w:spacing w:after="0"/>
              <w:rPr>
                <w:sz w:val="20"/>
                <w:szCs w:val="20"/>
                <w:color w:val="auto"/>
              </w:rPr>
            </w:pPr>
            <w:r>
              <w:rPr>
                <w:rFonts w:ascii="Arial" w:cs="Arial" w:eastAsia="Arial" w:hAnsi="Arial"/>
                <w:sz w:val="13"/>
                <w:szCs w:val="13"/>
                <w:color w:val="auto"/>
              </w:rPr>
              <w:t>Reported</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740" w:type="dxa"/>
            <w:vAlign w:val="bottom"/>
            <w:gridSpan w:val="2"/>
          </w:tcPr>
          <w:p>
            <w:pPr>
              <w:jc w:val="right"/>
              <w:ind w:right="23"/>
              <w:spacing w:after="0"/>
              <w:rPr>
                <w:sz w:val="20"/>
                <w:szCs w:val="20"/>
                <w:color w:val="auto"/>
              </w:rPr>
            </w:pPr>
            <w:r>
              <w:rPr>
                <w:rFonts w:ascii="Arial" w:cs="Arial" w:eastAsia="Arial" w:hAnsi="Arial"/>
                <w:sz w:val="13"/>
                <w:szCs w:val="13"/>
                <w:color w:val="auto"/>
              </w:rPr>
              <w:t>4%</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1%</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171"/>
        </w:trPr>
        <w:tc>
          <w:tcPr>
            <w:tcW w:w="800" w:type="dxa"/>
            <w:vAlign w:val="bottom"/>
            <w:shd w:val="clear" w:color="auto" w:fill="CCEEFF"/>
          </w:tcPr>
          <w:p>
            <w:pPr>
              <w:spacing w:after="0"/>
              <w:rPr>
                <w:sz w:val="14"/>
                <w:szCs w:val="14"/>
                <w:color w:val="auto"/>
              </w:rPr>
            </w:pPr>
          </w:p>
        </w:tc>
        <w:tc>
          <w:tcPr>
            <w:tcW w:w="1580" w:type="dxa"/>
            <w:vAlign w:val="bottom"/>
            <w:shd w:val="clear" w:color="auto" w:fill="CCEEFF"/>
          </w:tcPr>
          <w:p>
            <w:pPr>
              <w:ind w:left="320"/>
              <w:spacing w:after="0"/>
              <w:rPr>
                <w:sz w:val="20"/>
                <w:szCs w:val="20"/>
                <w:color w:val="auto"/>
              </w:rPr>
            </w:pPr>
            <w:r>
              <w:rPr>
                <w:rFonts w:ascii="Arial" w:cs="Arial" w:eastAsia="Arial" w:hAnsi="Arial"/>
                <w:sz w:val="13"/>
                <w:szCs w:val="13"/>
                <w:i w:val="1"/>
                <w:iCs w:val="1"/>
                <w:color w:val="auto"/>
                <w:shd w:val="clear" w:color="auto" w:fill="CCEEFF"/>
              </w:rPr>
              <w:t>Local Currency</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8%</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−3%</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3"/>
                <w:szCs w:val="13"/>
                <w:i w:val="1"/>
                <w:iCs w:val="1"/>
                <w:color w:val="auto"/>
              </w:rPr>
              <w:t>4%</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i w:val="1"/>
                <w:iCs w:val="1"/>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w:t>
            </w:r>
          </w:p>
        </w:tc>
        <w:tc>
          <w:tcPr>
            <w:tcW w:w="20" w:type="dxa"/>
            <w:vAlign w:val="bottom"/>
          </w:tcPr>
          <w:p>
            <w:pPr>
              <w:spacing w:after="0"/>
              <w:rPr>
                <w:sz w:val="14"/>
                <w:szCs w:val="14"/>
                <w:color w:val="auto"/>
              </w:rPr>
            </w:pPr>
          </w:p>
        </w:tc>
      </w:tr>
      <w:tr>
        <w:trPr>
          <w:trHeight w:val="165"/>
        </w:trPr>
        <w:tc>
          <w:tcPr>
            <w:tcW w:w="800" w:type="dxa"/>
            <w:vAlign w:val="bottom"/>
          </w:tcPr>
          <w:p>
            <w:pPr>
              <w:spacing w:after="0"/>
              <w:rPr>
                <w:sz w:val="20"/>
                <w:szCs w:val="20"/>
                <w:color w:val="auto"/>
              </w:rPr>
            </w:pPr>
            <w:r>
              <w:rPr>
                <w:rFonts w:ascii="Arial" w:cs="Arial" w:eastAsia="Arial" w:hAnsi="Arial"/>
                <w:sz w:val="13"/>
                <w:szCs w:val="13"/>
                <w:color w:val="auto"/>
                <w:highlight w:val="white"/>
                <w:w w:val="98"/>
              </w:rPr>
              <w:t>Latin America</w:t>
            </w:r>
          </w:p>
        </w:tc>
        <w:tc>
          <w:tcPr>
            <w:tcW w:w="1580" w:type="dxa"/>
            <w:vAlign w:val="bottom"/>
          </w:tcPr>
          <w:p>
            <w:pPr>
              <w:ind w:left="320"/>
              <w:spacing w:after="0"/>
              <w:rPr>
                <w:sz w:val="20"/>
                <w:szCs w:val="20"/>
                <w:color w:val="auto"/>
              </w:rPr>
            </w:pPr>
            <w:r>
              <w:rPr>
                <w:rFonts w:ascii="Arial" w:cs="Arial" w:eastAsia="Arial" w:hAnsi="Arial"/>
                <w:sz w:val="13"/>
                <w:szCs w:val="13"/>
                <w:color w:val="auto"/>
              </w:rPr>
              <w:t>Reported</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25%</w:t>
            </w: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6%</w:t>
            </w:r>
          </w:p>
        </w:tc>
        <w:tc>
          <w:tcPr>
            <w:tcW w:w="740" w:type="dxa"/>
            <w:vAlign w:val="bottom"/>
            <w:gridSpan w:val="2"/>
          </w:tcPr>
          <w:p>
            <w:pPr>
              <w:jc w:val="right"/>
              <w:ind w:right="23"/>
              <w:spacing w:after="0"/>
              <w:rPr>
                <w:sz w:val="20"/>
                <w:szCs w:val="20"/>
                <w:color w:val="auto"/>
              </w:rPr>
            </w:pPr>
            <w:r>
              <w:rPr>
                <w:rFonts w:ascii="Arial" w:cs="Arial" w:eastAsia="Arial" w:hAnsi="Arial"/>
                <w:sz w:val="13"/>
                <w:szCs w:val="13"/>
                <w:color w:val="auto"/>
              </w:rPr>
              <w:t>8%</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color w:val="auto"/>
              </w:rPr>
              <w:t>11%</w:t>
            </w: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r>
      <w:tr>
        <w:trPr>
          <w:trHeight w:val="17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Asia Pacific</w:t>
            </w:r>
          </w:p>
        </w:tc>
        <w:tc>
          <w:tcPr>
            <w:tcW w:w="1580" w:type="dxa"/>
            <w:vAlign w:val="bottom"/>
            <w:shd w:val="clear" w:color="auto" w:fill="CCEEFF"/>
          </w:tcPr>
          <w:p>
            <w:pPr>
              <w:ind w:left="320"/>
              <w:spacing w:after="0"/>
              <w:rPr>
                <w:sz w:val="20"/>
                <w:szCs w:val="20"/>
                <w:color w:val="auto"/>
              </w:rPr>
            </w:pPr>
            <w:r>
              <w:rPr>
                <w:rFonts w:ascii="Arial" w:cs="Arial" w:eastAsia="Arial" w:hAnsi="Arial"/>
                <w:sz w:val="13"/>
                <w:szCs w:val="13"/>
                <w:color w:val="auto"/>
                <w:shd w:val="clear" w:color="auto" w:fill="CCEEFF"/>
              </w:rPr>
              <w:t>Reported</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3"/>
                <w:szCs w:val="13"/>
                <w:color w:val="auto"/>
              </w:rPr>
              <w:t>4%</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r>
      <w:tr>
        <w:trPr>
          <w:trHeight w:val="165"/>
        </w:trPr>
        <w:tc>
          <w:tcPr>
            <w:tcW w:w="800" w:type="dxa"/>
            <w:vAlign w:val="bottom"/>
          </w:tcPr>
          <w:p>
            <w:pPr>
              <w:spacing w:after="0"/>
              <w:rPr>
                <w:sz w:val="14"/>
                <w:szCs w:val="14"/>
                <w:color w:val="auto"/>
              </w:rPr>
            </w:pPr>
          </w:p>
        </w:tc>
        <w:tc>
          <w:tcPr>
            <w:tcW w:w="1580" w:type="dxa"/>
            <w:vAlign w:val="bottom"/>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8%</w:t>
            </w:r>
          </w:p>
        </w:tc>
        <w:tc>
          <w:tcPr>
            <w:tcW w:w="520" w:type="dxa"/>
            <w:vAlign w:val="bottom"/>
          </w:tcPr>
          <w:p>
            <w:pPr>
              <w:jc w:val="right"/>
              <w:spacing w:after="0"/>
              <w:rPr>
                <w:sz w:val="20"/>
                <w:szCs w:val="20"/>
                <w:color w:val="auto"/>
              </w:rPr>
            </w:pPr>
            <w:r>
              <w:rPr>
                <w:rFonts w:ascii="Arial" w:cs="Arial" w:eastAsia="Arial" w:hAnsi="Arial"/>
                <w:sz w:val="13"/>
                <w:szCs w:val="13"/>
                <w:i w:val="1"/>
                <w:iCs w:val="1"/>
                <w:color w:val="auto"/>
              </w:rPr>
              <w:t>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i w:val="1"/>
                <w:iCs w:val="1"/>
                <w:color w:val="auto"/>
              </w:rPr>
              <w:t>4%</w:t>
            </w:r>
          </w:p>
        </w:tc>
        <w:tc>
          <w:tcPr>
            <w:tcW w:w="740" w:type="dxa"/>
            <w:vAlign w:val="bottom"/>
            <w:gridSpan w:val="2"/>
          </w:tcPr>
          <w:p>
            <w:pPr>
              <w:jc w:val="right"/>
              <w:ind w:right="23"/>
              <w:spacing w:after="0"/>
              <w:rPr>
                <w:sz w:val="20"/>
                <w:szCs w:val="20"/>
                <w:color w:val="auto"/>
              </w:rPr>
            </w:pPr>
            <w:r>
              <w:rPr>
                <w:rFonts w:ascii="Arial" w:cs="Arial" w:eastAsia="Arial" w:hAnsi="Arial"/>
                <w:sz w:val="13"/>
                <w:szCs w:val="13"/>
                <w:i w:val="1"/>
                <w:iCs w:val="1"/>
                <w:color w:val="auto"/>
              </w:rPr>
              <w:t>4%</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5%</w:t>
            </w:r>
          </w:p>
        </w:tc>
        <w:tc>
          <w:tcPr>
            <w:tcW w:w="300" w:type="dxa"/>
            <w:vAlign w:val="bottom"/>
          </w:tcPr>
          <w:p>
            <w:pPr>
              <w:jc w:val="right"/>
              <w:spacing w:after="0"/>
              <w:rPr>
                <w:sz w:val="20"/>
                <w:szCs w:val="20"/>
                <w:color w:val="auto"/>
              </w:rPr>
            </w:pPr>
            <w:r>
              <w:rPr>
                <w:rFonts w:ascii="Arial" w:cs="Arial" w:eastAsia="Arial" w:hAnsi="Arial"/>
                <w:sz w:val="13"/>
                <w:szCs w:val="13"/>
                <w:i w:val="1"/>
                <w:iCs w:val="1"/>
                <w:color w:val="auto"/>
              </w:rPr>
              <w:t>4%</w:t>
            </w:r>
          </w:p>
        </w:tc>
        <w:tc>
          <w:tcPr>
            <w:tcW w:w="20" w:type="dxa"/>
            <w:vAlign w:val="bottom"/>
          </w:tcPr>
          <w:p>
            <w:pPr>
              <w:spacing w:after="0"/>
              <w:rPr>
                <w:sz w:val="14"/>
                <w:szCs w:val="14"/>
                <w:color w:val="auto"/>
              </w:rPr>
            </w:pPr>
          </w:p>
        </w:tc>
      </w:tr>
      <w:tr>
        <w:trPr>
          <w:trHeight w:val="17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1580" w:type="dxa"/>
            <w:vAlign w:val="bottom"/>
            <w:shd w:val="clear" w:color="auto" w:fill="CCEEFF"/>
          </w:tcPr>
          <w:p>
            <w:pPr>
              <w:ind w:left="320"/>
              <w:spacing w:after="0"/>
              <w:rPr>
                <w:sz w:val="20"/>
                <w:szCs w:val="20"/>
                <w:color w:val="auto"/>
              </w:rPr>
            </w:pPr>
            <w:r>
              <w:rPr>
                <w:rFonts w:ascii="Arial" w:cs="Arial" w:eastAsia="Arial" w:hAnsi="Arial"/>
                <w:sz w:val="13"/>
                <w:szCs w:val="13"/>
                <w:color w:val="auto"/>
                <w:shd w:val="clear" w:color="auto" w:fill="CCEEFF"/>
              </w:rPr>
              <w:t>Reported</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3"/>
                <w:szCs w:val="13"/>
                <w:color w:val="auto"/>
              </w:rPr>
              <w:t>3%</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r>
      <w:tr>
        <w:trPr>
          <w:trHeight w:val="165"/>
        </w:trPr>
        <w:tc>
          <w:tcPr>
            <w:tcW w:w="800" w:type="dxa"/>
            <w:vAlign w:val="bottom"/>
          </w:tcPr>
          <w:p>
            <w:pPr>
              <w:spacing w:after="0"/>
              <w:rPr>
                <w:sz w:val="14"/>
                <w:szCs w:val="14"/>
                <w:color w:val="auto"/>
              </w:rPr>
            </w:pPr>
          </w:p>
        </w:tc>
        <w:tc>
          <w:tcPr>
            <w:tcW w:w="1580" w:type="dxa"/>
            <w:vAlign w:val="bottom"/>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2%</w:t>
            </w:r>
          </w:p>
        </w:tc>
        <w:tc>
          <w:tcPr>
            <w:tcW w:w="520" w:type="dxa"/>
            <w:vAlign w:val="bottom"/>
          </w:tcPr>
          <w:p>
            <w:pPr>
              <w:jc w:val="right"/>
              <w:spacing w:after="0"/>
              <w:rPr>
                <w:sz w:val="20"/>
                <w:szCs w:val="20"/>
                <w:color w:val="auto"/>
              </w:rPr>
            </w:pPr>
            <w:r>
              <w:rPr>
                <w:rFonts w:ascii="Arial" w:cs="Arial" w:eastAsia="Arial" w:hAnsi="Arial"/>
                <w:sz w:val="13"/>
                <w:szCs w:val="13"/>
                <w:i w:val="1"/>
                <w:iCs w:val="1"/>
                <w:color w:val="auto"/>
              </w:rPr>
              <w:t>−4%</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i w:val="1"/>
                <w:iCs w:val="1"/>
                <w:color w:val="auto"/>
              </w:rPr>
              <w:t>31%</w:t>
            </w:r>
          </w:p>
        </w:tc>
        <w:tc>
          <w:tcPr>
            <w:tcW w:w="740" w:type="dxa"/>
            <w:vAlign w:val="bottom"/>
            <w:gridSpan w:val="2"/>
          </w:tcPr>
          <w:p>
            <w:pPr>
              <w:jc w:val="right"/>
              <w:ind w:right="23"/>
              <w:spacing w:after="0"/>
              <w:rPr>
                <w:sz w:val="20"/>
                <w:szCs w:val="20"/>
                <w:color w:val="auto"/>
              </w:rPr>
            </w:pPr>
            <w:r>
              <w:rPr>
                <w:rFonts w:ascii="Arial" w:cs="Arial" w:eastAsia="Arial" w:hAnsi="Arial"/>
                <w:sz w:val="13"/>
                <w:szCs w:val="13"/>
                <w:i w:val="1"/>
                <w:iCs w:val="1"/>
                <w:color w:val="auto"/>
              </w:rPr>
              <w:t>3%</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10%</w:t>
            </w:r>
          </w:p>
        </w:tc>
        <w:tc>
          <w:tcPr>
            <w:tcW w:w="300" w:type="dxa"/>
            <w:vAlign w:val="bottom"/>
          </w:tcPr>
          <w:p>
            <w:pPr>
              <w:jc w:val="right"/>
              <w:spacing w:after="0"/>
              <w:rPr>
                <w:sz w:val="20"/>
                <w:szCs w:val="20"/>
                <w:color w:val="auto"/>
              </w:rPr>
            </w:pPr>
            <w:r>
              <w:rPr>
                <w:rFonts w:ascii="Arial" w:cs="Arial" w:eastAsia="Arial" w:hAnsi="Arial"/>
                <w:sz w:val="13"/>
                <w:szCs w:val="13"/>
                <w:i w:val="1"/>
                <w:iCs w:val="1"/>
                <w:color w:val="auto"/>
              </w:rPr>
              <w:t>7%</w:t>
            </w:r>
          </w:p>
        </w:tc>
        <w:tc>
          <w:tcPr>
            <w:tcW w:w="20" w:type="dxa"/>
            <w:vAlign w:val="bottom"/>
          </w:tcPr>
          <w:p>
            <w:pPr>
              <w:spacing w:after="0"/>
              <w:rPr>
                <w:sz w:val="14"/>
                <w:szCs w:val="14"/>
                <w:color w:val="auto"/>
              </w:rPr>
            </w:pPr>
          </w:p>
        </w:tc>
      </w:tr>
      <w:tr>
        <w:trPr>
          <w:trHeight w:val="17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Total</w:t>
            </w:r>
          </w:p>
        </w:tc>
        <w:tc>
          <w:tcPr>
            <w:tcW w:w="1580" w:type="dxa"/>
            <w:vAlign w:val="bottom"/>
            <w:shd w:val="clear" w:color="auto" w:fill="CCEEFF"/>
          </w:tcPr>
          <w:p>
            <w:pPr>
              <w:ind w:left="320"/>
              <w:spacing w:after="0"/>
              <w:rPr>
                <w:sz w:val="20"/>
                <w:szCs w:val="20"/>
                <w:color w:val="auto"/>
              </w:rPr>
            </w:pPr>
            <w:r>
              <w:rPr>
                <w:rFonts w:ascii="Arial" w:cs="Arial" w:eastAsia="Arial" w:hAnsi="Arial"/>
                <w:sz w:val="13"/>
                <w:szCs w:val="13"/>
                <w:color w:val="auto"/>
                <w:shd w:val="clear" w:color="auto" w:fill="CCEEFF"/>
              </w:rPr>
              <w:t>Reported</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3"/>
                <w:szCs w:val="13"/>
                <w:color w:val="auto"/>
              </w:rPr>
              <w:t>6%</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r>
      <w:tr>
        <w:trPr>
          <w:trHeight w:val="165"/>
        </w:trPr>
        <w:tc>
          <w:tcPr>
            <w:tcW w:w="800" w:type="dxa"/>
            <w:vAlign w:val="bottom"/>
          </w:tcPr>
          <w:p>
            <w:pPr>
              <w:spacing w:after="0"/>
              <w:rPr>
                <w:sz w:val="14"/>
                <w:szCs w:val="14"/>
                <w:color w:val="auto"/>
              </w:rPr>
            </w:pPr>
          </w:p>
        </w:tc>
        <w:tc>
          <w:tcPr>
            <w:tcW w:w="1580" w:type="dxa"/>
            <w:vAlign w:val="bottom"/>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13%</w:t>
            </w:r>
          </w:p>
        </w:tc>
        <w:tc>
          <w:tcPr>
            <w:tcW w:w="520" w:type="dxa"/>
            <w:vAlign w:val="bottom"/>
          </w:tcPr>
          <w:p>
            <w:pPr>
              <w:jc w:val="right"/>
              <w:spacing w:after="0"/>
              <w:rPr>
                <w:sz w:val="20"/>
                <w:szCs w:val="20"/>
                <w:color w:val="auto"/>
              </w:rPr>
            </w:pPr>
            <w:r>
              <w:rPr>
                <w:rFonts w:ascii="Arial" w:cs="Arial" w:eastAsia="Arial" w:hAnsi="Arial"/>
                <w:sz w:val="13"/>
                <w:szCs w:val="13"/>
                <w:i w:val="1"/>
                <w:iCs w:val="1"/>
                <w:color w:val="auto"/>
              </w:rPr>
              <w:t>3%</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i w:val="1"/>
                <w:iCs w:val="1"/>
                <w:color w:val="auto"/>
              </w:rPr>
              <w:t>3%</w:t>
            </w:r>
          </w:p>
        </w:tc>
        <w:tc>
          <w:tcPr>
            <w:tcW w:w="740" w:type="dxa"/>
            <w:vAlign w:val="bottom"/>
            <w:gridSpan w:val="2"/>
          </w:tcPr>
          <w:p>
            <w:pPr>
              <w:jc w:val="right"/>
              <w:ind w:right="23"/>
              <w:spacing w:after="0"/>
              <w:rPr>
                <w:sz w:val="20"/>
                <w:szCs w:val="20"/>
                <w:color w:val="auto"/>
              </w:rPr>
            </w:pPr>
            <w:r>
              <w:rPr>
                <w:rFonts w:ascii="Arial" w:cs="Arial" w:eastAsia="Arial" w:hAnsi="Arial"/>
                <w:sz w:val="13"/>
                <w:szCs w:val="13"/>
                <w:i w:val="1"/>
                <w:iCs w:val="1"/>
                <w:color w:val="auto"/>
              </w:rPr>
              <w:t>6%</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i w:val="1"/>
                <w:iCs w:val="1"/>
                <w:color w:val="auto"/>
              </w:rPr>
              <w:t>4%</w:t>
            </w:r>
          </w:p>
        </w:tc>
        <w:tc>
          <w:tcPr>
            <w:tcW w:w="300" w:type="dxa"/>
            <w:vAlign w:val="bottom"/>
          </w:tcPr>
          <w:p>
            <w:pPr>
              <w:jc w:val="right"/>
              <w:spacing w:after="0"/>
              <w:rPr>
                <w:sz w:val="20"/>
                <w:szCs w:val="20"/>
                <w:color w:val="auto"/>
              </w:rPr>
            </w:pPr>
            <w:r>
              <w:rPr>
                <w:rFonts w:ascii="Arial" w:cs="Arial" w:eastAsia="Arial" w:hAnsi="Arial"/>
                <w:sz w:val="13"/>
                <w:szCs w:val="13"/>
                <w:i w:val="1"/>
                <w:iCs w:val="1"/>
                <w:color w:val="auto"/>
              </w:rPr>
              <w:t>5%</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-1021080</wp:posOffset>
            </wp:positionV>
            <wp:extent cx="3779520" cy="3829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779520" cy="38290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-594360</wp:posOffset>
            </wp:positionV>
            <wp:extent cx="6350"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-594360</wp:posOffset>
            </wp:positionV>
            <wp:extent cx="6350"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-594360</wp:posOffset>
            </wp:positionV>
            <wp:extent cx="635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-594360</wp:posOffset>
            </wp:positionV>
            <wp:extent cx="635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-594360</wp:posOffset>
            </wp:positionV>
            <wp:extent cx="6350"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-594360</wp:posOffset>
            </wp:positionV>
            <wp:extent cx="635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-594360</wp:posOffset>
            </wp:positionV>
            <wp:extent cx="6350"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-594360</wp:posOffset>
            </wp:positionV>
            <wp:extent cx="635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-594360</wp:posOffset>
            </wp:positionV>
            <wp:extent cx="635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-594360</wp:posOffset>
            </wp:positionV>
            <wp:extent cx="635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-594360</wp:posOffset>
            </wp:positionV>
            <wp:extent cx="6350"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-594360</wp:posOffset>
            </wp:positionV>
            <wp:extent cx="635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-594360</wp:posOffset>
            </wp:positionV>
            <wp:extent cx="6350"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-594360</wp:posOffset>
            </wp:positionV>
            <wp:extent cx="6350"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-594360</wp:posOffset>
            </wp:positionV>
            <wp:extent cx="635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-594360</wp:posOffset>
            </wp:positionV>
            <wp:extent cx="635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-594360</wp:posOffset>
            </wp:positionV>
            <wp:extent cx="635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-594360</wp:posOffset>
            </wp:positionV>
            <wp:extent cx="635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-594360</wp:posOffset>
            </wp:positionV>
            <wp:extent cx="635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-594360</wp:posOffset>
            </wp:positionV>
            <wp:extent cx="635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-544195</wp:posOffset>
            </wp:positionV>
            <wp:extent cx="3779520" cy="1193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779520" cy="11938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-380365</wp:posOffset>
            </wp:positionV>
            <wp:extent cx="635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-380365</wp:posOffset>
            </wp:positionV>
            <wp:extent cx="6350"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-380365</wp:posOffset>
            </wp:positionV>
            <wp:extent cx="635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-380365</wp:posOffset>
            </wp:positionV>
            <wp:extent cx="6350"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-380365</wp:posOffset>
            </wp:positionV>
            <wp:extent cx="6350"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-380365</wp:posOffset>
            </wp:positionV>
            <wp:extent cx="635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-380365</wp:posOffset>
            </wp:positionV>
            <wp:extent cx="635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-380365</wp:posOffset>
            </wp:positionV>
            <wp:extent cx="6350"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-380365</wp:posOffset>
            </wp:positionV>
            <wp:extent cx="635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-380365</wp:posOffset>
            </wp:positionV>
            <wp:extent cx="635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-380365</wp:posOffset>
            </wp:positionV>
            <wp:extent cx="635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-380365</wp:posOffset>
            </wp:positionV>
            <wp:extent cx="635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-380365</wp:posOffset>
            </wp:positionV>
            <wp:extent cx="635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-380365</wp:posOffset>
            </wp:positionV>
            <wp:extent cx="635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-380365</wp:posOffset>
            </wp:positionV>
            <wp:extent cx="635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-380365</wp:posOffset>
            </wp:positionV>
            <wp:extent cx="6350"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-380365</wp:posOffset>
            </wp:positionV>
            <wp:extent cx="635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-380365</wp:posOffset>
            </wp:positionV>
            <wp:extent cx="6350"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-380365</wp:posOffset>
            </wp:positionV>
            <wp:extent cx="635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-380365</wp:posOffset>
            </wp:positionV>
            <wp:extent cx="635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3779520" cy="11938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779520" cy="11938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-167005</wp:posOffset>
            </wp:positionV>
            <wp:extent cx="6350"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-167005</wp:posOffset>
            </wp:positionV>
            <wp:extent cx="635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-167005</wp:posOffset>
            </wp:positionV>
            <wp:extent cx="635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-167005</wp:posOffset>
            </wp:positionV>
            <wp:extent cx="635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-167005</wp:posOffset>
            </wp:positionV>
            <wp:extent cx="635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-167005</wp:posOffset>
            </wp:positionV>
            <wp:extent cx="6350"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-167005</wp:posOffset>
            </wp:positionV>
            <wp:extent cx="635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-167005</wp:posOffset>
            </wp:positionV>
            <wp:extent cx="635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-167005</wp:posOffset>
            </wp:positionV>
            <wp:extent cx="635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-167005</wp:posOffset>
            </wp:positionV>
            <wp:extent cx="635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-167005</wp:posOffset>
            </wp:positionV>
            <wp:extent cx="635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-167005</wp:posOffset>
            </wp:positionV>
            <wp:extent cx="635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-167005</wp:posOffset>
            </wp:positionV>
            <wp:extent cx="6350"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-167005</wp:posOffset>
            </wp:positionV>
            <wp:extent cx="635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-167005</wp:posOffset>
            </wp:positionV>
            <wp:extent cx="6350"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-167005</wp:posOffset>
            </wp:positionV>
            <wp:extent cx="635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-167005</wp:posOffset>
            </wp:positionV>
            <wp:extent cx="6350"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-167005</wp:posOffset>
            </wp:positionV>
            <wp:extent cx="6350"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-167005</wp:posOffset>
            </wp:positionV>
            <wp:extent cx="635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-167005</wp:posOffset>
            </wp:positionV>
            <wp:extent cx="6350"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3779520" cy="1949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779520" cy="194945"/>
                    </a:xfrm>
                    <a:prstGeom prst="rect">
                      <a:avLst/>
                    </a:prstGeom>
                    <a:noFill/>
                  </pic:spPr>
                </pic:pic>
              </a:graphicData>
            </a:graphic>
          </wp:anchor>
        </w:drawing>
      </w:r>
    </w:p>
    <w:p>
      <w:pPr>
        <w:spacing w:after="0" w:line="132" w:lineRule="exact"/>
        <w:rPr>
          <w:sz w:val="20"/>
          <w:szCs w:val="20"/>
          <w:color w:val="auto"/>
        </w:rPr>
      </w:pPr>
    </w:p>
    <w:p>
      <w:pPr>
        <w:ind w:left="560" w:right="4319" w:hanging="304"/>
        <w:spacing w:after="0" w:line="262"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North America fine fragrances and flavors increased primarily from new product introductions of $25 million and $21 million, respectively; functional fragrances new product introductions totaled $14 million, the benefit of which was partially offset by declines in volume. Ingredient sales growth was due to a combination of both volume and price.</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73805"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right="4359" w:hanging="304"/>
        <w:spacing w:after="0" w:line="262"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European growth was strongest in Eastern Europe, Middle East, France, Italy and Spain. Fine and functional fragrance growth resulted from new product introductions of $33 million in each category, while the decline in ingredients was volume related. Flavor growth was the result of new product introductions of $11 million, partially offset by declines in volume.</w:t>
      </w:r>
    </w:p>
    <w:p>
      <w:pPr>
        <w:spacing w:after="0" w:line="69" w:lineRule="exact"/>
        <w:rPr>
          <w:rFonts w:ascii="Arial" w:cs="Arial" w:eastAsia="Arial" w:hAnsi="Arial"/>
          <w:sz w:val="13"/>
          <w:szCs w:val="13"/>
          <w:color w:val="auto"/>
        </w:rPr>
      </w:pPr>
    </w:p>
    <w:p>
      <w:pPr>
        <w:ind w:left="560" w:right="4379" w:hanging="304"/>
        <w:spacing w:after="0" w:line="291" w:lineRule="auto"/>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Latin America fine fragrance sales growth resulted from new product introductions of $14 million while functional fragrance product introductions of $9 million were partially offset by volume decreases. Ingredient sales growth resulted from new product introductions. Flavor sales were strong throughout the region, driven mainly by new product introductions of $8 million.</w:t>
      </w:r>
    </w:p>
    <w:p>
      <w:pPr>
        <w:spacing w:after="0" w:line="52" w:lineRule="exact"/>
        <w:rPr>
          <w:rFonts w:ascii="Arial" w:cs="Arial" w:eastAsia="Arial" w:hAnsi="Arial"/>
          <w:sz w:val="12"/>
          <w:szCs w:val="12"/>
          <w:color w:val="auto"/>
        </w:rPr>
      </w:pPr>
    </w:p>
    <w:p>
      <w:pPr>
        <w:ind w:left="560" w:right="4459" w:hanging="304"/>
        <w:spacing w:after="0" w:line="266" w:lineRule="auto"/>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Asia Pacific fragrance sales growth resulted mainly from new product introductions of $4 million; ingredients sales growth was mainly volume related. Flavor sales growth resulted mainly from new product introductions of $6 million and volume growth.</w:t>
      </w:r>
    </w:p>
    <w:p>
      <w:pPr>
        <w:spacing w:after="0" w:line="66" w:lineRule="exact"/>
        <w:rPr>
          <w:rFonts w:ascii="Arial" w:cs="Arial" w:eastAsia="Arial" w:hAnsi="Arial"/>
          <w:sz w:val="13"/>
          <w:szCs w:val="13"/>
          <w:color w:val="auto"/>
        </w:rPr>
      </w:pPr>
    </w:p>
    <w:p>
      <w:pPr>
        <w:ind w:left="560" w:right="4339" w:hanging="304"/>
        <w:spacing w:after="0" w:line="322" w:lineRule="auto"/>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India fragrance sales performance was mainly volume related in all categories. Flavor sales increased due to volume growth and new production introductions of approximately $5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-1076325</wp:posOffset>
            </wp:positionV>
            <wp:extent cx="3773805"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-618490</wp:posOffset>
            </wp:positionV>
            <wp:extent cx="3773805"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3773805"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2005 in Comparison to 2004</w:t>
      </w:r>
    </w:p>
    <w:p>
      <w:pPr>
        <w:spacing w:after="0" w:line="78" w:lineRule="exact"/>
        <w:rPr>
          <w:sz w:val="20"/>
          <w:szCs w:val="20"/>
          <w:color w:val="auto"/>
        </w:rPr>
      </w:pPr>
    </w:p>
    <w:p>
      <w:pPr>
        <w:ind w:right="4259" w:firstLine="263"/>
        <w:spacing w:after="0" w:line="258" w:lineRule="auto"/>
        <w:rPr>
          <w:sz w:val="20"/>
          <w:szCs w:val="20"/>
          <w:color w:val="auto"/>
        </w:rPr>
      </w:pPr>
      <w:r>
        <w:rPr>
          <w:rFonts w:ascii="Arial" w:cs="Arial" w:eastAsia="Arial" w:hAnsi="Arial"/>
          <w:sz w:val="13"/>
          <w:szCs w:val="13"/>
          <w:color w:val="auto"/>
        </w:rPr>
        <w:t>In 2005, reported sales declined 2% in dollars and 3% in local currency compared to 2004. The sales performance was led by strong growth in fine fragrances driven mainly by new wins. Flavor sales comparisons in 2005 were impacted by the disposition, in the second half of 2004, of the Company’s European fruit preparations business. On an as-adjusted basis, excluding the $59 million in sales attributable to the fruit business from 2004 results, both 2005 consolidated sales and flavor sales would have increased 1% in dollars and been flat in local currency. Flavor sales, most notably in North America and Europe, were also unfavorably impacted by lower selling prices for naturals, mainly vanilla.</w:t>
      </w:r>
    </w:p>
    <w:p>
      <w:pPr>
        <w:spacing w:after="0" w:line="62" w:lineRule="exact"/>
        <w:rPr>
          <w:sz w:val="20"/>
          <w:szCs w:val="20"/>
          <w:color w:val="auto"/>
        </w:rPr>
      </w:pPr>
    </w:p>
    <w:p>
      <w:pPr>
        <w:ind w:right="4419" w:firstLine="263"/>
        <w:spacing w:after="0" w:line="279" w:lineRule="auto"/>
        <w:rPr>
          <w:sz w:val="20"/>
          <w:szCs w:val="20"/>
          <w:color w:val="auto"/>
        </w:rPr>
      </w:pPr>
      <w:r>
        <w:rPr>
          <w:rFonts w:ascii="Arial" w:cs="Arial" w:eastAsia="Arial" w:hAnsi="Arial"/>
          <w:sz w:val="13"/>
          <w:szCs w:val="13"/>
          <w:color w:val="auto"/>
        </w:rPr>
        <w:t>Regional and product category sales performance for 2005 compared to the prior year, in reported dollars and local currency,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77380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ind w:right="318"/>
              <w:spacing w:after="0"/>
              <w:rPr>
                <w:sz w:val="20"/>
                <w:szCs w:val="20"/>
                <w:color w:val="auto"/>
              </w:rPr>
            </w:pPr>
            <w:r>
              <w:rPr>
                <w:rFonts w:ascii="Arial" w:cs="Arial" w:eastAsia="Arial" w:hAnsi="Arial"/>
                <w:sz w:val="11"/>
                <w:szCs w:val="11"/>
                <w:b w:val="1"/>
                <w:bCs w:val="1"/>
                <w:color w:val="auto"/>
              </w:rPr>
              <w:t>2005 vs. 2004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1"/>
                <w:szCs w:val="11"/>
                <w:b w:val="1"/>
                <w:bCs w:val="1"/>
                <w:color w:val="auto"/>
              </w:rPr>
              <w:t>% Change in Sales by Region of Destination</w:t>
            </w: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1"/>
        </w:trPr>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right"/>
              <w:ind w:right="98"/>
              <w:spacing w:after="0" w:line="112" w:lineRule="exact"/>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6"/>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8"/>
              </w:rPr>
              <w:t>Fine</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Functional</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Ingredients</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Fragrances</w:t>
            </w:r>
          </w:p>
        </w:tc>
        <w:tc>
          <w:tcPr>
            <w:tcW w:w="220" w:type="dxa"/>
            <w:vAlign w:val="bottom"/>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Flavors</w:t>
            </w:r>
          </w:p>
        </w:tc>
        <w:tc>
          <w:tcPr>
            <w:tcW w:w="24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Total</w:t>
            </w:r>
          </w:p>
        </w:tc>
        <w:tc>
          <w:tcPr>
            <w:tcW w:w="40" w:type="dxa"/>
            <w:vAlign w:val="bottom"/>
          </w:tcPr>
          <w:p>
            <w:pPr>
              <w:spacing w:after="0"/>
              <w:rPr>
                <w:sz w:val="11"/>
                <w:szCs w:val="11"/>
                <w:color w:val="auto"/>
              </w:rPr>
            </w:pPr>
          </w:p>
        </w:tc>
      </w:tr>
      <w:tr>
        <w:trPr>
          <w:trHeight w:val="158"/>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3"/>
                <w:shd w:val="clear" w:color="auto" w:fill="CCEEFF"/>
              </w:rPr>
              <w:t>North America</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85"/>
                <w:shd w:val="clear" w:color="auto" w:fill="CCEEFF"/>
              </w:rPr>
              <w:t>Reported</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3"/>
                <w:szCs w:val="13"/>
                <w:color w:val="auto"/>
              </w:rPr>
              <w:t>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−8%</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line="149"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8"/>
              <w:spacing w:after="0" w:line="149" w:lineRule="exact"/>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3"/>
                <w:szCs w:val="13"/>
                <w:color w:val="auto"/>
              </w:rPr>
            </w:pPr>
          </w:p>
        </w:tc>
      </w:tr>
      <w:tr>
        <w:trPr>
          <w:trHeight w:val="165"/>
        </w:trPr>
        <w:tc>
          <w:tcPr>
            <w:tcW w:w="800" w:type="dxa"/>
            <w:vAlign w:val="bottom"/>
            <w:gridSpan w:val="2"/>
          </w:tcPr>
          <w:p>
            <w:pPr>
              <w:spacing w:after="0"/>
              <w:rPr>
                <w:sz w:val="20"/>
                <w:szCs w:val="20"/>
                <w:color w:val="auto"/>
              </w:rPr>
            </w:pPr>
            <w:r>
              <w:rPr>
                <w:rFonts w:ascii="Arial" w:cs="Arial" w:eastAsia="Arial" w:hAnsi="Arial"/>
                <w:sz w:val="13"/>
                <w:szCs w:val="13"/>
                <w:color w:val="auto"/>
                <w:highlight w:val="white"/>
              </w:rPr>
              <w:t>Europe</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Reported</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14%</w:t>
            </w: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−18%</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r>
      <w:tr>
        <w:trPr>
          <w:trHeight w:val="171"/>
        </w:trPr>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shd w:val="clear" w:color="auto" w:fill="CCEEFF"/>
              </w:rPr>
              <w:t>Local Currency</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i w:val="1"/>
                <w:iCs w:val="1"/>
                <w:color w:val="auto"/>
                <w:w w:val="99"/>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i w:val="1"/>
                <w:iCs w:val="1"/>
                <w:color w:val="auto"/>
              </w:rPr>
              <w:t>−7%</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38"/>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i w:val="1"/>
                <w:iCs w:val="1"/>
                <w:color w:val="auto"/>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w:t>
            </w:r>
          </w:p>
        </w:tc>
        <w:tc>
          <w:tcPr>
            <w:tcW w:w="40" w:type="dxa"/>
            <w:vAlign w:val="bottom"/>
          </w:tcPr>
          <w:p>
            <w:pPr>
              <w:spacing w:after="0"/>
              <w:rPr>
                <w:sz w:val="14"/>
                <w:szCs w:val="14"/>
                <w:color w:val="auto"/>
              </w:rPr>
            </w:pPr>
          </w:p>
        </w:tc>
      </w:tr>
      <w:tr>
        <w:trPr>
          <w:trHeight w:val="165"/>
        </w:trPr>
        <w:tc>
          <w:tcPr>
            <w:tcW w:w="800" w:type="dxa"/>
            <w:vAlign w:val="bottom"/>
            <w:gridSpan w:val="2"/>
          </w:tcPr>
          <w:p>
            <w:pPr>
              <w:spacing w:after="0"/>
              <w:rPr>
                <w:sz w:val="20"/>
                <w:szCs w:val="20"/>
                <w:color w:val="auto"/>
              </w:rPr>
            </w:pPr>
            <w:r>
              <w:rPr>
                <w:rFonts w:ascii="Arial" w:cs="Arial" w:eastAsia="Arial" w:hAnsi="Arial"/>
                <w:sz w:val="13"/>
                <w:szCs w:val="13"/>
                <w:color w:val="auto"/>
                <w:highlight w:val="white"/>
                <w:w w:val="98"/>
              </w:rPr>
              <w:t>Latin America</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Reported</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7%</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7%</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21%</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4"/>
                <w:szCs w:val="14"/>
                <w:color w:val="auto"/>
              </w:rPr>
            </w:pPr>
          </w:p>
        </w:tc>
      </w:tr>
      <w:tr>
        <w:trPr>
          <w:trHeight w:val="151"/>
        </w:trPr>
        <w:tc>
          <w:tcPr>
            <w:tcW w:w="640" w:type="dxa"/>
            <w:vAlign w:val="bottom"/>
            <w:shd w:val="clear" w:color="auto" w:fill="CCEEFF"/>
          </w:tcPr>
          <w:p>
            <w:pPr>
              <w:spacing w:after="0"/>
              <w:rPr>
                <w:sz w:val="20"/>
                <w:szCs w:val="20"/>
                <w:color w:val="auto"/>
              </w:rPr>
            </w:pPr>
            <w:r>
              <w:rPr>
                <w:rFonts w:ascii="Arial" w:cs="Arial" w:eastAsia="Arial" w:hAnsi="Arial"/>
                <w:sz w:val="13"/>
                <w:szCs w:val="13"/>
                <w:color w:val="auto"/>
                <w:w w:val="92"/>
                <w:shd w:val="clear" w:color="auto" w:fill="CCEEFF"/>
              </w:rPr>
              <w:t>Asia Pacific</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w w:val="85"/>
                <w:shd w:val="clear" w:color="auto" w:fill="CCEEFF"/>
              </w:rPr>
              <w:t>Reported</w:t>
            </w:r>
          </w:p>
        </w:tc>
        <w:tc>
          <w:tcPr>
            <w:tcW w:w="78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500" w:type="dxa"/>
            <w:vAlign w:val="bottom"/>
          </w:tcPr>
          <w:p>
            <w:pPr>
              <w:jc w:val="right"/>
              <w:spacing w:after="0"/>
              <w:rPr>
                <w:sz w:val="20"/>
                <w:szCs w:val="20"/>
                <w:color w:val="auto"/>
              </w:rPr>
            </w:pPr>
            <w:r>
              <w:rPr>
                <w:rFonts w:ascii="Arial" w:cs="Arial" w:eastAsia="Arial" w:hAnsi="Arial"/>
                <w:sz w:val="13"/>
                <w:szCs w:val="13"/>
                <w:color w:val="auto"/>
              </w:rPr>
              <w:t>−5%</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3"/>
                <w:szCs w:val="13"/>
                <w:color w:val="auto"/>
              </w:rPr>
              <w:t>−2%</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color w:val="auto"/>
              </w:rPr>
              <w:t>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176"/>
        </w:trPr>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i w:val="1"/>
                <w:iCs w:val="1"/>
                <w:color w:val="auto"/>
              </w:rPr>
              <w:t>4%</w:t>
            </w: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−6%</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i w:val="1"/>
                <w:iCs w:val="1"/>
                <w:color w:val="auto"/>
              </w:rPr>
              <w:t>3%</w:t>
            </w:r>
          </w:p>
        </w:tc>
        <w:tc>
          <w:tcPr>
            <w:tcW w:w="22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Arial" w:cs="Arial" w:eastAsia="Arial" w:hAnsi="Arial"/>
                <w:sz w:val="13"/>
                <w:szCs w:val="13"/>
                <w:i w:val="1"/>
                <w:iCs w:val="1"/>
                <w:color w:val="auto"/>
              </w:rPr>
              <w:t>−2%</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i w:val="1"/>
                <w:iCs w:val="1"/>
                <w:color w:val="auto"/>
              </w:rPr>
              <w:t>3%</w:t>
            </w:r>
          </w:p>
        </w:tc>
        <w:tc>
          <w:tcPr>
            <w:tcW w:w="340" w:type="dxa"/>
            <w:vAlign w:val="bottom"/>
            <w:gridSpan w:val="2"/>
          </w:tcPr>
          <w:p>
            <w:pPr>
              <w:jc w:val="right"/>
              <w:spacing w:after="0"/>
              <w:rPr>
                <w:sz w:val="20"/>
                <w:szCs w:val="20"/>
                <w:color w:val="auto"/>
              </w:rPr>
            </w:pPr>
            <w:r>
              <w:rPr>
                <w:rFonts w:ascii="Arial" w:cs="Arial" w:eastAsia="Arial" w:hAnsi="Arial"/>
                <w:sz w:val="13"/>
                <w:szCs w:val="13"/>
                <w:i w:val="1"/>
                <w:iCs w:val="1"/>
                <w:color w:val="auto"/>
              </w:rPr>
              <w:t>1%</w:t>
            </w:r>
          </w:p>
        </w:tc>
      </w:tr>
      <w:tr>
        <w:trPr>
          <w:trHeight w:val="180"/>
        </w:trPr>
        <w:tc>
          <w:tcPr>
            <w:tcW w:w="6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w w:val="85"/>
                <w:shd w:val="clear" w:color="auto" w:fill="CCEEFF"/>
              </w:rPr>
              <w:t>Reported</w:t>
            </w:r>
          </w:p>
        </w:tc>
        <w:tc>
          <w:tcPr>
            <w:tcW w:w="7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13%</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r>
      <w:tr>
        <w:trPr>
          <w:trHeight w:val="165"/>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i w:val="1"/>
                <w:iCs w:val="1"/>
                <w:color w:val="auto"/>
                <w:w w:val="99"/>
              </w:rPr>
              <w:t>11%</w:t>
            </w: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17%</w:t>
            </w:r>
          </w:p>
        </w:tc>
        <w:tc>
          <w:tcPr>
            <w:tcW w:w="2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i w:val="1"/>
                <w:iCs w:val="1"/>
                <w:color w:val="auto"/>
              </w:rPr>
              <w:t>−4%</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i w:val="1"/>
                <w:iCs w:val="1"/>
                <w:color w:val="auto"/>
              </w:rPr>
              <w:t>12%</w:t>
            </w:r>
          </w:p>
        </w:tc>
        <w:tc>
          <w:tcPr>
            <w:tcW w:w="820" w:type="dxa"/>
            <w:vAlign w:val="bottom"/>
            <w:gridSpan w:val="3"/>
          </w:tcPr>
          <w:p>
            <w:pPr>
              <w:jc w:val="right"/>
              <w:ind w:right="200"/>
              <w:spacing w:after="0"/>
              <w:rPr>
                <w:sz w:val="20"/>
                <w:szCs w:val="20"/>
                <w:color w:val="auto"/>
              </w:rPr>
            </w:pPr>
            <w:r>
              <w:rPr>
                <w:rFonts w:ascii="Arial" w:cs="Arial" w:eastAsia="Arial" w:hAnsi="Arial"/>
                <w:sz w:val="13"/>
                <w:szCs w:val="13"/>
                <w:i w:val="1"/>
                <w:iCs w:val="1"/>
                <w:color w:val="auto"/>
              </w:rPr>
              <w:t>16%</w:t>
            </w:r>
          </w:p>
        </w:tc>
        <w:tc>
          <w:tcPr>
            <w:tcW w:w="300" w:type="dxa"/>
            <w:vAlign w:val="bottom"/>
          </w:tcPr>
          <w:p>
            <w:pPr>
              <w:jc w:val="right"/>
              <w:spacing w:after="0"/>
              <w:rPr>
                <w:sz w:val="20"/>
                <w:szCs w:val="20"/>
                <w:color w:val="auto"/>
              </w:rPr>
            </w:pPr>
            <w:r>
              <w:rPr>
                <w:rFonts w:ascii="Arial" w:cs="Arial" w:eastAsia="Arial" w:hAnsi="Arial"/>
                <w:sz w:val="13"/>
                <w:szCs w:val="13"/>
                <w:i w:val="1"/>
                <w:iCs w:val="1"/>
                <w:color w:val="auto"/>
              </w:rPr>
              <w:t>14%</w:t>
            </w:r>
          </w:p>
        </w:tc>
        <w:tc>
          <w:tcPr>
            <w:tcW w:w="40" w:type="dxa"/>
            <w:vAlign w:val="bottom"/>
          </w:tcPr>
          <w:p>
            <w:pPr>
              <w:spacing w:after="0"/>
              <w:rPr>
                <w:sz w:val="14"/>
                <w:szCs w:val="14"/>
                <w:color w:val="auto"/>
              </w:rPr>
            </w:pPr>
          </w:p>
        </w:tc>
      </w:tr>
      <w:tr>
        <w:trPr>
          <w:trHeight w:val="171"/>
        </w:trPr>
        <w:tc>
          <w:tcPr>
            <w:tcW w:w="6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Total</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3"/>
                <w:szCs w:val="13"/>
                <w:color w:val="auto"/>
                <w:w w:val="85"/>
                <w:shd w:val="clear" w:color="auto" w:fill="CCEEFF"/>
              </w:rPr>
              <w:t>Reported</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r>
      <w:tr>
        <w:trPr>
          <w:trHeight w:val="165"/>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ind w:left="320"/>
              <w:spacing w:after="0"/>
              <w:rPr>
                <w:sz w:val="20"/>
                <w:szCs w:val="20"/>
                <w:color w:val="auto"/>
              </w:rPr>
            </w:pPr>
            <w:r>
              <w:rPr>
                <w:rFonts w:ascii="Arial" w:cs="Arial" w:eastAsia="Arial" w:hAnsi="Arial"/>
                <w:sz w:val="13"/>
                <w:szCs w:val="13"/>
                <w:i w:val="1"/>
                <w:iCs w:val="1"/>
                <w:color w:val="auto"/>
              </w:rPr>
              <w:t>Local Currency</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i w:val="1"/>
                <w:iCs w:val="1"/>
                <w:color w:val="auto"/>
              </w:rPr>
              <w:t>8%</w:t>
            </w: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−2%</w:t>
            </w:r>
          </w:p>
        </w:tc>
        <w:tc>
          <w:tcPr>
            <w:tcW w:w="2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i w:val="1"/>
                <w:iCs w:val="1"/>
                <w:color w:val="auto"/>
              </w:rPr>
              <w:t>−2%</w:t>
            </w:r>
          </w:p>
        </w:tc>
        <w:tc>
          <w:tcPr>
            <w:tcW w:w="760" w:type="dxa"/>
            <w:vAlign w:val="bottom"/>
            <w:gridSpan w:val="2"/>
          </w:tcPr>
          <w:p>
            <w:pPr>
              <w:jc w:val="right"/>
              <w:ind w:right="18"/>
              <w:spacing w:after="0"/>
              <w:rPr>
                <w:sz w:val="20"/>
                <w:szCs w:val="20"/>
                <w:color w:val="auto"/>
              </w:rPr>
            </w:pPr>
            <w:r>
              <w:rPr>
                <w:rFonts w:ascii="Arial" w:cs="Arial" w:eastAsia="Arial" w:hAnsi="Arial"/>
                <w:sz w:val="13"/>
                <w:szCs w:val="13"/>
                <w:i w:val="1"/>
                <w:iCs w:val="1"/>
                <w:color w:val="auto"/>
              </w:rPr>
              <w:t>1%</w:t>
            </w:r>
          </w:p>
        </w:tc>
        <w:tc>
          <w:tcPr>
            <w:tcW w:w="2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i w:val="1"/>
                <w:iCs w:val="1"/>
                <w:color w:val="auto"/>
              </w:rPr>
              <w:t>−7%</w:t>
            </w:r>
          </w:p>
        </w:tc>
        <w:tc>
          <w:tcPr>
            <w:tcW w:w="300" w:type="dxa"/>
            <w:vAlign w:val="bottom"/>
          </w:tcPr>
          <w:p>
            <w:pPr>
              <w:jc w:val="right"/>
              <w:spacing w:after="0"/>
              <w:rPr>
                <w:sz w:val="20"/>
                <w:szCs w:val="20"/>
                <w:color w:val="auto"/>
              </w:rPr>
            </w:pPr>
            <w:r>
              <w:rPr>
                <w:rFonts w:ascii="Arial" w:cs="Arial" w:eastAsia="Arial" w:hAnsi="Arial"/>
                <w:sz w:val="13"/>
                <w:szCs w:val="13"/>
                <w:i w:val="1"/>
                <w:iCs w:val="1"/>
                <w:color w:val="auto"/>
              </w:rPr>
              <w:t>−3%</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-1372870</wp:posOffset>
            </wp:positionV>
            <wp:extent cx="3779520" cy="14503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779520" cy="1450340"/>
                    </a:xfrm>
                    <a:prstGeom prst="rect">
                      <a:avLst/>
                    </a:prstGeom>
                    <a:noFill/>
                  </pic:spPr>
                </pic:pic>
              </a:graphicData>
            </a:graphic>
          </wp:anchor>
        </w:drawing>
      </w:r>
    </w:p>
    <w:p>
      <w:pPr>
        <w:spacing w:after="0" w:line="132" w:lineRule="exact"/>
        <w:rPr>
          <w:sz w:val="20"/>
          <w:szCs w:val="20"/>
          <w:color w:val="auto"/>
        </w:rPr>
      </w:pPr>
    </w:p>
    <w:p>
      <w:pPr>
        <w:ind w:left="560" w:right="4299" w:hanging="304"/>
        <w:spacing w:after="0" w:line="260" w:lineRule="auto"/>
        <w:tabs>
          <w:tab w:leader="none" w:pos="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North America fine fragrance growth resulted from $14 million in new product introductions, although this growth was partially offset by erosion of existing products of $10 million. Functional fragrance sales realized new product introductions of $10 million though such growth was offset by erosion in existing products of $20 million. Flavors reported new product introductions of $21 million offset by erosion in existing products.</w:t>
      </w:r>
    </w:p>
    <w:p>
      <w:pPr>
        <w:spacing w:after="0" w:line="70" w:lineRule="exact"/>
        <w:rPr>
          <w:rFonts w:ascii="Arial" w:cs="Arial" w:eastAsia="Arial" w:hAnsi="Arial"/>
          <w:sz w:val="13"/>
          <w:szCs w:val="13"/>
          <w:color w:val="auto"/>
        </w:rPr>
      </w:pPr>
    </w:p>
    <w:p>
      <w:pPr>
        <w:ind w:left="560" w:right="4319" w:hanging="304"/>
        <w:spacing w:after="0" w:line="260" w:lineRule="auto"/>
        <w:tabs>
          <w:tab w:leader="none" w:pos="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Europe fine fragrance sales in local currency increased 13%, driven primarily by new product introductions, while functional fragrances and ingredient sales declines were mainly volume related. Flavor sales declined due to the disposition of the fruit preparations business. On an as-adjusted basis, excluding sales attributable to the fruit business from 2004 results, 2005 flavor sales would have been flat in dollars and decreased 1% in 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-539115</wp:posOffset>
            </wp:positionV>
            <wp:extent cx="377380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129"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3773805"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 w:right="4419" w:hanging="304"/>
        <w:spacing w:after="0" w:line="299" w:lineRule="auto"/>
        <w:tabs>
          <w:tab w:leader="none" w:pos="5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Latin America fragrance sales growth resulted from new product introductions of $18 million; the ingredient sales increase was volume related. Flavor sales were strong throughout the region, driven mainly by new product introductions of $9 million and volume growth.</w:t>
      </w:r>
    </w:p>
    <w:p>
      <w:pPr>
        <w:spacing w:after="0" w:line="47" w:lineRule="exact"/>
        <w:rPr>
          <w:rFonts w:ascii="Arial" w:cs="Arial" w:eastAsia="Arial" w:hAnsi="Arial"/>
          <w:sz w:val="12"/>
          <w:szCs w:val="12"/>
          <w:color w:val="auto"/>
        </w:rPr>
      </w:pPr>
    </w:p>
    <w:p>
      <w:pPr>
        <w:ind w:left="560" w:right="4299" w:hanging="304"/>
        <w:spacing w:after="0" w:line="262" w:lineRule="auto"/>
        <w:tabs>
          <w:tab w:leader="none" w:pos="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Asia Pacific fine fragrance sales growth resulted mainly from new product introductions of $3 million and volume growth; variations in functional fragrance and ingredient sales were mainly volume related. Flavor sales growth resulted from new product introductions of $4 million and volume growth.</w:t>
      </w:r>
    </w:p>
    <w:p>
      <w:pPr>
        <w:spacing w:after="0" w:line="69" w:lineRule="exact"/>
        <w:rPr>
          <w:rFonts w:ascii="Arial" w:cs="Arial" w:eastAsia="Arial" w:hAnsi="Arial"/>
          <w:sz w:val="13"/>
          <w:szCs w:val="13"/>
          <w:color w:val="auto"/>
        </w:rPr>
      </w:pPr>
    </w:p>
    <w:p>
      <w:pPr>
        <w:ind w:left="560" w:right="4399" w:hanging="304"/>
        <w:spacing w:after="0" w:line="266" w:lineRule="auto"/>
        <w:tabs>
          <w:tab w:leader="none" w:pos="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India sales increased in both local currency and reported dollars. In both flavors and fragrances, the sales performance reflected the benefit of new product introductions and continued strong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-799465</wp:posOffset>
            </wp:positionV>
            <wp:extent cx="3773805"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77380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-340995</wp:posOffset>
            </wp:positionV>
            <wp:extent cx="3773805"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Results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relationship of cost of goods sold and other operating expenses to net sales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76110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761105"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2006</w:t>
            </w:r>
          </w:p>
        </w:tc>
        <w:tc>
          <w:tcPr>
            <w:tcW w:w="3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2005</w:t>
            </w:r>
          </w:p>
        </w:tc>
        <w:tc>
          <w:tcPr>
            <w:tcW w:w="34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r>
      <w:tr>
        <w:trPr>
          <w:trHeight w:val="138"/>
        </w:trPr>
        <w:tc>
          <w:tcPr>
            <w:tcW w:w="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9"/>
                <w:shd w:val="clear" w:color="auto" w:fill="CCEEFF"/>
              </w:rPr>
              <w:t>Cost of goods sold</w:t>
            </w:r>
          </w:p>
        </w:tc>
        <w:tc>
          <w:tcPr>
            <w:tcW w:w="3520" w:type="dxa"/>
            <w:vAlign w:val="bottom"/>
          </w:tcPr>
          <w:p>
            <w:pPr>
              <w:spacing w:after="0"/>
              <w:rPr>
                <w:sz w:val="12"/>
                <w:szCs w:val="12"/>
                <w:color w:val="auto"/>
              </w:rPr>
            </w:pPr>
          </w:p>
        </w:tc>
        <w:tc>
          <w:tcPr>
            <w:tcW w:w="5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w w:val="97"/>
              </w:rPr>
              <w:t>57.8%</w:t>
            </w:r>
          </w:p>
        </w:tc>
        <w:tc>
          <w:tcPr>
            <w:tcW w:w="6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w w:val="97"/>
              </w:rPr>
              <w:t>58.6%</w:t>
            </w:r>
          </w:p>
        </w:tc>
        <w:tc>
          <w:tcPr>
            <w:tcW w:w="380" w:type="dxa"/>
            <w:vAlign w:val="bottom"/>
            <w:gridSpan w:val="2"/>
          </w:tcPr>
          <w:p>
            <w:pPr>
              <w:jc w:val="right"/>
              <w:spacing w:after="0" w:line="138" w:lineRule="exact"/>
              <w:rPr>
                <w:sz w:val="20"/>
                <w:szCs w:val="20"/>
                <w:color w:val="auto"/>
              </w:rPr>
            </w:pPr>
            <w:r>
              <w:rPr>
                <w:rFonts w:ascii="Arial" w:cs="Arial" w:eastAsia="Arial" w:hAnsi="Arial"/>
                <w:sz w:val="13"/>
                <w:szCs w:val="13"/>
                <w:color w:val="auto"/>
                <w:w w:val="97"/>
              </w:rPr>
              <w:t>57.1%</w:t>
            </w:r>
          </w:p>
        </w:tc>
      </w:tr>
      <w:tr>
        <w:trPr>
          <w:trHeight w:val="187"/>
        </w:trPr>
        <w:tc>
          <w:tcPr>
            <w:tcW w:w="4500" w:type="dxa"/>
            <w:vAlign w:val="bottom"/>
            <w:gridSpan w:val="2"/>
          </w:tcPr>
          <w:p>
            <w:pPr>
              <w:spacing w:after="0"/>
              <w:rPr>
                <w:sz w:val="20"/>
                <w:szCs w:val="20"/>
                <w:color w:val="auto"/>
              </w:rPr>
            </w:pPr>
            <w:r>
              <w:rPr>
                <w:rFonts w:ascii="Arial" w:cs="Arial" w:eastAsia="Arial" w:hAnsi="Arial"/>
                <w:sz w:val="13"/>
                <w:szCs w:val="13"/>
                <w:color w:val="auto"/>
                <w:highlight w:val="white"/>
              </w:rPr>
              <w:t>Research and development expenses</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8.9</w:t>
            </w:r>
            <w:r>
              <w:rPr>
                <w:rFonts w:ascii="Arial" w:cs="Arial" w:eastAsia="Arial" w:hAnsi="Arial"/>
                <w:sz w:val="13"/>
                <w:szCs w:val="13"/>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9.0</w:t>
            </w:r>
            <w:r>
              <w:rPr>
                <w:rFonts w:ascii="Arial" w:cs="Arial" w:eastAsia="Arial" w:hAnsi="Arial"/>
                <w:sz w:val="13"/>
                <w:szCs w:val="13"/>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8.6</w:t>
            </w:r>
            <w:r>
              <w:rPr>
                <w:rFonts w:ascii="Arial" w:cs="Arial" w:eastAsia="Arial" w:hAnsi="Arial"/>
                <w:sz w:val="13"/>
                <w:szCs w:val="13"/>
                <w:b w:val="1"/>
                <w:bCs w:val="1"/>
                <w:color w:val="auto"/>
              </w:rPr>
              <w:t>%</w:t>
            </w:r>
          </w:p>
        </w:tc>
      </w:tr>
      <w:tr>
        <w:trPr>
          <w:trHeight w:val="108"/>
        </w:trPr>
        <w:tc>
          <w:tcPr>
            <w:tcW w:w="980" w:type="dxa"/>
            <w:vAlign w:val="bottom"/>
            <w:shd w:val="clear" w:color="auto" w:fill="CCEEFF"/>
          </w:tcPr>
          <w:p>
            <w:pPr>
              <w:spacing w:after="0"/>
              <w:rPr>
                <w:sz w:val="9"/>
                <w:szCs w:val="9"/>
                <w:color w:val="auto"/>
              </w:rPr>
            </w:pPr>
          </w:p>
        </w:tc>
        <w:tc>
          <w:tcPr>
            <w:tcW w:w="3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-330835</wp:posOffset>
            </wp:positionV>
            <wp:extent cx="635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-330835</wp:posOffset>
            </wp:positionV>
            <wp:extent cx="635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-330835</wp:posOffset>
            </wp:positionV>
            <wp:extent cx="635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-330835</wp:posOffset>
            </wp:positionV>
            <wp:extent cx="6350"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-330835</wp:posOffset>
            </wp:positionV>
            <wp:extent cx="635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-330835</wp:posOffset>
            </wp:positionV>
            <wp:extent cx="635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3779520" cy="2197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779520" cy="219710"/>
                    </a:xfrm>
                    <a:prstGeom prst="rect">
                      <a:avLst/>
                    </a:prstGeom>
                    <a:noFill/>
                  </pic:spPr>
                </pic:pic>
              </a:graphicData>
            </a:graphic>
          </wp:anchor>
        </w:drawing>
      </w:r>
    </w:p>
    <w:p>
      <w:pPr>
        <w:sectPr>
          <w:pgSz w:w="11900" w:h="16900" w:orient="portrait"/>
          <w:cols w:equalWidth="0" w:num="1">
            <w:col w:w="10239"/>
          </w:cols>
          <w:pgMar w:left="220" w:top="132" w:right="1440" w:bottom="0" w:gutter="0" w:footer="0" w:header="0"/>
        </w:sectPr>
      </w:pPr>
    </w:p>
    <w:bookmarkStart w:id="12" w:name="page13"/>
    <w:bookmarkEnd w:id="12"/>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9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Selling, general and administrative expenses</w:t>
            </w:r>
          </w:p>
        </w:tc>
        <w:tc>
          <w:tcPr>
            <w:tcW w:w="205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16.8</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17.0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9520" cy="692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779520" cy="69215"/>
                    </a:xfrm>
                    <a:prstGeom prst="rect">
                      <a:avLst/>
                    </a:prstGeom>
                    <a:noFill/>
                  </pic:spPr>
                </pic:pic>
              </a:graphicData>
            </a:graphic>
          </wp:anchor>
        </w:drawing>
      </w:r>
    </w:p>
    <w:p>
      <w:pPr>
        <w:spacing w:after="0" w:line="159" w:lineRule="exact"/>
        <w:rPr>
          <w:sz w:val="20"/>
          <w:szCs w:val="20"/>
          <w:color w:val="auto"/>
        </w:rPr>
      </w:pPr>
    </w:p>
    <w:p>
      <w:pPr>
        <w:ind w:right="4239" w:firstLine="263"/>
        <w:spacing w:after="0" w:line="260" w:lineRule="auto"/>
        <w:rPr>
          <w:sz w:val="20"/>
          <w:szCs w:val="20"/>
          <w:color w:val="auto"/>
        </w:rPr>
      </w:pPr>
      <w:r>
        <w:rPr>
          <w:rFonts w:ascii="Arial" w:cs="Arial" w:eastAsia="Arial" w:hAnsi="Arial"/>
          <w:sz w:val="13"/>
          <w:szCs w:val="13"/>
          <w:color w:val="auto"/>
        </w:rPr>
        <w:t>Cost of goods sold includes the cost of materials and manufacturing expenses; raw materials generally constitute 70% of the total. Research expenses are for the development of new and improved products, technical product support, compliance with governmental regulations, and help in maintaining relationships with customers who are often dependent on technological advances. Selling, general and administrative expenses support the Company’s sales and operating levels.</w:t>
      </w:r>
    </w:p>
    <w:p>
      <w:pPr>
        <w:spacing w:after="0" w:line="60" w:lineRule="exact"/>
        <w:rPr>
          <w:sz w:val="20"/>
          <w:szCs w:val="20"/>
          <w:color w:val="auto"/>
        </w:rPr>
      </w:pPr>
    </w:p>
    <w:p>
      <w:pPr>
        <w:ind w:right="4239" w:firstLine="263"/>
        <w:spacing w:after="0" w:line="291" w:lineRule="auto"/>
        <w:rPr>
          <w:sz w:val="20"/>
          <w:szCs w:val="20"/>
          <w:color w:val="auto"/>
        </w:rPr>
      </w:pPr>
      <w:r>
        <w:rPr>
          <w:rFonts w:ascii="Arial" w:cs="Arial" w:eastAsia="Arial" w:hAnsi="Arial"/>
          <w:sz w:val="12"/>
          <w:szCs w:val="12"/>
          <w:color w:val="auto"/>
        </w:rPr>
        <w:t>Segment profit, which excludes the effect of restructuring and other charges, was $332 million in 2006, $290 million in 2005 and $342 million in 2004. The Company recorded restructuring and other charges of $3 million, $23 million, and $32 million in 2006, 2005 and 2004, respectively. Operating profit totaled $329 million, $267 million and $310 million in 2006, 2005 and 2004, respectively. See Note 13 for further details.</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2006 in Comparison to 2005</w:t>
      </w:r>
    </w:p>
    <w:p>
      <w:pPr>
        <w:spacing w:after="0" w:line="78" w:lineRule="exact"/>
        <w:rPr>
          <w:sz w:val="20"/>
          <w:szCs w:val="20"/>
          <w:color w:val="auto"/>
        </w:rPr>
      </w:pPr>
    </w:p>
    <w:p>
      <w:pPr>
        <w:ind w:right="4239" w:firstLine="263"/>
        <w:spacing w:after="0" w:line="287" w:lineRule="auto"/>
        <w:rPr>
          <w:sz w:val="20"/>
          <w:szCs w:val="20"/>
          <w:color w:val="auto"/>
        </w:rPr>
      </w:pPr>
      <w:r>
        <w:rPr>
          <w:rFonts w:ascii="Arial" w:cs="Arial" w:eastAsia="Arial" w:hAnsi="Arial"/>
          <w:sz w:val="12"/>
          <w:szCs w:val="12"/>
          <w:color w:val="auto"/>
        </w:rPr>
        <w:t>Cost of goods sold, as a percentage of sales, decreased 80 basis points compared with 2005. The decline was mainly the result of the improved sales performance, leading to better absorption of manufacturing expenses, and favorable product mix. The Company also benefited from the elimination of 69 manufacturing positions, mainly in North America and Europe, which resulted in savings of $4 million. The average cost of raw materials purchased by the Company increased 2% – 3% in comparison to the prior year.</w:t>
      </w:r>
    </w:p>
    <w:p>
      <w:pPr>
        <w:spacing w:after="0" w:line="45" w:lineRule="exact"/>
        <w:rPr>
          <w:sz w:val="20"/>
          <w:szCs w:val="20"/>
          <w:color w:val="auto"/>
        </w:rPr>
      </w:pPr>
    </w:p>
    <w:p>
      <w:pPr>
        <w:ind w:right="4299" w:firstLine="263"/>
        <w:spacing w:after="0" w:line="279" w:lineRule="auto"/>
        <w:rPr>
          <w:sz w:val="20"/>
          <w:szCs w:val="20"/>
          <w:color w:val="auto"/>
        </w:rPr>
      </w:pPr>
      <w:r>
        <w:rPr>
          <w:rFonts w:ascii="Arial" w:cs="Arial" w:eastAsia="Arial" w:hAnsi="Arial"/>
          <w:sz w:val="13"/>
          <w:szCs w:val="13"/>
          <w:color w:val="auto"/>
        </w:rPr>
        <w:t>Research and Development (‘‘R&amp;D’’) expenses were 8.9% of sales; spending in 2007 is expected to remain at approximately 9.0% of sales.</w:t>
      </w:r>
    </w:p>
    <w:p>
      <w:pPr>
        <w:spacing w:after="0" w:line="48" w:lineRule="exact"/>
        <w:rPr>
          <w:sz w:val="20"/>
          <w:szCs w:val="20"/>
          <w:color w:val="auto"/>
        </w:rPr>
      </w:pPr>
    </w:p>
    <w:p>
      <w:pPr>
        <w:ind w:right="4299" w:firstLine="263"/>
        <w:spacing w:after="0" w:line="284" w:lineRule="auto"/>
        <w:rPr>
          <w:sz w:val="20"/>
          <w:szCs w:val="20"/>
          <w:color w:val="auto"/>
        </w:rPr>
      </w:pPr>
      <w:r>
        <w:rPr>
          <w:rFonts w:ascii="Arial" w:cs="Arial" w:eastAsia="Arial" w:hAnsi="Arial"/>
          <w:sz w:val="12"/>
          <w:szCs w:val="12"/>
          <w:color w:val="auto"/>
        </w:rPr>
        <w:t>Selling, General and Administrative (‘‘SG&amp;A’’) expenses were 16.8% of sales compared to 17.0% in 2005. The 2005 results included $8 million relating to a product contamination matter; 2006 results reflect a benefit of $3 million insurance recovery related to this contamination matter. The Company benefited from the elimination of 129 positions, mainly in North America and Europe, which resulted in savings in SG&amp;A expense of $8 million. The 2006 results also include $31 million in incentive compensation expense driven by improved sales and operating performance; 2005 results included $5 million of such expense.</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2005 in Comparison to 2004</w:t>
      </w:r>
    </w:p>
    <w:p>
      <w:pPr>
        <w:spacing w:after="0" w:line="78" w:lineRule="exact"/>
        <w:rPr>
          <w:sz w:val="20"/>
          <w:szCs w:val="20"/>
          <w:color w:val="auto"/>
        </w:rPr>
      </w:pPr>
    </w:p>
    <w:p>
      <w:pPr>
        <w:ind w:right="4339" w:firstLine="263"/>
        <w:spacing w:after="0" w:line="266" w:lineRule="auto"/>
        <w:rPr>
          <w:sz w:val="20"/>
          <w:szCs w:val="20"/>
          <w:color w:val="auto"/>
        </w:rPr>
      </w:pPr>
      <w:r>
        <w:rPr>
          <w:rFonts w:ascii="Arial" w:cs="Arial" w:eastAsia="Arial" w:hAnsi="Arial"/>
          <w:sz w:val="13"/>
          <w:szCs w:val="13"/>
          <w:color w:val="auto"/>
        </w:rPr>
        <w:t>Cost of goods sold, as a percentage of sales, increased 150 basis points compared with 2004, mainly due to higher raw material costs which the Company was unable to fully recover through increased selling prices; overall, the average cost of raw materials purchased increased 5% – 6% in</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379"/>
        <w:spacing w:after="0" w:line="291" w:lineRule="auto"/>
        <w:rPr>
          <w:sz w:val="20"/>
          <w:szCs w:val="20"/>
          <w:color w:val="auto"/>
        </w:rPr>
      </w:pPr>
      <w:r>
        <w:rPr>
          <w:rFonts w:ascii="Arial" w:cs="Arial" w:eastAsia="Arial" w:hAnsi="Arial"/>
          <w:sz w:val="12"/>
          <w:szCs w:val="12"/>
          <w:color w:val="auto"/>
        </w:rPr>
        <w:t>comparison to the prior year. Cost of sales include $3 million attributable to a vendor-supplied raw material contamination issue, primarily testing costs and the write-off of affected materials. Cost of goods sold was also impacted by lower expense absorption attributable to the facility closure in Dijon and the cost of transfer of related production to other manufacturing locations; production at Dijon ceased in March 2005.</w:t>
      </w:r>
    </w:p>
    <w:p>
      <w:pPr>
        <w:spacing w:after="0" w:line="43" w:lineRule="exact"/>
        <w:rPr>
          <w:sz w:val="20"/>
          <w:szCs w:val="20"/>
          <w:color w:val="auto"/>
        </w:rPr>
      </w:pPr>
    </w:p>
    <w:p>
      <w:pPr>
        <w:ind w:right="4359" w:firstLine="263"/>
        <w:spacing w:after="0" w:line="279" w:lineRule="auto"/>
        <w:rPr>
          <w:sz w:val="20"/>
          <w:szCs w:val="20"/>
          <w:color w:val="auto"/>
        </w:rPr>
      </w:pPr>
      <w:r>
        <w:rPr>
          <w:rFonts w:ascii="Arial" w:cs="Arial" w:eastAsia="Arial" w:hAnsi="Arial"/>
          <w:sz w:val="13"/>
          <w:szCs w:val="13"/>
          <w:color w:val="auto"/>
        </w:rPr>
        <w:t>Research and Development (‘‘R&amp;D’’) expenses increased to 9.0% of sales, consistent with the Company’s stated intention to expand its research initiatives.</w:t>
      </w:r>
    </w:p>
    <w:p>
      <w:pPr>
        <w:spacing w:after="0" w:line="48" w:lineRule="exact"/>
        <w:rPr>
          <w:sz w:val="20"/>
          <w:szCs w:val="20"/>
          <w:color w:val="auto"/>
        </w:rPr>
      </w:pPr>
    </w:p>
    <w:p>
      <w:pPr>
        <w:ind w:right="4259" w:firstLine="263"/>
        <w:spacing w:after="0" w:line="284" w:lineRule="auto"/>
        <w:rPr>
          <w:sz w:val="20"/>
          <w:szCs w:val="20"/>
          <w:color w:val="auto"/>
        </w:rPr>
      </w:pPr>
      <w:r>
        <w:rPr>
          <w:rFonts w:ascii="Arial" w:cs="Arial" w:eastAsia="Arial" w:hAnsi="Arial"/>
          <w:sz w:val="12"/>
          <w:szCs w:val="12"/>
          <w:color w:val="auto"/>
        </w:rPr>
        <w:t>Selling, General and Administrative (‘‘SG&amp;A’’) expenses, as a percentage of sales, increased to 17.0% from 16.8%. In 2005, SG&amp;A expenses include $8 million related to the cost of customer damages attributable to the raw material contamination issue. The Company continues to seek full indemnification from its supplier, the supplier’s insurers and, to the extent necessary, its own insurers, but no related insurance receivable was recorded in the 2005 results. These costs were partially offset by lower accruals under the Company’s various incentive plans; the 2005 results include $5 million of such expense compared to $23 million in 2004.</w:t>
      </w:r>
    </w:p>
    <w:p>
      <w:pPr>
        <w:spacing w:after="0" w:line="49" w:lineRule="exact"/>
        <w:rPr>
          <w:sz w:val="20"/>
          <w:szCs w:val="20"/>
          <w:color w:val="auto"/>
        </w:rPr>
      </w:pPr>
    </w:p>
    <w:p>
      <w:pPr>
        <w:ind w:right="4319" w:firstLine="263"/>
        <w:spacing w:after="0" w:line="299" w:lineRule="auto"/>
        <w:rPr>
          <w:sz w:val="20"/>
          <w:szCs w:val="20"/>
          <w:color w:val="auto"/>
        </w:rPr>
      </w:pPr>
      <w:r>
        <w:rPr>
          <w:rFonts w:ascii="Arial" w:cs="Arial" w:eastAsia="Arial" w:hAnsi="Arial"/>
          <w:sz w:val="12"/>
          <w:szCs w:val="12"/>
          <w:color w:val="auto"/>
        </w:rPr>
        <w:t>In 2005, cost of goods sold and SG&amp;A include $2 million and $4 million, respectively, relating to the implementation of SAP; these costs relate to training and data conversion and are charged to operating expenses as incurred. Implementation of SAP was essentially complete at December 31, 2005.</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Interest Expense</w:t>
      </w:r>
    </w:p>
    <w:p>
      <w:pPr>
        <w:spacing w:after="0" w:line="78" w:lineRule="exact"/>
        <w:rPr>
          <w:sz w:val="20"/>
          <w:szCs w:val="20"/>
          <w:color w:val="auto"/>
        </w:rPr>
      </w:pPr>
    </w:p>
    <w:p>
      <w:pPr>
        <w:ind w:right="4299" w:firstLine="263"/>
        <w:spacing w:after="0" w:line="266" w:lineRule="auto"/>
        <w:rPr>
          <w:sz w:val="20"/>
          <w:szCs w:val="20"/>
          <w:color w:val="auto"/>
        </w:rPr>
      </w:pPr>
      <w:r>
        <w:rPr>
          <w:rFonts w:ascii="Arial" w:cs="Arial" w:eastAsia="Arial" w:hAnsi="Arial"/>
          <w:sz w:val="13"/>
          <w:szCs w:val="13"/>
          <w:color w:val="auto"/>
        </w:rPr>
        <w:t>Interest expense totaled $26 million, $24 million and $24 million in 2006, 2005 and 2004, respectively. The average interest rate was 3.3%, 3.3% and 3.2% in 2006, 2005 and 2004, respectively. Additional details are contained in Note 9.</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Other (Income) Expense, Net</w:t>
      </w:r>
    </w:p>
    <w:p>
      <w:pPr>
        <w:spacing w:after="0" w:line="78" w:lineRule="exact"/>
        <w:rPr>
          <w:sz w:val="20"/>
          <w:szCs w:val="20"/>
          <w:color w:val="auto"/>
        </w:rPr>
      </w:pPr>
    </w:p>
    <w:p>
      <w:pPr>
        <w:ind w:right="4279" w:firstLine="263"/>
        <w:spacing w:after="0" w:line="283" w:lineRule="auto"/>
        <w:rPr>
          <w:sz w:val="20"/>
          <w:szCs w:val="20"/>
          <w:color w:val="auto"/>
        </w:rPr>
      </w:pPr>
      <w:r>
        <w:rPr>
          <w:rFonts w:ascii="Arial" w:cs="Arial" w:eastAsia="Arial" w:hAnsi="Arial"/>
          <w:sz w:val="12"/>
          <w:szCs w:val="12"/>
          <w:color w:val="auto"/>
        </w:rPr>
        <w:t>Other (income) expense, net was $10 million income in 2006, $3 million income in 2005 and $5 million expense in 2004. In 2006, income resulted from gains on asset sales of $18 million, partially offset by higher exchange losses and other non-operating expenses. In 2005, income resulted primarily from exchange gains and higher levels of interest income earned on higher cash balances. Exchange (losses) or gains were ($7) million, $3 million and ($3) million in 2006, 2005 and 2004, respectively. The exchange losses in 2006 and 2004 were mainly the result of the Company having U.S. dollar positions in Europe and Latin America which resulted in exchange losses upon the weakening of the U.S. dollar in comparison to the Euro and other currencies.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Income Taxes</w:t>
      </w:r>
    </w:p>
    <w:p>
      <w:pPr>
        <w:spacing w:after="0" w:line="78" w:lineRule="exact"/>
        <w:rPr>
          <w:sz w:val="20"/>
          <w:szCs w:val="20"/>
          <w:color w:val="auto"/>
        </w:rPr>
      </w:pPr>
    </w:p>
    <w:p>
      <w:pPr>
        <w:ind w:right="4259" w:firstLine="263"/>
        <w:spacing w:after="0" w:line="284" w:lineRule="auto"/>
        <w:rPr>
          <w:sz w:val="20"/>
          <w:szCs w:val="20"/>
          <w:color w:val="auto"/>
        </w:rPr>
      </w:pPr>
      <w:r>
        <w:rPr>
          <w:rFonts w:ascii="Arial" w:cs="Arial" w:eastAsia="Arial" w:hAnsi="Arial"/>
          <w:sz w:val="12"/>
          <w:szCs w:val="12"/>
          <w:color w:val="auto"/>
        </w:rPr>
        <w:t>The effective tax rate for 2006, 2005 and 2004 was 27.7%, 21.6% and 30.2%, respectively. The effective tax rate fluctuates as a result of earnings in the countries in which the Company operates. The 2005 rate was significantly reduced due to a tax benefit associated with the American Jobs Creation Act (‘‘AJCA’’) which provided for a one-time tax deduction of 85% of dividends received on eligible repatriated foreign earnings. Tax expense in 2005 reflects a benefit of $25 million relating to the repatriation of $242 million of dividends under AJCA; excluding this benefit, the effective tax rate for 2005 would have been 31.6%.</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 and Divestitures</w:t>
      </w:r>
    </w:p>
    <w:p>
      <w:pPr>
        <w:spacing w:after="0" w:line="92" w:lineRule="exact"/>
        <w:rPr>
          <w:sz w:val="20"/>
          <w:szCs w:val="20"/>
          <w:color w:val="auto"/>
        </w:rPr>
      </w:pPr>
    </w:p>
    <w:p>
      <w:pPr>
        <w:ind w:right="4259" w:firstLine="263"/>
        <w:spacing w:after="0" w:line="262" w:lineRule="auto"/>
        <w:rPr>
          <w:sz w:val="20"/>
          <w:szCs w:val="20"/>
          <w:color w:val="auto"/>
        </w:rPr>
      </w:pPr>
      <w:r>
        <w:rPr>
          <w:rFonts w:ascii="Arial" w:cs="Arial" w:eastAsia="Arial" w:hAnsi="Arial"/>
          <w:sz w:val="13"/>
          <w:szCs w:val="13"/>
          <w:color w:val="auto"/>
        </w:rPr>
        <w:t>In 2004, the Company sold its European fruit preparations business which manufactured processed fruit and other natural product preparations used in a variety of food products. Sales of fruit preparations in 2004 were $59 million and operating profit was $6 million. Proceeds from the sale were $40 million, including assumption of certain liabilities; cash proceeds were used to reduce borrowings.</w:t>
      </w:r>
    </w:p>
    <w:p>
      <w:pPr>
        <w:spacing w:after="0" w:line="59" w:lineRule="exact"/>
        <w:rPr>
          <w:sz w:val="20"/>
          <w:szCs w:val="20"/>
          <w:color w:val="auto"/>
        </w:rPr>
      </w:pPr>
    </w:p>
    <w:p>
      <w:pPr>
        <w:ind w:right="4499" w:firstLine="263"/>
        <w:spacing w:after="0" w:line="322" w:lineRule="auto"/>
        <w:rPr>
          <w:sz w:val="20"/>
          <w:szCs w:val="20"/>
          <w:color w:val="auto"/>
        </w:rPr>
      </w:pPr>
      <w:r>
        <w:rPr>
          <w:rFonts w:ascii="Arial" w:cs="Arial" w:eastAsia="Arial" w:hAnsi="Arial"/>
          <w:sz w:val="12"/>
          <w:szCs w:val="12"/>
          <w:color w:val="auto"/>
        </w:rPr>
        <w:t>At December 31, 2006 and 2005, goodwill and other intangible assets, net of accumulated amortization, totaled $746 million and $773 million, respectively. The Company completed its annual</w:t>
      </w:r>
    </w:p>
    <w:p>
      <w:pPr>
        <w:spacing w:after="0" w:line="16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assessments in 2006, 2005 and 2004, concluding that it has no impairment of goodwill or 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Additional details are contained in Note 5.</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 and Other Charges</w:t>
      </w:r>
    </w:p>
    <w:p>
      <w:pPr>
        <w:spacing w:after="0" w:line="92" w:lineRule="exact"/>
        <w:rPr>
          <w:sz w:val="20"/>
          <w:szCs w:val="20"/>
          <w:color w:val="auto"/>
        </w:rPr>
      </w:pPr>
    </w:p>
    <w:p>
      <w:pPr>
        <w:ind w:right="4319" w:firstLine="263"/>
        <w:spacing w:after="0" w:line="291" w:lineRule="auto"/>
        <w:rPr>
          <w:sz w:val="20"/>
          <w:szCs w:val="20"/>
          <w:color w:val="auto"/>
        </w:rPr>
      </w:pPr>
      <w:r>
        <w:rPr>
          <w:rFonts w:ascii="Arial" w:cs="Arial" w:eastAsia="Arial" w:hAnsi="Arial"/>
          <w:sz w:val="12"/>
          <w:szCs w:val="12"/>
          <w:color w:val="auto"/>
        </w:rPr>
        <w:t>With respect to the restructuring and other charges, (i) separation costs for employees relate primarily to severance, outplacement and other benefit costs; (ii) asset write-down charges relate to establishment of the new carrying value for assets held for sale or disposal; and (iii) other costs include lease termination costs and other reorganization expenses incurred to effect either employee separation or location closure.</w:t>
      </w:r>
    </w:p>
    <w:p>
      <w:pPr>
        <w:spacing w:after="0" w:line="43" w:lineRule="exact"/>
        <w:rPr>
          <w:sz w:val="20"/>
          <w:szCs w:val="20"/>
          <w:color w:val="auto"/>
        </w:rPr>
      </w:pPr>
    </w:p>
    <w:p>
      <w:pPr>
        <w:ind w:right="4539" w:firstLine="263"/>
        <w:spacing w:after="0" w:line="322" w:lineRule="auto"/>
        <w:rPr>
          <w:sz w:val="20"/>
          <w:szCs w:val="20"/>
          <w:color w:val="auto"/>
        </w:rPr>
      </w:pPr>
      <w:r>
        <w:rPr>
          <w:rFonts w:ascii="Arial" w:cs="Arial" w:eastAsia="Arial" w:hAnsi="Arial"/>
          <w:sz w:val="12"/>
          <w:szCs w:val="12"/>
          <w:color w:val="auto"/>
        </w:rPr>
        <w:t>In 2004, the Company disposed of its European fruit preparations business, closed its Canadian manufacturing facility and committed to the closure of its manufacturing facility in Dijon, France; the Dijon</w:t>
      </w:r>
    </w:p>
    <w:p>
      <w:pPr>
        <w:sectPr>
          <w:pgSz w:w="11900" w:h="16947" w:orient="portrait"/>
          <w:cols w:equalWidth="0" w:num="1">
            <w:col w:w="10239"/>
          </w:cols>
          <w:pgMar w:left="220" w:top="138" w:right="1440" w:bottom="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facility closed in 2005.</w:t>
      </w:r>
    </w:p>
    <w:p>
      <w:pPr>
        <w:spacing w:after="0" w:line="88" w:lineRule="exact"/>
        <w:rPr>
          <w:sz w:val="20"/>
          <w:szCs w:val="20"/>
          <w:color w:val="auto"/>
        </w:rPr>
      </w:pPr>
    </w:p>
    <w:p>
      <w:pPr>
        <w:ind w:right="4379" w:firstLine="263"/>
        <w:spacing w:after="0" w:line="284" w:lineRule="auto"/>
        <w:rPr>
          <w:sz w:val="20"/>
          <w:szCs w:val="20"/>
          <w:color w:val="auto"/>
        </w:rPr>
      </w:pPr>
      <w:r>
        <w:rPr>
          <w:rFonts w:ascii="Arial" w:cs="Arial" w:eastAsia="Arial" w:hAnsi="Arial"/>
          <w:sz w:val="12"/>
          <w:szCs w:val="12"/>
          <w:color w:val="auto"/>
        </w:rPr>
        <w:t>In 2005, the Company undertook to eliminate 300 positions in manufacturing, selling, research and administration functions, principally in its European and North American regions. The majority of affected positions involved employee separation while the balance related to open positions that will not be filled. The Company anticipated recording pre-tax restructuring charges of $25 million to $30 million relating primarily to employee separation expenses; $23 million was recognized in 2005 and $3 million was recorded in 2006. This plan is essentially complete. Annualized savings from these actions are approximately $16 - $18 million.</w:t>
      </w:r>
    </w:p>
    <w:p>
      <w:pPr>
        <w:spacing w:after="0" w:line="49" w:lineRule="exact"/>
        <w:rPr>
          <w:sz w:val="20"/>
          <w:szCs w:val="20"/>
          <w:color w:val="auto"/>
        </w:rPr>
      </w:pPr>
    </w:p>
    <w:p>
      <w:pPr>
        <w:jc w:val="both"/>
        <w:ind w:right="4399" w:firstLine="263"/>
        <w:spacing w:after="0" w:line="266" w:lineRule="auto"/>
        <w:rPr>
          <w:sz w:val="20"/>
          <w:szCs w:val="20"/>
          <w:color w:val="auto"/>
        </w:rPr>
      </w:pPr>
      <w:r>
        <w:rPr>
          <w:rFonts w:ascii="Arial" w:cs="Arial" w:eastAsia="Arial" w:hAnsi="Arial"/>
          <w:sz w:val="13"/>
          <w:szCs w:val="13"/>
          <w:color w:val="auto"/>
        </w:rPr>
        <w:t>As a result of the actions described above, restructuring charges and positions eliminated (including those not replaced in the 2005 program) by region in each of the three years in the period ended December 31, 2006 were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350" cy="628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3773805"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20" w:type="dxa"/>
            <w:vAlign w:val="bottom"/>
          </w:tcPr>
          <w:p>
            <w:pPr>
              <w:spacing w:after="0"/>
              <w:rPr>
                <w:sz w:val="11"/>
                <w:szCs w:val="11"/>
                <w:color w:val="auto"/>
              </w:rPr>
            </w:pPr>
          </w:p>
        </w:tc>
        <w:tc>
          <w:tcPr>
            <w:tcW w:w="122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1"/>
                <w:szCs w:val="11"/>
                <w:b w:val="1"/>
                <w:bCs w:val="1"/>
                <w:color w:val="auto"/>
                <w:w w:val="97"/>
              </w:rPr>
              <w:t>Positions Eliminated</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3"/>
              </w:rPr>
              <w:t>Restructuring Charges</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18"/>
        </w:trPr>
        <w:tc>
          <w:tcPr>
            <w:tcW w:w="2920" w:type="dxa"/>
            <w:vAlign w:val="bottom"/>
          </w:tcPr>
          <w:p>
            <w:pPr>
              <w:spacing w:after="0"/>
              <w:rPr>
                <w:sz w:val="10"/>
                <w:szCs w:val="10"/>
                <w:color w:val="auto"/>
              </w:rPr>
            </w:pPr>
          </w:p>
        </w:tc>
        <w:tc>
          <w:tcPr>
            <w:tcW w:w="220" w:type="dxa"/>
            <w:vAlign w:val="bottom"/>
          </w:tcPr>
          <w:p>
            <w:pPr>
              <w:jc w:val="right"/>
              <w:spacing w:after="0" w:line="119" w:lineRule="exact"/>
              <w:rPr>
                <w:sz w:val="20"/>
                <w:szCs w:val="20"/>
                <w:color w:val="auto"/>
              </w:rPr>
            </w:pPr>
            <w:r>
              <w:rPr>
                <w:rFonts w:ascii="Arial" w:cs="Arial" w:eastAsia="Arial" w:hAnsi="Arial"/>
                <w:sz w:val="11"/>
                <w:szCs w:val="11"/>
                <w:b w:val="1"/>
                <w:bCs w:val="1"/>
                <w:color w:val="auto"/>
                <w:w w:val="81"/>
              </w:rPr>
              <w:t>2006</w:t>
            </w:r>
          </w:p>
        </w:tc>
        <w:tc>
          <w:tcPr>
            <w:tcW w:w="50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2005</w:t>
            </w:r>
          </w:p>
        </w:tc>
        <w:tc>
          <w:tcPr>
            <w:tcW w:w="50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rPr>
              <w:t>2004</w:t>
            </w:r>
          </w:p>
        </w:tc>
        <w:tc>
          <w:tcPr>
            <w:tcW w:w="300" w:type="dxa"/>
            <w:vAlign w:val="bottom"/>
          </w:tcPr>
          <w:p>
            <w:pPr>
              <w:spacing w:after="0"/>
              <w:rPr>
                <w:sz w:val="10"/>
                <w:szCs w:val="10"/>
                <w:color w:val="auto"/>
              </w:rPr>
            </w:pPr>
          </w:p>
        </w:tc>
        <w:tc>
          <w:tcPr>
            <w:tcW w:w="2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auto"/>
                <w:w w:val="89"/>
              </w:rPr>
              <w:t>2006</w:t>
            </w:r>
          </w:p>
        </w:tc>
        <w:tc>
          <w:tcPr>
            <w:tcW w:w="580" w:type="dxa"/>
            <w:vAlign w:val="bottom"/>
            <w:gridSpan w:val="3"/>
          </w:tcPr>
          <w:p>
            <w:pPr>
              <w:jc w:val="right"/>
              <w:spacing w:after="0" w:line="119" w:lineRule="exact"/>
              <w:rPr>
                <w:sz w:val="20"/>
                <w:szCs w:val="20"/>
                <w:color w:val="auto"/>
              </w:rPr>
            </w:pPr>
            <w:r>
              <w:rPr>
                <w:rFonts w:ascii="Arial" w:cs="Arial" w:eastAsia="Arial" w:hAnsi="Arial"/>
                <w:sz w:val="11"/>
                <w:szCs w:val="11"/>
                <w:b w:val="1"/>
                <w:bCs w:val="1"/>
                <w:color w:val="auto"/>
              </w:rPr>
              <w:t>2005</w:t>
            </w:r>
          </w:p>
        </w:tc>
        <w:tc>
          <w:tcPr>
            <w:tcW w:w="600" w:type="dxa"/>
            <w:vAlign w:val="bottom"/>
            <w:gridSpan w:val="3"/>
          </w:tcPr>
          <w:p>
            <w:pPr>
              <w:jc w:val="right"/>
              <w:spacing w:after="0" w:line="119" w:lineRule="exact"/>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10"/>
                <w:szCs w:val="10"/>
                <w:color w:val="auto"/>
              </w:rPr>
            </w:pPr>
          </w:p>
        </w:tc>
      </w:tr>
      <w:tr>
        <w:trPr>
          <w:trHeight w:val="158"/>
        </w:trPr>
        <w:tc>
          <w:tcPr>
            <w:tcW w:w="29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North America</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83</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140</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56</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w:t>
            </w:r>
          </w:p>
        </w:tc>
        <w:tc>
          <w:tcPr>
            <w:tcW w:w="32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6"/>
              </w:rPr>
              <w:t>10</w:t>
            </w:r>
          </w:p>
        </w:tc>
        <w:tc>
          <w:tcPr>
            <w:tcW w:w="32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w:t>
            </w:r>
          </w:p>
        </w:tc>
        <w:tc>
          <w:tcPr>
            <w:tcW w:w="60" w:type="dxa"/>
            <w:vAlign w:val="bottom"/>
            <w:tcBorders>
              <w:top w:val="single" w:sz="8" w:color="auto"/>
            </w:tcBorders>
            <w:shd w:val="clear" w:color="auto" w:fill="CCEEFF"/>
          </w:tcPr>
          <w:p>
            <w:pPr>
              <w:spacing w:after="0"/>
              <w:rPr>
                <w:sz w:val="13"/>
                <w:szCs w:val="13"/>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3"/>
                <w:szCs w:val="13"/>
                <w:color w:val="auto"/>
                <w:highlight w:val="white"/>
              </w:rPr>
              <w:t>Europe</w:t>
            </w:r>
          </w:p>
        </w:tc>
        <w:tc>
          <w:tcPr>
            <w:tcW w:w="220" w:type="dxa"/>
            <w:vAlign w:val="bottom"/>
          </w:tcPr>
          <w:p>
            <w:pPr>
              <w:jc w:val="right"/>
              <w:spacing w:after="0"/>
              <w:rPr>
                <w:sz w:val="20"/>
                <w:szCs w:val="20"/>
                <w:color w:val="auto"/>
              </w:rPr>
            </w:pPr>
            <w:r>
              <w:rPr>
                <w:rFonts w:ascii="Arial" w:cs="Arial" w:eastAsia="Arial" w:hAnsi="Arial"/>
                <w:sz w:val="13"/>
                <w:szCs w:val="13"/>
                <w:color w:val="auto"/>
              </w:rPr>
              <w:t>76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261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234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4"/>
                <w:szCs w:val="14"/>
                <w:color w:val="auto"/>
              </w:rPr>
            </w:pPr>
          </w:p>
        </w:tc>
      </w:tr>
      <w:tr>
        <w:trPr>
          <w:trHeight w:val="169"/>
        </w:trPr>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Asia Pacific</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5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5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3"/>
                <w:szCs w:val="13"/>
                <w:color w:val="auto"/>
                <w:highlight w:val="white"/>
              </w:rPr>
              <w:t>Latin America</w:t>
            </w: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5"/>
        </w:trPr>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20"/>
        </w:trPr>
        <w:tc>
          <w:tcPr>
            <w:tcW w:w="29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53"/>
        </w:trPr>
        <w:tc>
          <w:tcPr>
            <w:tcW w:w="2920" w:type="dxa"/>
            <w:vAlign w:val="bottom"/>
          </w:tcPr>
          <w:p>
            <w:pPr>
              <w:spacing w:after="0"/>
              <w:rPr>
                <w:sz w:val="20"/>
                <w:szCs w:val="20"/>
                <w:color w:val="auto"/>
              </w:rPr>
            </w:pPr>
            <w:r>
              <w:rPr>
                <w:rFonts w:ascii="Arial" w:cs="Arial" w:eastAsia="Arial" w:hAnsi="Arial"/>
                <w:sz w:val="13"/>
                <w:szCs w:val="13"/>
                <w:color w:val="auto"/>
                <w:highlight w:val="white"/>
              </w:rPr>
              <w:t>Total</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198</w:t>
            </w: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429</w:t>
            </w: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302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23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32</w:t>
            </w:r>
          </w:p>
        </w:tc>
        <w:tc>
          <w:tcPr>
            <w:tcW w:w="60" w:type="dxa"/>
            <w:vAlign w:val="bottom"/>
          </w:tcPr>
          <w:p>
            <w:pPr>
              <w:spacing w:after="0"/>
              <w:rPr>
                <w:sz w:val="13"/>
                <w:szCs w:val="13"/>
                <w:color w:val="auto"/>
              </w:rPr>
            </w:pPr>
          </w:p>
        </w:tc>
      </w:tr>
      <w:tr>
        <w:trPr>
          <w:trHeight w:val="30"/>
        </w:trPr>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-790575</wp:posOffset>
            </wp:positionV>
            <wp:extent cx="3779520" cy="8540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779520" cy="85407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Movements in accruals in each of the three years in the period ended December 31, 2006 were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6350" cy="628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3836035"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Balance January 1, 2004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highlight w:val="white"/>
        </w:rPr>
        <w:t>Additional charges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Cash and other costs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highlight w:val="white"/>
        </w:rPr>
        <w:t>Balance December 31, 2004</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Additional charges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highlight w:val="white"/>
        </w:rPr>
        <w:t>Cash and other costs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shd w:val="clear" w:color="auto" w:fill="CCEEFF"/>
        </w:rPr>
        <w:t>Balance December 31, 2005</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highlight w:val="white"/>
        </w:rPr>
        <w:t>Additional charges (credits)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Cash and other costs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highlight w:val="white"/>
        </w:rPr>
        <w:t>Balance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350" cy="628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56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89"/>
              </w:rPr>
              <w:t>Employee-</w:t>
            </w:r>
          </w:p>
        </w:tc>
        <w:tc>
          <w:tcPr>
            <w:tcW w:w="160" w:type="dxa"/>
            <w:vAlign w:val="bottom"/>
          </w:tcPr>
          <w:p>
            <w:pPr>
              <w:spacing w:after="0"/>
              <w:rPr>
                <w:sz w:val="11"/>
                <w:szCs w:val="11"/>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8"/>
              </w:rPr>
              <w:t>Asset- Related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56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rPr>
              <w:t>Related</w:t>
            </w:r>
          </w:p>
        </w:tc>
        <w:tc>
          <w:tcPr>
            <w:tcW w:w="160" w:type="dxa"/>
            <w:vAlign w:val="bottom"/>
          </w:tcPr>
          <w:p>
            <w:pPr>
              <w:spacing w:after="0"/>
              <w:rPr>
                <w:sz w:val="11"/>
                <w:szCs w:val="11"/>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and Other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1"/>
              </w:rPr>
              <w:t>Total</w:t>
            </w:r>
          </w:p>
        </w:tc>
      </w:tr>
      <w:tr>
        <w:trPr>
          <w:trHeight w:val="149"/>
        </w:trPr>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0"/>
        </w:trPr>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50"/>
        </w:trPr>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9"/>
        </w:trPr>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-1173480</wp:posOffset>
            </wp:positionV>
            <wp:extent cx="6350"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-1173480</wp:posOffset>
            </wp:positionV>
            <wp:extent cx="6350"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-1173480</wp:posOffset>
            </wp:positionV>
            <wp:extent cx="6350"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-1173480</wp:posOffset>
            </wp:positionV>
            <wp:extent cx="635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-1173480</wp:posOffset>
            </wp:positionV>
            <wp:extent cx="6350"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-1173480</wp:posOffset>
            </wp:positionV>
            <wp:extent cx="6350"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-1079500</wp:posOffset>
            </wp:positionV>
            <wp:extent cx="3842385" cy="10801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42385" cy="108013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360" w:space="720"/>
            <w:col w:w="6159"/>
          </w:cols>
          <w:pgMar w:left="220" w:top="131" w:right="1440" w:bottom="0" w:gutter="0" w:footer="0" w:header="0"/>
          <w:type w:val="continuous"/>
        </w:sectPr>
      </w:pPr>
    </w:p>
    <w:p>
      <w:pPr>
        <w:ind w:right="4319" w:firstLine="263"/>
        <w:spacing w:after="0" w:line="287" w:lineRule="auto"/>
        <w:rPr>
          <w:sz w:val="20"/>
          <w:szCs w:val="20"/>
          <w:color w:val="auto"/>
        </w:rPr>
      </w:pPr>
      <w:r>
        <w:rPr>
          <w:rFonts w:ascii="Arial" w:cs="Arial" w:eastAsia="Arial" w:hAnsi="Arial"/>
          <w:sz w:val="12"/>
          <w:szCs w:val="12"/>
          <w:color w:val="auto"/>
        </w:rPr>
        <w:t>The 2004 asset-related charges exclude gains of $16 million arising on the sale of the fruit businesses and the Canadian facility; such gains were considered in determining Restructuring and other charges of $32 million reported. The 2006 asset-related credit resulted from a gain on disposition of the Dijon facility. The employee-related liabilities are expected to be utilized by 2008 as obligations are satisfied; asset-related charges are expected to be utilized in 2007 on final decommissioning and disposal of affected assets.</w:t>
      </w:r>
    </w:p>
    <w:p>
      <w:pPr>
        <w:spacing w:after="0" w:line="17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Plans</w:t>
      </w:r>
    </w:p>
    <w:p>
      <w:pPr>
        <w:spacing w:after="0" w:line="92" w:lineRule="exact"/>
        <w:rPr>
          <w:sz w:val="20"/>
          <w:szCs w:val="20"/>
          <w:color w:val="auto"/>
        </w:rPr>
      </w:pPr>
    </w:p>
    <w:p>
      <w:pPr>
        <w:ind w:right="4259" w:firstLine="263"/>
        <w:spacing w:after="0" w:line="299" w:lineRule="auto"/>
        <w:rPr>
          <w:sz w:val="20"/>
          <w:szCs w:val="20"/>
          <w:color w:val="auto"/>
        </w:rPr>
      </w:pPr>
      <w:r>
        <w:rPr>
          <w:rFonts w:ascii="Arial" w:cs="Arial" w:eastAsia="Arial" w:hAnsi="Arial"/>
          <w:sz w:val="12"/>
          <w:szCs w:val="12"/>
          <w:color w:val="auto"/>
        </w:rPr>
        <w:t>The Company has various equity plans under which the Company’s officers, senior management, directors and other key employees may be granted the opportunity to acquire the Company’s common stock or other forms of equity-based awards. The equity compensation plans are more fully described in Note 12.</w:t>
      </w:r>
    </w:p>
    <w:p>
      <w:pPr>
        <w:spacing w:after="0" w:line="38" w:lineRule="exact"/>
        <w:rPr>
          <w:sz w:val="20"/>
          <w:szCs w:val="20"/>
          <w:color w:val="auto"/>
        </w:rPr>
      </w:pPr>
    </w:p>
    <w:p>
      <w:pPr>
        <w:ind w:right="4299" w:firstLine="263"/>
        <w:spacing w:after="0" w:line="291" w:lineRule="auto"/>
        <w:rPr>
          <w:sz w:val="20"/>
          <w:szCs w:val="20"/>
          <w:color w:val="auto"/>
        </w:rPr>
      </w:pPr>
      <w:r>
        <w:rPr>
          <w:rFonts w:ascii="Arial" w:cs="Arial" w:eastAsia="Arial" w:hAnsi="Arial"/>
          <w:sz w:val="12"/>
          <w:szCs w:val="12"/>
          <w:color w:val="auto"/>
        </w:rPr>
        <w:t>Prior to 2006, the Company applied the recognition and measurement principles of Accounting Principles Board Opinion No. 25, Accounting for Stock Issued to Employees (‘‘APB 25’’) under which no compensation expense for stock options was recognized in net earnings, and provided the pro-forma disclosures required by Financial Accounting Standards Board (‘‘FASB’’) Statement No. 123, Share Based Compensation (‘‘FAS 123’’).</w:t>
      </w:r>
    </w:p>
    <w:p>
      <w:pPr>
        <w:spacing w:after="0" w:line="43" w:lineRule="exact"/>
        <w:rPr>
          <w:sz w:val="20"/>
          <w:szCs w:val="20"/>
          <w:color w:val="auto"/>
        </w:rPr>
      </w:pPr>
    </w:p>
    <w:p>
      <w:pPr>
        <w:ind w:right="4239" w:firstLine="263"/>
        <w:spacing w:after="0" w:line="279" w:lineRule="auto"/>
        <w:rPr>
          <w:sz w:val="20"/>
          <w:szCs w:val="20"/>
          <w:color w:val="auto"/>
        </w:rPr>
      </w:pPr>
      <w:r>
        <w:rPr>
          <w:rFonts w:ascii="Arial" w:cs="Arial" w:eastAsia="Arial" w:hAnsi="Arial"/>
          <w:sz w:val="12"/>
          <w:szCs w:val="12"/>
          <w:color w:val="auto"/>
        </w:rPr>
        <w:t>Effective January 1, 2006, the Company adopted the provisions of FASB Statement No. 123(R) Share-Based Payment (‘‘FAS 123(R)’’) which superceded FAS 123. The Company elected the modified prospective method, which requires cost measurement of stock-based awards at fair value on the grant date and recognition of expense over the expected vesting term. Under this method, 2006 expense includes the portion vesting in the year for (1) all share-based payments granted prior to, but not vested, as of January 1, 2006, based on the grant date fair value estimated in accordance with the original provisions of FAS 123, and (2) all share-based payments granted subsequent to January 1, 2006, based on the grant date fair value estimated in accordance with the provisions of FAS 123(R). The Company will recognize the cost of all stock options on a straight-line attribution basis over their respective vesting periods, net of estimated forfeitures. Compensation cost and the related tax benefit for unvested stock option awards issued prior to adoption of FAS 123(R) totaled $3 million and $1 million for the year ended December 31, 2006. Results for prior periods have not been restated.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Condition</w:t>
      </w:r>
    </w:p>
    <w:p>
      <w:pPr>
        <w:spacing w:after="0" w:line="92" w:lineRule="exact"/>
        <w:rPr>
          <w:sz w:val="20"/>
          <w:szCs w:val="20"/>
          <w:color w:val="auto"/>
        </w:rPr>
      </w:pPr>
    </w:p>
    <w:p>
      <w:pPr>
        <w:jc w:val="both"/>
        <w:ind w:right="4279" w:firstLine="263"/>
        <w:spacing w:after="0" w:line="260" w:lineRule="auto"/>
        <w:rPr>
          <w:sz w:val="20"/>
          <w:szCs w:val="20"/>
          <w:color w:val="auto"/>
        </w:rPr>
      </w:pPr>
      <w:r>
        <w:rPr>
          <w:rFonts w:ascii="Arial" w:cs="Arial" w:eastAsia="Arial" w:hAnsi="Arial"/>
          <w:sz w:val="13"/>
          <w:szCs w:val="13"/>
          <w:color w:val="auto"/>
        </w:rPr>
        <w:t>Cash, cash equivalents and short-term investments totaled $115 million at December 31, 2006 compared to $273 million and $33 million at December 31, 2005 and 2004, respectively. Working capital totaled $633 million at year-end 2006 compared to ($11) million and $562 million at December 31, 2005 and 2004, respectively. The 2005 working capital balance resulted from the classification of certain debt as current due to its maturity in May 2006; such debt was refinanced during 2006.</w:t>
      </w:r>
    </w:p>
    <w:p>
      <w:pPr>
        <w:spacing w:after="0" w:line="60" w:lineRule="exact"/>
        <w:rPr>
          <w:sz w:val="20"/>
          <w:szCs w:val="20"/>
          <w:color w:val="auto"/>
        </w:rPr>
      </w:pPr>
    </w:p>
    <w:p>
      <w:pPr>
        <w:ind w:right="4279" w:firstLine="263"/>
        <w:spacing w:after="0" w:line="259" w:lineRule="auto"/>
        <w:rPr>
          <w:sz w:val="20"/>
          <w:szCs w:val="20"/>
          <w:color w:val="auto"/>
        </w:rPr>
      </w:pPr>
      <w:r>
        <w:rPr>
          <w:rFonts w:ascii="Arial" w:cs="Arial" w:eastAsia="Arial" w:hAnsi="Arial"/>
          <w:sz w:val="13"/>
          <w:szCs w:val="13"/>
          <w:color w:val="auto"/>
        </w:rPr>
        <w:t>The financial condition of the Company continues to be of high quality, as evidenced by substantial cash flow from operations and ready access to capital markets at competitive rates. Operating cash flow provides the primary source of funds for operating and capital needs as well as dividends paid to shareholders, and share repurchase activities. The Company currently anticipates cash flows from operations and credit facilities in place are sufficient to fund the Company’s anticipated capital spending, dividends and other expected requirements for the next 12 – 18 months.</w:t>
      </w:r>
    </w:p>
    <w:p>
      <w:pPr>
        <w:spacing w:after="0" w:line="60" w:lineRule="exact"/>
        <w:rPr>
          <w:sz w:val="20"/>
          <w:szCs w:val="20"/>
          <w:color w:val="auto"/>
        </w:rPr>
      </w:pPr>
    </w:p>
    <w:p>
      <w:pPr>
        <w:ind w:right="4299" w:firstLine="263"/>
        <w:spacing w:after="0" w:line="259" w:lineRule="auto"/>
        <w:rPr>
          <w:sz w:val="20"/>
          <w:szCs w:val="20"/>
          <w:color w:val="auto"/>
        </w:rPr>
      </w:pPr>
      <w:r>
        <w:rPr>
          <w:rFonts w:ascii="Arial" w:cs="Arial" w:eastAsia="Arial" w:hAnsi="Arial"/>
          <w:sz w:val="13"/>
          <w:szCs w:val="13"/>
          <w:color w:val="auto"/>
        </w:rPr>
        <w:t>Operating cash flow in 2006 was $263 million compared to $177 million and $296 million in 2005 and 2004, respectively. Operating cash flow increased in 2006 as a result of improved sales and operating results; net earnings adjusted for non-cash items (primarily depreciation, amortization, and equity-based compensation) was the primary source of operating cash flows. Improvements in inventory and current payables were sufficient to offset an increase in receivables; the increases in receivables and payables supported the business growth achieved in the year.</w:t>
      </w:r>
    </w:p>
    <w:p>
      <w:pPr>
        <w:spacing w:after="0" w:line="60" w:lineRule="exact"/>
        <w:rPr>
          <w:sz w:val="20"/>
          <w:szCs w:val="20"/>
          <w:color w:val="auto"/>
        </w:rPr>
      </w:pPr>
    </w:p>
    <w:p>
      <w:pPr>
        <w:ind w:right="4259" w:firstLine="263"/>
        <w:spacing w:after="0" w:line="299" w:lineRule="auto"/>
        <w:rPr>
          <w:sz w:val="20"/>
          <w:szCs w:val="20"/>
          <w:color w:val="auto"/>
        </w:rPr>
      </w:pPr>
      <w:r>
        <w:rPr>
          <w:rFonts w:ascii="Arial" w:cs="Arial" w:eastAsia="Arial" w:hAnsi="Arial"/>
          <w:sz w:val="12"/>
          <w:szCs w:val="12"/>
          <w:color w:val="auto"/>
        </w:rPr>
        <w:t>Operating cash flow in 2005 declined compared to 2004 primarily as a result of the decline in both sales and operating results. The impact of the lower operating results was increased by unfavorable changes in both receivables and payables and a non-cash adjustment to deferred income taxes related to the AJCA tax benefit.</w:t>
      </w:r>
    </w:p>
    <w:p>
      <w:pPr>
        <w:spacing w:after="0" w:line="38" w:lineRule="exact"/>
        <w:rPr>
          <w:sz w:val="20"/>
          <w:szCs w:val="20"/>
          <w:color w:val="auto"/>
        </w:rPr>
      </w:pPr>
    </w:p>
    <w:p>
      <w:pPr>
        <w:ind w:right="4379" w:firstLine="263"/>
        <w:spacing w:after="0" w:line="262" w:lineRule="auto"/>
        <w:rPr>
          <w:sz w:val="20"/>
          <w:szCs w:val="20"/>
          <w:color w:val="auto"/>
        </w:rPr>
      </w:pPr>
      <w:r>
        <w:rPr>
          <w:rFonts w:ascii="Arial" w:cs="Arial" w:eastAsia="Arial" w:hAnsi="Arial"/>
          <w:sz w:val="13"/>
          <w:szCs w:val="13"/>
          <w:color w:val="auto"/>
        </w:rPr>
        <w:t>Net investing activities in 2006 utilized $31 million compared to $91 million and $31 million in 2005 and 2004, respectively. Investing cash outflows fluctuated, in part, due to the level of capital expenditures which totaled $58 million in 2006 compared to $93 million in 2005 and $71 million in 2004. Fluctuations in spending between years is subject to the timing and stage of completion of</w:t>
      </w:r>
    </w:p>
    <w:p>
      <w:pPr>
        <w:sectPr>
          <w:pgSz w:w="11900" w:h="16838" w:orient="portrait"/>
          <w:cols w:equalWidth="0" w:num="1">
            <w:col w:w="10239"/>
          </w:cols>
          <w:pgMar w:left="220" w:top="131" w:right="1440" w:bottom="0" w:gutter="0" w:footer="0" w:header="0"/>
          <w:type w:val="continuous"/>
        </w:sectPr>
      </w:pPr>
    </w:p>
    <w:p>
      <w:pPr>
        <w:spacing w:after="0" w:line="188"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250825</wp:posOffset>
            </wp:positionV>
            <wp:extent cx="4809490" cy="177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809490" cy="1778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type w:val="continuous"/>
        </w:sectPr>
      </w:pPr>
    </w:p>
    <w:bookmarkStart w:id="14" w:name="page15"/>
    <w:bookmarkEnd w:id="14"/>
    <w:p>
      <w:pPr>
        <w:ind w:left="1" w:right="4379"/>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4904740</wp:posOffset>
            </wp:positionH>
            <wp:positionV relativeFrom="page">
              <wp:posOffset>88900</wp:posOffset>
            </wp:positionV>
            <wp:extent cx="31750" cy="127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750" cy="12700"/>
                    </a:xfrm>
                    <a:prstGeom prst="rect">
                      <a:avLst/>
                    </a:prstGeom>
                    <a:noFill/>
                  </pic:spPr>
                </pic:pic>
              </a:graphicData>
            </a:graphic>
          </wp:anchor>
        </w:drawing>
        <w:drawing>
          <wp:anchor simplePos="0" relativeHeight="251657728" behindDoc="1" locked="0" layoutInCell="0" allowOverlap="1">
            <wp:simplePos x="0" y="0"/>
            <wp:positionH relativeFrom="page">
              <wp:posOffset>126365</wp:posOffset>
            </wp:positionH>
            <wp:positionV relativeFrom="page">
              <wp:posOffset>88900</wp:posOffset>
            </wp:positionV>
            <wp:extent cx="31750" cy="127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1750" cy="12700"/>
                    </a:xfrm>
                    <a:prstGeom prst="rect">
                      <a:avLst/>
                    </a:prstGeom>
                    <a:noFill/>
                  </pic:spPr>
                </pic:pic>
              </a:graphicData>
            </a:graphic>
          </wp:anchor>
        </w:drawing>
        <w:t>capital projects. Spending in 2005 was higher, primarily as a result of significant projects involving a new chemical plant in China and a creative center in India; there were no major individual projects in either 2006 or 2004. Gross additions to property, plant and equipment are expected to approximate $70 million in 2007.</w:t>
      </w:r>
    </w:p>
    <w:p>
      <w:pPr>
        <w:spacing w:after="0" w:line="38" w:lineRule="exact"/>
        <w:rPr>
          <w:sz w:val="20"/>
          <w:szCs w:val="20"/>
          <w:color w:val="auto"/>
        </w:rPr>
      </w:pPr>
    </w:p>
    <w:p>
      <w:pPr>
        <w:ind w:left="1" w:right="4279" w:firstLine="263"/>
        <w:spacing w:after="0" w:line="259" w:lineRule="auto"/>
        <w:rPr>
          <w:sz w:val="20"/>
          <w:szCs w:val="20"/>
          <w:color w:val="auto"/>
        </w:rPr>
      </w:pPr>
      <w:r>
        <w:rPr>
          <w:rFonts w:ascii="Arial" w:cs="Arial" w:eastAsia="Arial" w:hAnsi="Arial"/>
          <w:sz w:val="13"/>
          <w:szCs w:val="13"/>
          <w:color w:val="auto"/>
        </w:rPr>
        <w:t>In both 2006 and 2004, the Company realized significant cash proceeds from the sale of assets. The 2006 proceeds totaling $27 million, related principally to the sale of both land and buildings; to the extent such assets had been written down in connection with previous restructuring activities, any gain or loss on disposition was accounted for as part of the restructuring activities. The 2004 proceeds of $39 million resulted primarily from the disposition of the European Fruit Business. All sales were to third party investors and the Company retained no ownership interest in the disposed assets.</w:t>
      </w:r>
    </w:p>
    <w:p>
      <w:pPr>
        <w:spacing w:after="0" w:line="60" w:lineRule="exact"/>
        <w:rPr>
          <w:sz w:val="20"/>
          <w:szCs w:val="20"/>
          <w:color w:val="auto"/>
        </w:rPr>
      </w:pPr>
    </w:p>
    <w:p>
      <w:pPr>
        <w:ind w:left="1" w:right="4259" w:firstLine="263"/>
        <w:spacing w:after="0" w:line="281" w:lineRule="auto"/>
        <w:rPr>
          <w:sz w:val="20"/>
          <w:szCs w:val="20"/>
          <w:color w:val="auto"/>
        </w:rPr>
      </w:pPr>
      <w:r>
        <w:rPr>
          <w:rFonts w:ascii="Arial" w:cs="Arial" w:eastAsia="Arial" w:hAnsi="Arial"/>
          <w:sz w:val="12"/>
          <w:szCs w:val="12"/>
          <w:color w:val="auto"/>
        </w:rPr>
        <w:t>Compliance with existing governmental requirements regulating the discharge of materials into the environment has not materially affected the Company’s operations, earnings or competitive position. In 2006, the Company spent $4 million on capital projects and $16 million in operating expenses and governmental charges for the purpose of complying with such regulations. Expenditures for these purposes will continue for the foreseeable future. In addition, the Company is party to a number of proceedings brought under the Comprehensive Environmental Response, Compensation and Liability Act or similar state statutes. It is expected that the impact of any judgments in or voluntary settlements of such proceedings will not be material to the Company’s financial condition, results of operations or liquidity.</w:t>
      </w:r>
    </w:p>
    <w:p>
      <w:pPr>
        <w:spacing w:after="0" w:line="52" w:lineRule="exact"/>
        <w:rPr>
          <w:sz w:val="20"/>
          <w:szCs w:val="20"/>
          <w:color w:val="auto"/>
        </w:rPr>
      </w:pPr>
    </w:p>
    <w:p>
      <w:pPr>
        <w:ind w:left="1" w:right="4299" w:firstLine="263"/>
        <w:spacing w:after="0" w:line="284" w:lineRule="auto"/>
        <w:rPr>
          <w:sz w:val="20"/>
          <w:szCs w:val="20"/>
          <w:color w:val="auto"/>
        </w:rPr>
      </w:pPr>
      <w:r>
        <w:rPr>
          <w:rFonts w:ascii="Arial" w:cs="Arial" w:eastAsia="Arial" w:hAnsi="Arial"/>
          <w:sz w:val="12"/>
          <w:szCs w:val="12"/>
          <w:color w:val="auto"/>
        </w:rPr>
        <w:t>The dividend paid per share in 2006, 2005 and 2004 was $.74, $.72 and $.67, respectively. In January, April and July 2006, the Company paid a quarterly cash dividend of $.185 per share to shareholders. In October 2006, the Company announced a 14% increase in its quarterly dividend rate to $.21 per share effective with the dividend payable in January 2007. The Company paid dividends totaling $67 million, $68 million and $63 million in 2006, 2005 and 2004, respectively. The payment of dividends is determined by the Board in its discretion based on various factors, and there can be no assurance that any level of dividends will be paid.</w:t>
      </w:r>
    </w:p>
    <w:p>
      <w:pPr>
        <w:spacing w:after="0" w:line="49" w:lineRule="exact"/>
        <w:rPr>
          <w:sz w:val="20"/>
          <w:szCs w:val="20"/>
          <w:color w:val="auto"/>
        </w:rPr>
      </w:pPr>
    </w:p>
    <w:p>
      <w:pPr>
        <w:ind w:left="1" w:right="4339" w:firstLine="263"/>
        <w:spacing w:after="0" w:line="281" w:lineRule="auto"/>
        <w:rPr>
          <w:sz w:val="20"/>
          <w:szCs w:val="20"/>
          <w:color w:val="auto"/>
        </w:rPr>
      </w:pPr>
      <w:r>
        <w:rPr>
          <w:rFonts w:ascii="Arial" w:cs="Arial" w:eastAsia="Arial" w:hAnsi="Arial"/>
          <w:sz w:val="12"/>
          <w:szCs w:val="12"/>
          <w:color w:val="auto"/>
        </w:rPr>
        <w:t>In 2004, 2005 and 2006, the Company’s Board of Directors authorized share repurchase programs of $100 million, $200 million and $300 million, respectively. Under these programs, the Company repurchased 6.9 million, 2.6 million and 1.8 million shares in 2006, 2005 and 2004, respectively; spending on share repurchases in 2006, 2005 and 2004 totaled $271 million, $98 million and $67 million, respectively, at an average cost per share of $39.33, $38.01 and $36.89, respectively. At December 31, 2006, the Company had $206 million remaining under the October 2006 plan, representing approximately 4.2 million shares based on a stock price of $49.00 per share. Repurchased shares are available for use in connection with the Company’s employee benefit plans and for other general corporate purposes.</w:t>
      </w:r>
    </w:p>
    <w:p>
      <w:pPr>
        <w:spacing w:after="0" w:line="52" w:lineRule="exact"/>
        <w:rPr>
          <w:sz w:val="20"/>
          <w:szCs w:val="20"/>
          <w:color w:val="auto"/>
        </w:rPr>
      </w:pPr>
    </w:p>
    <w:p>
      <w:pPr>
        <w:ind w:left="1" w:right="4259" w:firstLine="263"/>
        <w:spacing w:after="0" w:line="257" w:lineRule="auto"/>
        <w:rPr>
          <w:sz w:val="20"/>
          <w:szCs w:val="20"/>
          <w:color w:val="auto"/>
        </w:rPr>
      </w:pPr>
      <w:r>
        <w:rPr>
          <w:rFonts w:ascii="Arial" w:cs="Arial" w:eastAsia="Arial" w:hAnsi="Arial"/>
          <w:sz w:val="13"/>
          <w:szCs w:val="13"/>
          <w:color w:val="auto"/>
        </w:rPr>
        <w:t>The cumulative translation adjustment component of Accumulated other comprehensive income (‘‘AOCI’’) was ($32) million at December 31, 2006, compared to ($47) million at December 31, 2005. The change results principally from the weakening of the U.S. dollar against the Euro, the Japanese Yen and the Australian dollar during 2006. The pension and postemployment liability adjustment component of Accumulated other comprehensive income was ($163) million at December 31, 2006; the Minimum pension liability adjustment was ($100) million at December 31, 2005; pensions are discussed in more detail in Note 14. The accumulated loss on derivatives qualifying as hedges was $2 million at December 31, 2006 compared to $3 million at December 31, 2005.</w:t>
      </w:r>
    </w:p>
    <w:p>
      <w:pPr>
        <w:spacing w:after="0" w:line="64" w:lineRule="exact"/>
        <w:rPr>
          <w:sz w:val="20"/>
          <w:szCs w:val="20"/>
          <w:color w:val="auto"/>
        </w:rPr>
      </w:pPr>
    </w:p>
    <w:p>
      <w:pPr>
        <w:ind w:left="1" w:right="4259" w:firstLine="263"/>
        <w:spacing w:after="0" w:line="310" w:lineRule="auto"/>
        <w:rPr>
          <w:sz w:val="20"/>
          <w:szCs w:val="20"/>
          <w:color w:val="auto"/>
        </w:rPr>
      </w:pPr>
      <w:r>
        <w:rPr>
          <w:rFonts w:ascii="Arial" w:cs="Arial" w:eastAsia="Arial" w:hAnsi="Arial"/>
          <w:sz w:val="11"/>
          <w:szCs w:val="11"/>
          <w:color w:val="auto"/>
        </w:rPr>
        <w:t>The Company maintains a level of short-term and long-term debt after evaluating a number of factors, including cash flow from operations, anticipated capital expenditures, dividends and anticipated share repurchase activities, as well as the overall cost of capital. At December 31, 2006, total debt was $807 million, compared to $951 million and $685 million at December 31, 2005 and 2004, respectively. Total debt at December 31, 2005 increased in connection with the Company’s plan to repatriate dividends under the AJCA provisions, and in anticipation of refinancing $500 million in Notes, which were scheduled to mature in May 2006; a portion of these Notes were refinanced by the issuance of $375 million of Senior Unsecured Notes in July 2006, with the remaining $125 million retired using available cash on hand. Additional details on debt are included in Note 9.</w:t>
      </w:r>
    </w:p>
    <w:p>
      <w:pPr>
        <w:spacing w:after="0" w:line="176"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right="4239" w:firstLine="263"/>
        <w:spacing w:after="0" w:line="278" w:lineRule="auto"/>
        <w:rPr>
          <w:sz w:val="20"/>
          <w:szCs w:val="20"/>
          <w:color w:val="auto"/>
        </w:rPr>
      </w:pPr>
      <w:r>
        <w:rPr>
          <w:rFonts w:ascii="Arial" w:cs="Arial" w:eastAsia="Arial" w:hAnsi="Arial"/>
          <w:sz w:val="12"/>
          <w:szCs w:val="12"/>
          <w:color w:val="auto"/>
        </w:rPr>
        <w:t>The Company supplements short-term liquidity with access to capital markets, mainly through the issuance of commercial paper, and bank credit facilities. In 2005, the Company and certain subsidiaries entered into a revolving credit agreement (the ‘‘Facility’’) with certain banks. The Facility provides for a five-year US $350 million (‘‘Tranche A’’) and Euro 400 million (‘‘Tranche B’’) multi-currency revolving credit facility. Tranche A is available for commercial paper backstop and general corporate purposes; Tranche B is available to European subsidiaries for general corporate purposes. Borrowings bear interest at an annual rate of LIBOR (London Inter Bank Offer Rate) (or in relation to any Euro-denominated loans, EURIBOR, European Inter Bank Offer Rate) plus a margin, currently 20 basis points, linked to the Company’s credit rating. The Company pays a commitment fee on the aggregate unused commitments and a utilization fee on amounts outstanding under the Facility; such fees are not material. As permitted by the Facility in 2006, the termination dates were extended by one year until November 23, 2011. The Company may request a second extension for one additional year. The Facility contains various affirmative and negative covenants, including requiring the Company to maintain, at the end of each fiscal quarter, a ratio of net debt for borrowed money to EBITDA (Earnings Before Interest, Taxes, Depreciation and Amortization) in respect of the previous 12-month period of not more than 3.25 to 1. The Company has complied with this covenant at all times.</w:t>
      </w:r>
    </w:p>
    <w:p>
      <w:pPr>
        <w:spacing w:after="0" w:line="55" w:lineRule="exact"/>
        <w:rPr>
          <w:sz w:val="20"/>
          <w:szCs w:val="20"/>
          <w:color w:val="auto"/>
        </w:rPr>
      </w:pPr>
    </w:p>
    <w:p>
      <w:pPr>
        <w:ind w:left="1" w:right="4419" w:firstLine="263"/>
        <w:spacing w:after="0" w:line="283" w:lineRule="auto"/>
        <w:rPr>
          <w:sz w:val="20"/>
          <w:szCs w:val="20"/>
          <w:color w:val="auto"/>
        </w:rPr>
      </w:pPr>
      <w:r>
        <w:rPr>
          <w:rFonts w:ascii="Arial" w:cs="Arial" w:eastAsia="Arial" w:hAnsi="Arial"/>
          <w:sz w:val="12"/>
          <w:szCs w:val="12"/>
          <w:color w:val="auto"/>
        </w:rPr>
        <w:t>In the event of default, the lenders may terminate the Facility and declare any principal amount then outstanding and all accrued interest, fees and other amounts immediately due and payable. Defaults under the Agreement which could result in the acceleration by the lenders of the obligations of the Company Parties include a change of control of the Company (as defined in the Facility) and certain acquisitions made in contemplation of a merger where as a direct result of the acquisition, the public debt rating of the Company quoted by Moody’s or S&amp;P (including any change in terms of its outlook) is a lower rating than its public debt rating immediately prior to such acquisition. Additional details regarding the Facility are in Note 9.</w:t>
      </w:r>
    </w:p>
    <w:p>
      <w:pPr>
        <w:spacing w:after="0" w:line="48" w:lineRule="exact"/>
        <w:rPr>
          <w:sz w:val="20"/>
          <w:szCs w:val="20"/>
          <w:color w:val="auto"/>
        </w:rPr>
      </w:pPr>
    </w:p>
    <w:p>
      <w:pPr>
        <w:ind w:left="1" w:right="4459" w:firstLine="263"/>
        <w:spacing w:after="0" w:line="279" w:lineRule="auto"/>
        <w:rPr>
          <w:sz w:val="20"/>
          <w:szCs w:val="20"/>
          <w:color w:val="auto"/>
        </w:rPr>
      </w:pPr>
      <w:r>
        <w:rPr>
          <w:rFonts w:ascii="Arial" w:cs="Arial" w:eastAsia="Arial" w:hAnsi="Arial"/>
          <w:sz w:val="13"/>
          <w:szCs w:val="13"/>
          <w:color w:val="auto"/>
        </w:rPr>
        <w:t>In addition to the Facility, the Company and various subsidiaries had unused lines of credit totaling $701 million at December 31, 2006 compared to $641 million at December 31, 2005.</w:t>
      </w:r>
    </w:p>
    <w:p>
      <w:pPr>
        <w:spacing w:after="0" w:line="48" w:lineRule="exact"/>
        <w:rPr>
          <w:sz w:val="20"/>
          <w:szCs w:val="20"/>
          <w:color w:val="auto"/>
        </w:rPr>
      </w:pPr>
    </w:p>
    <w:p>
      <w:pPr>
        <w:ind w:left="1" w:right="4599" w:firstLine="263"/>
        <w:spacing w:after="0" w:line="322" w:lineRule="auto"/>
        <w:rPr>
          <w:sz w:val="20"/>
          <w:szCs w:val="20"/>
          <w:color w:val="auto"/>
        </w:rPr>
      </w:pPr>
      <w:r>
        <w:rPr>
          <w:rFonts w:ascii="Arial" w:cs="Arial" w:eastAsia="Arial" w:hAnsi="Arial"/>
          <w:sz w:val="12"/>
          <w:szCs w:val="12"/>
          <w:color w:val="auto"/>
        </w:rPr>
        <w:t>The Company’s Moody’s and Standard &amp; Poor’s (‘‘S&amp;P’’) short-term credit rating are P2 and A2, respectively; Moody’s and S&amp;P’s long-term ratings are A3 and BBB+, respectively, with a neutral outlook.</w:t>
      </w:r>
    </w:p>
    <w:p>
      <w:pPr>
        <w:spacing w:after="0" w:line="25" w:lineRule="exact"/>
        <w:rPr>
          <w:sz w:val="20"/>
          <w:szCs w:val="20"/>
          <w:color w:val="auto"/>
        </w:rPr>
      </w:pPr>
    </w:p>
    <w:p>
      <w:pPr>
        <w:ind w:left="1" w:right="4259" w:firstLine="263"/>
        <w:spacing w:after="0" w:line="279" w:lineRule="auto"/>
        <w:rPr>
          <w:sz w:val="20"/>
          <w:szCs w:val="20"/>
          <w:color w:val="auto"/>
        </w:rPr>
      </w:pPr>
      <w:r>
        <w:rPr>
          <w:rFonts w:ascii="Arial" w:cs="Arial" w:eastAsia="Arial" w:hAnsi="Arial"/>
          <w:sz w:val="13"/>
          <w:szCs w:val="13"/>
          <w:color w:val="auto"/>
        </w:rPr>
        <w:t>At December 31, 2006, the Company has contractual payment obligations as specified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390525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905250" cy="6350"/>
                    </a:xfrm>
                    <a:prstGeom prst="rect">
                      <a:avLst/>
                    </a:prstGeom>
                    <a:noFill/>
                  </pic:spPr>
                </pic:pic>
              </a:graphicData>
            </a:graphic>
          </wp:anchor>
        </w:drawing>
      </w:r>
    </w:p>
    <w:p>
      <w:pPr>
        <w:spacing w:after="0" w:line="178"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w w:val="84"/>
              </w:rPr>
              <w:t>Payments Due</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111"/>
        </w:trPr>
        <w:tc>
          <w:tcPr>
            <w:tcW w:w="7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4"/>
          </w:tcPr>
          <w:p>
            <w:pPr>
              <w:jc w:val="center"/>
              <w:spacing w:after="0" w:line="112" w:lineRule="exact"/>
              <w:rPr>
                <w:sz w:val="20"/>
                <w:szCs w:val="20"/>
                <w:color w:val="auto"/>
              </w:rPr>
            </w:pPr>
            <w:r>
              <w:rPr>
                <w:rFonts w:ascii="Arial" w:cs="Arial" w:eastAsia="Arial" w:hAnsi="Arial"/>
                <w:sz w:val="11"/>
                <w:szCs w:val="11"/>
                <w:b w:val="1"/>
                <w:bCs w:val="1"/>
                <w:color w:val="auto"/>
                <w:w w:val="84"/>
              </w:rPr>
              <w:t>2012 and</w:t>
            </w:r>
          </w:p>
        </w:tc>
      </w:tr>
      <w:tr>
        <w:trPr>
          <w:trHeight w:val="136"/>
        </w:trPr>
        <w:tc>
          <w:tcPr>
            <w:tcW w:w="2880" w:type="dxa"/>
            <w:vAlign w:val="bottom"/>
            <w:gridSpan w:val="3"/>
          </w:tcPr>
          <w:p>
            <w:pPr>
              <w:spacing w:after="0"/>
              <w:rPr>
                <w:sz w:val="20"/>
                <w:szCs w:val="20"/>
                <w:color w:val="auto"/>
              </w:rPr>
            </w:pPr>
            <w:r>
              <w:rPr>
                <w:rFonts w:ascii="Arial" w:cs="Arial" w:eastAsia="Arial" w:hAnsi="Arial"/>
                <w:sz w:val="11"/>
                <w:szCs w:val="11"/>
                <w:b w:val="1"/>
                <w:bCs w:val="1"/>
                <w:color w:val="auto"/>
              </w:rPr>
              <w:t>Contractual Obligations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360" w:type="dxa"/>
            <w:vAlign w:val="bottom"/>
            <w:gridSpan w:val="3"/>
          </w:tcPr>
          <w:p>
            <w:pPr>
              <w:jc w:val="right"/>
              <w:ind w:right="14"/>
              <w:spacing w:after="0"/>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11"/>
                <w:szCs w:val="11"/>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87"/>
              </w:rPr>
              <w:t>2008-2009</w:t>
            </w:r>
          </w:p>
        </w:tc>
        <w:tc>
          <w:tcPr>
            <w:tcW w:w="220" w:type="dxa"/>
            <w:vAlign w:val="bottom"/>
          </w:tcPr>
          <w:p>
            <w:pPr>
              <w:spacing w:after="0"/>
              <w:rPr>
                <w:sz w:val="11"/>
                <w:szCs w:val="11"/>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91"/>
              </w:rPr>
              <w:t>2010-2011</w:t>
            </w:r>
          </w:p>
        </w:tc>
        <w:tc>
          <w:tcPr>
            <w:tcW w:w="220" w:type="dxa"/>
            <w:vAlign w:val="bottom"/>
          </w:tcPr>
          <w:p>
            <w:pPr>
              <w:spacing w:after="0"/>
              <w:rPr>
                <w:sz w:val="11"/>
                <w:szCs w:val="11"/>
                <w:color w:val="auto"/>
              </w:rPr>
            </w:pPr>
          </w:p>
        </w:tc>
        <w:tc>
          <w:tcPr>
            <w:tcW w:w="5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thereafter</w:t>
            </w:r>
          </w:p>
        </w:tc>
      </w:tr>
      <w:tr>
        <w:trPr>
          <w:trHeight w:val="158"/>
        </w:trPr>
        <w:tc>
          <w:tcPr>
            <w:tcW w:w="7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w w:val="98"/>
                <w:shd w:val="clear" w:color="auto" w:fill="CCEEFF"/>
              </w:rPr>
              <w:t>Borrowings</w:t>
            </w:r>
            <w:r>
              <w:rPr>
                <w:rFonts w:ascii="Arial" w:cs="Arial" w:eastAsia="Arial" w:hAnsi="Arial"/>
                <w:sz w:val="10"/>
                <w:szCs w:val="10"/>
                <w:color w:val="auto"/>
                <w:w w:val="98"/>
                <w:shd w:val="clear" w:color="auto" w:fill="CCEEFF"/>
              </w:rPr>
              <w:t>(1)</w:t>
            </w:r>
          </w:p>
        </w:tc>
        <w:tc>
          <w:tcPr>
            <w:tcW w:w="19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807</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16</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w w:val="92"/>
              </w:rPr>
              <w:t>163</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403</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225</w:t>
            </w:r>
          </w:p>
        </w:tc>
        <w:tc>
          <w:tcPr>
            <w:tcW w:w="80" w:type="dxa"/>
            <w:vAlign w:val="bottom"/>
            <w:tcBorders>
              <w:top w:val="single" w:sz="8" w:color="auto"/>
            </w:tcBorders>
            <w:shd w:val="clear" w:color="auto" w:fill="CCEEFF"/>
          </w:tcPr>
          <w:p>
            <w:pPr>
              <w:spacing w:after="0"/>
              <w:rPr>
                <w:sz w:val="13"/>
                <w:szCs w:val="13"/>
                <w:color w:val="auto"/>
              </w:rPr>
            </w:pPr>
          </w:p>
        </w:tc>
      </w:tr>
      <w:tr>
        <w:trPr>
          <w:trHeight w:val="167"/>
        </w:trPr>
        <w:tc>
          <w:tcPr>
            <w:tcW w:w="2880" w:type="dxa"/>
            <w:vAlign w:val="bottom"/>
            <w:gridSpan w:val="3"/>
          </w:tcPr>
          <w:p>
            <w:pPr>
              <w:spacing w:after="0"/>
              <w:rPr>
                <w:sz w:val="20"/>
                <w:szCs w:val="20"/>
                <w:color w:val="auto"/>
              </w:rPr>
            </w:pPr>
            <w:r>
              <w:rPr>
                <w:rFonts w:ascii="Arial" w:cs="Arial" w:eastAsia="Arial" w:hAnsi="Arial"/>
                <w:sz w:val="13"/>
                <w:szCs w:val="13"/>
                <w:color w:val="auto"/>
                <w:highlight w:val="white"/>
              </w:rPr>
              <w:t>Interest on borrowings</w:t>
            </w:r>
            <w:r>
              <w:rPr>
                <w:rFonts w:ascii="Arial" w:cs="Arial" w:eastAsia="Arial" w:hAnsi="Arial"/>
                <w:sz w:val="10"/>
                <w:szCs w:val="10"/>
                <w:color w:val="auto"/>
                <w:highlight w:val="white"/>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r>
      <w:tr>
        <w:trPr>
          <w:trHeight w:val="16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Operating leases</w:t>
            </w:r>
            <w:r>
              <w:rPr>
                <w:rFonts w:ascii="Arial" w:cs="Arial" w:eastAsia="Arial" w:hAnsi="Arial"/>
                <w:sz w:val="10"/>
                <w:szCs w:val="10"/>
                <w:color w:val="auto"/>
                <w:shd w:val="clear" w:color="auto" w:fill="CCEEFF"/>
              </w:rPr>
              <w:t>(2)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4"/>
                <w:szCs w:val="14"/>
                <w:color w:val="auto"/>
              </w:rPr>
            </w:pPr>
          </w:p>
        </w:tc>
      </w:tr>
      <w:tr>
        <w:trPr>
          <w:trHeight w:val="167"/>
        </w:trPr>
        <w:tc>
          <w:tcPr>
            <w:tcW w:w="2880" w:type="dxa"/>
            <w:vAlign w:val="bottom"/>
            <w:gridSpan w:val="3"/>
          </w:tcPr>
          <w:p>
            <w:pPr>
              <w:spacing w:after="0"/>
              <w:rPr>
                <w:sz w:val="20"/>
                <w:szCs w:val="20"/>
                <w:color w:val="auto"/>
              </w:rPr>
            </w:pPr>
            <w:r>
              <w:rPr>
                <w:rFonts w:ascii="Arial" w:cs="Arial" w:eastAsia="Arial" w:hAnsi="Arial"/>
                <w:sz w:val="13"/>
                <w:szCs w:val="13"/>
                <w:color w:val="auto"/>
                <w:highlight w:val="white"/>
              </w:rPr>
              <w:t>Purchase commitments</w:t>
            </w:r>
            <w:r>
              <w:rPr>
                <w:rFonts w:ascii="Arial" w:cs="Arial" w:eastAsia="Arial" w:hAnsi="Arial"/>
                <w:sz w:val="10"/>
                <w:szCs w:val="10"/>
                <w:color w:val="auto"/>
                <w:highlight w:val="white"/>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Pension funding obligations</w:t>
            </w:r>
            <w:r>
              <w:rPr>
                <w:rFonts w:ascii="Arial" w:cs="Arial" w:eastAsia="Arial" w:hAnsi="Arial"/>
                <w:sz w:val="10"/>
                <w:szCs w:val="10"/>
                <w:color w:val="auto"/>
                <w:shd w:val="clear" w:color="auto" w:fill="CCEEFF"/>
              </w:rPr>
              <w:t>(4)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r>
      <w:tr>
        <w:trPr>
          <w:trHeight w:val="158"/>
        </w:trPr>
        <w:tc>
          <w:tcPr>
            <w:tcW w:w="2880" w:type="dxa"/>
            <w:vAlign w:val="bottom"/>
            <w:gridSpan w:val="3"/>
          </w:tcPr>
          <w:p>
            <w:pPr>
              <w:spacing w:after="0"/>
              <w:rPr>
                <w:sz w:val="20"/>
                <w:szCs w:val="20"/>
                <w:color w:val="auto"/>
              </w:rPr>
            </w:pPr>
            <w:r>
              <w:rPr>
                <w:rFonts w:ascii="Arial" w:cs="Arial" w:eastAsia="Arial" w:hAnsi="Arial"/>
                <w:sz w:val="13"/>
                <w:szCs w:val="13"/>
                <w:color w:val="auto"/>
                <w:highlight w:val="white"/>
              </w:rPr>
              <w:t>Post-retirement obligations</w:t>
            </w:r>
            <w:r>
              <w:rPr>
                <w:rFonts w:ascii="Arial" w:cs="Arial" w:eastAsia="Arial" w:hAnsi="Arial"/>
                <w:sz w:val="10"/>
                <w:szCs w:val="10"/>
                <w:color w:val="auto"/>
                <w:highlight w:val="white"/>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r>
      <w:tr>
        <w:trPr>
          <w:trHeight w:val="158"/>
        </w:trPr>
        <w:tc>
          <w:tcPr>
            <w:tcW w:w="7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Total</w:t>
            </w:r>
          </w:p>
        </w:tc>
        <w:tc>
          <w:tcPr>
            <w:tcW w:w="210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1,427</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114</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2"/>
              </w:rPr>
              <w:t>284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508</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521</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19"/>
        </w:trPr>
        <w:tc>
          <w:tcPr>
            <w:tcW w:w="780" w:type="dxa"/>
            <w:vAlign w:val="bottom"/>
            <w:tcBorders>
              <w:bottom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-1060450</wp:posOffset>
            </wp:positionV>
            <wp:extent cx="3924300" cy="11176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924300" cy="1117600"/>
                    </a:xfrm>
                    <a:prstGeom prst="rect">
                      <a:avLst/>
                    </a:prstGeom>
                    <a:noFill/>
                  </pic:spPr>
                </pic:pic>
              </a:graphicData>
            </a:graphic>
          </wp:anchor>
        </w:drawing>
      </w:r>
    </w:p>
    <w:p>
      <w:pPr>
        <w:sectPr>
          <w:pgSz w:w="11900" w:h="16838" w:orient="portrait"/>
          <w:cols w:equalWidth="0" w:num="1">
            <w:col w:w="10240"/>
          </w:cols>
          <w:pgMar w:left="219" w:top="467" w:right="1440" w:bottom="0" w:gutter="0" w:footer="0" w:header="0"/>
        </w:sectPr>
      </w:pPr>
    </w:p>
    <w:p>
      <w:pPr>
        <w:spacing w:after="0" w:line="80" w:lineRule="exact"/>
        <w:rPr>
          <w:sz w:val="20"/>
          <w:szCs w:val="20"/>
          <w:color w:val="auto"/>
        </w:rPr>
      </w:pPr>
    </w:p>
    <w:p>
      <w:pPr>
        <w:ind w:left="221" w:hanging="221"/>
        <w:spacing w:after="0"/>
        <w:tabs>
          <w:tab w:leader="none" w:pos="221"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Note 9 for a further discussion of the Company’s various borrowing facilities.</w:t>
      </w:r>
    </w:p>
    <w:p>
      <w:pPr>
        <w:spacing w:after="0" w:line="58" w:lineRule="exact"/>
        <w:rPr>
          <w:rFonts w:ascii="Arial" w:cs="Arial" w:eastAsia="Arial" w:hAnsi="Arial"/>
          <w:sz w:val="13"/>
          <w:szCs w:val="13"/>
          <w:color w:val="auto"/>
        </w:rPr>
      </w:pPr>
    </w:p>
    <w:p>
      <w:pPr>
        <w:ind w:left="221" w:hanging="221"/>
        <w:spacing w:after="0"/>
        <w:tabs>
          <w:tab w:leader="none" w:pos="221" w:val="left"/>
        </w:tabs>
        <w:numPr>
          <w:ilvl w:val="0"/>
          <w:numId w:val="16"/>
        </w:numPr>
        <w:rPr>
          <w:rFonts w:ascii="Arial" w:cs="Arial" w:eastAsia="Arial" w:hAnsi="Arial"/>
          <w:sz w:val="11"/>
          <w:szCs w:val="11"/>
          <w:color w:val="auto"/>
        </w:rPr>
      </w:pPr>
      <w:r>
        <w:rPr>
          <w:rFonts w:ascii="Arial" w:cs="Arial" w:eastAsia="Arial" w:hAnsi="Arial"/>
          <w:sz w:val="11"/>
          <w:szCs w:val="11"/>
          <w:color w:val="auto"/>
        </w:rPr>
        <w:t>Operating leases include facility and other lease commitments executed in the normal course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3924300"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ectPr>
          <w:pgSz w:w="11900" w:h="16838" w:orient="portrait"/>
          <w:cols w:equalWidth="0" w:num="1">
            <w:col w:w="10240"/>
          </w:cols>
          <w:pgMar w:left="219" w:top="467" w:right="1440" w:bottom="0" w:gutter="0" w:footer="0" w:header="0"/>
          <w:type w:val="continuous"/>
        </w:sectPr>
      </w:pPr>
    </w:p>
    <w:bookmarkStart w:id="15" w:name="page16"/>
    <w:bookmarkEnd w:id="15"/>
    <w:p>
      <w:pPr>
        <w:ind w:left="221" w:right="4159"/>
        <w:spacing w:after="0" w:line="279" w:lineRule="auto"/>
        <w:rPr>
          <w:sz w:val="20"/>
          <w:szCs w:val="20"/>
          <w:color w:val="auto"/>
        </w:rPr>
      </w:pPr>
      <w:r>
        <w:rPr>
          <w:rFonts w:ascii="Arial" w:cs="Arial" w:eastAsia="Arial" w:hAnsi="Arial"/>
          <w:sz w:val="13"/>
          <w:szCs w:val="13"/>
          <w:color w:val="auto"/>
        </w:rPr>
        <w:t>Additional details concerning the United States facilities are contained in Note 8 and further details concerning worldwide aggregate operating leases are contained in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924300"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ind w:left="221" w:right="4339" w:hanging="221"/>
        <w:spacing w:after="0" w:line="279" w:lineRule="auto"/>
        <w:tabs>
          <w:tab w:leader="none" w:pos="221" w:val="left"/>
        </w:tabs>
        <w:numPr>
          <w:ilvl w:val="0"/>
          <w:numId w:val="17"/>
        </w:numPr>
        <w:rPr>
          <w:rFonts w:ascii="Arial" w:cs="Arial" w:eastAsia="Arial" w:hAnsi="Arial"/>
          <w:sz w:val="13"/>
          <w:szCs w:val="13"/>
          <w:color w:val="auto"/>
        </w:rPr>
      </w:pPr>
      <w:r>
        <w:rPr>
          <w:rFonts w:ascii="Arial" w:cs="Arial" w:eastAsia="Arial" w:hAnsi="Arial"/>
          <w:sz w:val="13"/>
          <w:szCs w:val="13"/>
          <w:color w:val="auto"/>
        </w:rPr>
        <w:t>Purchase obligations and capital project commitments not recorded on the Company’s consolidated balance sheet.</w:t>
      </w:r>
    </w:p>
    <w:p>
      <w:pPr>
        <w:spacing w:after="0" w:line="18" w:lineRule="exact"/>
        <w:rPr>
          <w:rFonts w:ascii="Arial" w:cs="Arial" w:eastAsia="Arial" w:hAnsi="Arial"/>
          <w:sz w:val="13"/>
          <w:szCs w:val="13"/>
          <w:color w:val="auto"/>
        </w:rPr>
      </w:pPr>
    </w:p>
    <w:p>
      <w:pPr>
        <w:ind w:left="221" w:right="4139" w:hanging="221"/>
        <w:spacing w:after="0" w:line="299" w:lineRule="auto"/>
        <w:tabs>
          <w:tab w:leader="none" w:pos="221"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See Note 14 for a further discussion of the Company’s retirement plans. Anticipated funding obligations are based on current actuarial assumptions. Funding requirements reported in the above table do not extend beyond 2016 as the Company has not quantified any funding obligations past this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392430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924300" cy="6350"/>
                    </a:xfrm>
                    <a:prstGeom prst="rect">
                      <a:avLst/>
                    </a:prstGeom>
                    <a:noFill/>
                  </pic:spPr>
                </pic:pic>
              </a:graphicData>
            </a:graphic>
          </wp:anchor>
        </w:drawing>
      </w:r>
    </w:p>
    <w:p>
      <w:pPr>
        <w:spacing w:after="0" w:line="107"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4809490"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Market Risk</w:t>
      </w:r>
    </w:p>
    <w:p>
      <w:pPr>
        <w:spacing w:after="0" w:line="92" w:lineRule="exact"/>
        <w:rPr>
          <w:sz w:val="20"/>
          <w:szCs w:val="20"/>
          <w:color w:val="auto"/>
        </w:rPr>
      </w:pPr>
    </w:p>
    <w:p>
      <w:pPr>
        <w:ind w:left="1" w:right="4279" w:firstLine="263"/>
        <w:spacing w:after="0" w:line="260" w:lineRule="auto"/>
        <w:rPr>
          <w:sz w:val="20"/>
          <w:szCs w:val="20"/>
          <w:color w:val="auto"/>
        </w:rPr>
      </w:pPr>
      <w:r>
        <w:rPr>
          <w:rFonts w:ascii="Arial" w:cs="Arial" w:eastAsia="Arial" w:hAnsi="Arial"/>
          <w:sz w:val="13"/>
          <w:szCs w:val="13"/>
          <w:color w:val="auto"/>
        </w:rPr>
        <w:t>The Company is exposed to market risk from foreign currency exchange rates, interest rates and commodity price fluctuations. The Company evaluates and manages volatility relating to these exposures on a global basis to take advantage, where applicable, of netting opportunities that may exist. Identified net exposures are managed employing a number of techniques including, but not limited to, borrowings in local currencies and the use of certain derivative instruments.</w:t>
      </w:r>
    </w:p>
    <w:p>
      <w:pPr>
        <w:spacing w:after="0" w:line="60" w:lineRule="exact"/>
        <w:rPr>
          <w:sz w:val="20"/>
          <w:szCs w:val="20"/>
          <w:color w:val="auto"/>
        </w:rPr>
      </w:pPr>
    </w:p>
    <w:p>
      <w:pPr>
        <w:ind w:left="1" w:right="4259" w:firstLine="263"/>
        <w:spacing w:after="0" w:line="278" w:lineRule="auto"/>
        <w:rPr>
          <w:sz w:val="20"/>
          <w:szCs w:val="20"/>
          <w:color w:val="auto"/>
        </w:rPr>
      </w:pPr>
      <w:r>
        <w:rPr>
          <w:rFonts w:ascii="Arial" w:cs="Arial" w:eastAsia="Arial" w:hAnsi="Arial"/>
          <w:sz w:val="12"/>
          <w:szCs w:val="12"/>
          <w:color w:val="auto"/>
        </w:rPr>
        <w:t>The Company operates on a global basis and is exposed to currency fluctuation related to the manufacture and sale of products in currencies other than the U.S. dollar. The major foreign currencies involve the markets in the European Union, Mexico, Brazil, China, Indonesia, Australia and Japan, although all regions are subject to foreign currency fluctuations. The Company actively monitors its foreign currency exposures in all major markets in which it operates, and employs a variety of techniques to mitigate the impact of exchange rate fluctuations, including foreign currency hedging activities. 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six months. The notional amount and maturity dates of such contracts match those of the underlying transactions. The gain or loss on the hedging instrument is recorded in earnings at the same time as the transaction being hedged is recorded in earnings. The associated asset or liability on the open hedge instrument is recorded in Current Assets or Current Liabilities, as applicable.</w:t>
      </w:r>
    </w:p>
    <w:p>
      <w:pPr>
        <w:spacing w:after="0" w:line="56" w:lineRule="exact"/>
        <w:rPr>
          <w:sz w:val="20"/>
          <w:szCs w:val="20"/>
          <w:color w:val="auto"/>
        </w:rPr>
      </w:pPr>
    </w:p>
    <w:p>
      <w:pPr>
        <w:ind w:left="1" w:right="4239" w:firstLine="263"/>
        <w:spacing w:after="0" w:line="262" w:lineRule="auto"/>
        <w:rPr>
          <w:sz w:val="20"/>
          <w:szCs w:val="20"/>
          <w:color w:val="auto"/>
        </w:rPr>
      </w:pPr>
      <w:r>
        <w:rPr>
          <w:rFonts w:ascii="Arial" w:cs="Arial" w:eastAsia="Arial" w:hAnsi="Arial"/>
          <w:sz w:val="13"/>
          <w:szCs w:val="13"/>
          <w:color w:val="auto"/>
        </w:rPr>
        <w:t>The Company has executed a 10-year Yen – U.S. dollar currency swap related to the monthly sale and purchase of products between the U.S. and Japan. The annual notional value of this swap is $5 million. Gains and losses related to this swap are recorded currently, and the mark-to-market adjustment related to the value of the swap is reflected as a component of AOCI.</w:t>
      </w:r>
    </w:p>
    <w:p>
      <w:pPr>
        <w:spacing w:after="0" w:line="59" w:lineRule="exact"/>
        <w:rPr>
          <w:sz w:val="20"/>
          <w:szCs w:val="20"/>
          <w:color w:val="auto"/>
        </w:rPr>
      </w:pPr>
    </w:p>
    <w:p>
      <w:pPr>
        <w:ind w:left="1" w:right="4279" w:firstLine="263"/>
        <w:spacing w:after="0" w:line="308" w:lineRule="auto"/>
        <w:rPr>
          <w:sz w:val="20"/>
          <w:szCs w:val="20"/>
          <w:color w:val="auto"/>
        </w:rPr>
      </w:pPr>
      <w:r>
        <w:rPr>
          <w:rFonts w:ascii="Arial" w:cs="Arial" w:eastAsia="Arial" w:hAnsi="Arial"/>
          <w:sz w:val="11"/>
          <w:szCs w:val="11"/>
          <w:color w:val="auto"/>
        </w:rPr>
        <w:t>The Company entered into a $300 million Cross Currency Interest Rate Swap transaction to hedge a portion of its consolidated Euro net investment. The derivative was structured as a swap of floating USD LIBOR to floating EURIBOR, with both floating interest rates reset and paid semi-annually, ensuring that the terms of the swap match identically. Because the derivative is structured as a floating to floating swap, the only value, other than that derived from changes in the foreign exchange (FX) spot rate, are interest rate accruals which are reset semi-annually. Thus, these accruals are netted and booked in current earnings. Mark-to-market changes due to differences in the underlying FX rate are recorded in AOCI and provide an offset to the cumulative translation adjustment of the underlying Euro assets being hedged, which are also being valued based on changes in the FX spot rate. Effectiveness is assessed quarterly. At maturity, or if the swap is terminated early, any gain or loss will not be recorded to earnings, but will be recorded to AOCI until the Euro net investment is divested.</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Critical Accounting Policies and Use of Estimates</w:t>
      </w:r>
    </w:p>
    <w:p>
      <w:pPr>
        <w:spacing w:after="0" w:line="92" w:lineRule="exact"/>
        <w:rPr>
          <w:sz w:val="20"/>
          <w:szCs w:val="20"/>
          <w:color w:val="auto"/>
        </w:rPr>
      </w:pPr>
    </w:p>
    <w:p>
      <w:pPr>
        <w:ind w:left="1" w:right="4319" w:firstLine="263"/>
        <w:spacing w:after="0" w:line="318" w:lineRule="auto"/>
        <w:rPr>
          <w:sz w:val="20"/>
          <w:szCs w:val="20"/>
          <w:color w:val="auto"/>
        </w:rPr>
      </w:pPr>
      <w:r>
        <w:rPr>
          <w:rFonts w:ascii="Arial" w:cs="Arial" w:eastAsia="Arial" w:hAnsi="Arial"/>
          <w:sz w:val="11"/>
          <w:szCs w:val="11"/>
          <w:color w:val="auto"/>
        </w:rPr>
        <w:t>Preparation of financial statements in accordance with accounting principles generally accepted in the United States (‘‘GAAP’’) requires estimates and assumptions that affect reported amounts and accompanying disclosures. These estimates are based on management’s best judgment of current events and actions that the Company may undertake in the future. Actual results may ultimately differ materially from estimates, although management does not believe such changes will materially affect the financial statements in any individual year.</w:t>
      </w:r>
    </w:p>
    <w:p>
      <w:pPr>
        <w:spacing w:after="0" w:line="32" w:lineRule="exact"/>
        <w:rPr>
          <w:sz w:val="20"/>
          <w:szCs w:val="20"/>
          <w:color w:val="auto"/>
        </w:rPr>
      </w:pPr>
    </w:p>
    <w:p>
      <w:pPr>
        <w:ind w:left="261"/>
        <w:spacing w:after="0"/>
        <w:rPr>
          <w:sz w:val="20"/>
          <w:szCs w:val="20"/>
          <w:color w:val="auto"/>
        </w:rPr>
      </w:pPr>
      <w:r>
        <w:rPr>
          <w:rFonts w:ascii="Arial" w:cs="Arial" w:eastAsia="Arial" w:hAnsi="Arial"/>
          <w:sz w:val="12"/>
          <w:szCs w:val="12"/>
          <w:color w:val="auto"/>
        </w:rPr>
        <w:t>Those material areas requiring the greatest degree of management judgment or deemed most critical to the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Company’s financial reporting involve:</w:t>
      </w:r>
    </w:p>
    <w:p>
      <w:pPr>
        <w:spacing w:after="0" w:line="81" w:lineRule="exact"/>
        <w:rPr>
          <w:sz w:val="20"/>
          <w:szCs w:val="20"/>
          <w:color w:val="auto"/>
        </w:rPr>
      </w:pPr>
    </w:p>
    <w:p>
      <w:pPr>
        <w:ind w:left="261"/>
        <w:spacing w:after="0"/>
        <w:rPr>
          <w:sz w:val="20"/>
          <w:szCs w:val="20"/>
          <w:color w:val="auto"/>
        </w:rPr>
      </w:pPr>
      <w:r>
        <w:rPr>
          <w:rFonts w:ascii="Arial" w:cs="Arial" w:eastAsia="Arial" w:hAnsi="Arial"/>
          <w:sz w:val="13"/>
          <w:szCs w:val="13"/>
          <w:i w:val="1"/>
          <w:iCs w:val="1"/>
          <w:u w:val="single" w:color="auto"/>
          <w:color w:val="auto"/>
        </w:rPr>
        <w:t>The periodic assessment of potential impairment of intangible assets acquired in business</w:t>
      </w:r>
    </w:p>
    <w:p>
      <w:pPr>
        <w:spacing w:after="0" w:line="16" w:lineRule="exact"/>
        <w:rPr>
          <w:sz w:val="20"/>
          <w:szCs w:val="20"/>
          <w:color w:val="auto"/>
        </w:rPr>
      </w:pPr>
    </w:p>
    <w:p>
      <w:pPr>
        <w:ind w:left="261" w:right="4399"/>
        <w:spacing w:after="0" w:line="292" w:lineRule="auto"/>
        <w:rPr>
          <w:sz w:val="20"/>
          <w:szCs w:val="20"/>
          <w:color w:val="auto"/>
        </w:rPr>
      </w:pPr>
      <w:r>
        <w:rPr>
          <w:rFonts w:ascii="Arial" w:cs="Arial" w:eastAsia="Arial" w:hAnsi="Arial"/>
          <w:sz w:val="12"/>
          <w:szCs w:val="12"/>
          <w:i w:val="1"/>
          <w:iCs w:val="1"/>
          <w:u w:val="single" w:color="auto"/>
          <w:color w:val="auto"/>
        </w:rPr>
        <w:t>combinations.</w:t>
      </w:r>
      <w:r>
        <w:rPr>
          <w:rFonts w:ascii="Arial" w:cs="Arial" w:eastAsia="Arial" w:hAnsi="Arial"/>
          <w:sz w:val="12"/>
          <w:szCs w:val="12"/>
          <w:i w:val="1"/>
          <w:iCs w:val="1"/>
          <w:color w:val="auto"/>
        </w:rPr>
        <w:t xml:space="preserve"> </w:t>
      </w:r>
      <w:r>
        <w:rPr>
          <w:rFonts w:ascii="Arial" w:cs="Arial" w:eastAsia="Arial" w:hAnsi="Arial"/>
          <w:sz w:val="12"/>
          <w:szCs w:val="12"/>
          <w:color w:val="auto"/>
        </w:rPr>
        <w:t>Intangible assets are evaluated for impairment annually. In assessing its intangible assets,</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uses the most current actual and forecasted operating data available, current market based assumptions and independent valuation experts. A two step approach is employed.</w:t>
      </w:r>
    </w:p>
    <w:p>
      <w:pPr>
        <w:spacing w:after="0" w:line="171"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1" w:right="4039"/>
        <w:spacing w:after="0" w:line="262" w:lineRule="auto"/>
        <w:rPr>
          <w:sz w:val="20"/>
          <w:szCs w:val="20"/>
          <w:color w:val="auto"/>
        </w:rPr>
      </w:pPr>
      <w:r>
        <w:rPr>
          <w:rFonts w:ascii="Arial" w:cs="Arial" w:eastAsia="Arial" w:hAnsi="Arial"/>
          <w:sz w:val="13"/>
          <w:szCs w:val="13"/>
          <w:color w:val="auto"/>
        </w:rPr>
        <w:t>The first step involves estimating the value of reporting units based on the present value of estimated future cash flows. The second step, if necessary, is to measure the value of the impairment loss, if any. Management’s most subjective assumptions relate to the estimated/projected sales and operating growth values employed in the forecast.</w:t>
      </w:r>
    </w:p>
    <w:p>
      <w:pPr>
        <w:spacing w:after="0" w:line="59" w:lineRule="exact"/>
        <w:rPr>
          <w:sz w:val="20"/>
          <w:szCs w:val="20"/>
          <w:color w:val="auto"/>
        </w:rPr>
      </w:pPr>
    </w:p>
    <w:p>
      <w:pPr>
        <w:ind w:left="261" w:right="3999"/>
        <w:spacing w:after="0" w:line="257" w:lineRule="auto"/>
        <w:rPr>
          <w:sz w:val="20"/>
          <w:szCs w:val="20"/>
          <w:color w:val="auto"/>
        </w:rPr>
      </w:pPr>
      <w:r>
        <w:rPr>
          <w:rFonts w:ascii="Arial" w:cs="Arial" w:eastAsia="Arial" w:hAnsi="Arial"/>
          <w:sz w:val="13"/>
          <w:szCs w:val="13"/>
          <w:i w:val="1"/>
          <w:iCs w:val="1"/>
          <w:u w:val="single" w:color="auto"/>
          <w:color w:val="auto"/>
        </w:rPr>
        <w:t>The analysis and evaluation of income taxes.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accounts for taxes in accordance with Statement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Accounting Standard No. 109, Accounting for Income Taxes (‘‘FAS 109’’). Under FAS 109, deferred tax assets and liabilities are determined based on temporary differences between financial reporting and tax bases of assets and liabilities, based on tax laws as currently enacted. The provision for income taxes is based on statutory income tax rates and planning opportunities available in the various tax jurisdictions where the Company operates. Significant judgment is required in determining income tax provisions and tax positions. The Company may be challenged upon review by the applicable taxing authority and positions taken by the Company may not be sustained. The Company regularly updates these accruals in light of changing facts and circumstances.</w:t>
      </w:r>
    </w:p>
    <w:p>
      <w:pPr>
        <w:spacing w:after="0" w:line="62" w:lineRule="exact"/>
        <w:rPr>
          <w:sz w:val="20"/>
          <w:szCs w:val="20"/>
          <w:color w:val="auto"/>
        </w:rPr>
      </w:pPr>
    </w:p>
    <w:p>
      <w:pPr>
        <w:ind w:left="261" w:right="4039"/>
        <w:spacing w:after="0" w:line="279" w:lineRule="auto"/>
        <w:rPr>
          <w:sz w:val="20"/>
          <w:szCs w:val="20"/>
          <w:color w:val="auto"/>
        </w:rPr>
      </w:pPr>
      <w:r>
        <w:rPr>
          <w:rFonts w:ascii="Arial" w:cs="Arial" w:eastAsia="Arial" w:hAnsi="Arial"/>
          <w:sz w:val="12"/>
          <w:szCs w:val="12"/>
          <w:color w:val="auto"/>
        </w:rPr>
        <w:t>In June 2006, the FASB issued FASB Interpretation No. 48, Accounting for Uncertainty in Income Taxes, an interpretation of FAS 109 (‘‘FIN 48’’). The interpretation contains a two step approach to recognizing and measuring uncertain tax positions accounted for in accordance with FAS 109. The first step is to evaluate the tax positions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resolution. In implementing FIN 48, the Company will need to evaluate individual tax benefits using these evaluation methods and will need to make judgments on how to disaggregate its various tax positions and then to analyze the tax positions. The Company is required to adopt FIN 48 at the beginning of 2007. The Company is currently assessing the potential impact of this interpretation, but does not believe its adoption will have a material impact on the Company’s results or financial condition.</w:t>
      </w:r>
    </w:p>
    <w:p>
      <w:pPr>
        <w:spacing w:after="0" w:line="55" w:lineRule="exact"/>
        <w:rPr>
          <w:sz w:val="20"/>
          <w:szCs w:val="20"/>
          <w:color w:val="auto"/>
        </w:rPr>
      </w:pPr>
    </w:p>
    <w:p>
      <w:pPr>
        <w:ind w:left="261" w:right="4039"/>
        <w:spacing w:after="0" w:line="260" w:lineRule="auto"/>
        <w:rPr>
          <w:sz w:val="20"/>
          <w:szCs w:val="20"/>
          <w:color w:val="auto"/>
        </w:rPr>
      </w:pPr>
      <w:r>
        <w:rPr>
          <w:rFonts w:ascii="Arial" w:cs="Arial" w:eastAsia="Arial" w:hAnsi="Arial"/>
          <w:sz w:val="13"/>
          <w:szCs w:val="13"/>
          <w:i w:val="1"/>
          <w:iCs w:val="1"/>
          <w:u w:val="single" w:color="auto"/>
          <w:color w:val="auto"/>
        </w:rPr>
        <w:t>The evaluation of potential legal and environmental liabilities, where changing circumstances, rules and regulations require regular reassessment of related practices and anticipated costs.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is subject to</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legal claims regarding products and other matters, as well as environmental-related matters. Significant management judgment is involved in determining when it is probable that a liability has been incurred and the extent to which it can be reasonably estimated.</w:t>
      </w:r>
    </w:p>
    <w:p>
      <w:pPr>
        <w:sectPr>
          <w:pgSz w:w="11900" w:h="16838" w:orient="portrait"/>
          <w:cols w:equalWidth="0" w:num="1">
            <w:col w:w="10240"/>
          </w:cols>
          <w:pgMar w:left="219" w:top="131" w:right="1440" w:bottom="0" w:gutter="0" w:footer="0" w:header="0"/>
        </w:sectPr>
      </w:pPr>
    </w:p>
    <w:bookmarkStart w:id="16" w:name="page17"/>
    <w:bookmarkEnd w:id="16"/>
    <w:p>
      <w:pPr>
        <w:spacing w:after="0" w:line="66" w:lineRule="exact"/>
        <w:rPr>
          <w:sz w:val="20"/>
          <w:szCs w:val="20"/>
          <w:color w:val="auto"/>
        </w:rPr>
      </w:pPr>
    </w:p>
    <w:p>
      <w:pPr>
        <w:ind w:left="260" w:right="3999"/>
        <w:spacing w:after="0" w:line="281" w:lineRule="auto"/>
        <w:rPr>
          <w:sz w:val="20"/>
          <w:szCs w:val="20"/>
          <w:color w:val="auto"/>
        </w:rPr>
      </w:pPr>
      <w:r>
        <w:rPr>
          <w:rFonts w:ascii="Arial" w:cs="Arial" w:eastAsia="Arial" w:hAnsi="Arial"/>
          <w:sz w:val="12"/>
          <w:szCs w:val="12"/>
          <w:color w:val="auto"/>
        </w:rPr>
        <w:t>The Company regularly assesses potential liabilities with respect to all legal claims based on the most recent available information, in consultation with outside counsel handling the defense of such matters, and other relevant independent experts. To the extent a liability is deemed to have been incurred and can be reasonably estimated, the Company recognizes a corresponding accrual; if the reasonably estimated liability is a range, the Company recognizes that amount considered most likely, or in the absence of such a determination, the minimum reasonably expected liability. To the extent such claims are covered by insurance, the Company separately evaluates the likelihood of recovery and accounts for any related insurance receivable. Management judgments involve a determination as to whether a liability has been incurred, the reasonably estimated amount of that liability, and any potential insurance recovery.</w:t>
      </w:r>
    </w:p>
    <w:p>
      <w:pPr>
        <w:spacing w:after="0" w:line="49" w:lineRule="exact"/>
        <w:rPr>
          <w:sz w:val="20"/>
          <w:szCs w:val="20"/>
          <w:color w:val="auto"/>
        </w:rPr>
      </w:pPr>
    </w:p>
    <w:p>
      <w:pPr>
        <w:ind w:left="260" w:right="4019"/>
        <w:spacing w:after="0" w:line="260" w:lineRule="auto"/>
        <w:rPr>
          <w:sz w:val="20"/>
          <w:szCs w:val="20"/>
          <w:color w:val="auto"/>
        </w:rPr>
      </w:pPr>
      <w:r>
        <w:rPr>
          <w:rFonts w:ascii="Arial" w:cs="Arial" w:eastAsia="Arial" w:hAnsi="Arial"/>
          <w:sz w:val="13"/>
          <w:szCs w:val="13"/>
          <w:color w:val="auto"/>
        </w:rPr>
        <w:t>The Company regularly evaluates its potential environmental exposure in terms of total estimated cost and with respect to the viability of other potentially responsible parties (‘‘PRP’s’’) associated with its exposure. Recorded liabilities are adjusted periodically as remediation efforts progress and additional information becomes available. Critical management assumptions relate to expected total costs to remediate and the financial viability of PRP’s to share such costs.</w:t>
      </w:r>
    </w:p>
    <w:p>
      <w:pPr>
        <w:spacing w:after="0" w:line="60" w:lineRule="exact"/>
        <w:rPr>
          <w:sz w:val="20"/>
          <w:szCs w:val="20"/>
          <w:color w:val="auto"/>
        </w:rPr>
      </w:pPr>
    </w:p>
    <w:p>
      <w:pPr>
        <w:ind w:left="260" w:right="4119"/>
        <w:spacing w:after="0" w:line="262" w:lineRule="auto"/>
        <w:rPr>
          <w:sz w:val="20"/>
          <w:szCs w:val="20"/>
          <w:color w:val="auto"/>
        </w:rPr>
      </w:pPr>
      <w:r>
        <w:rPr>
          <w:rFonts w:ascii="Arial" w:cs="Arial" w:eastAsia="Arial" w:hAnsi="Arial"/>
          <w:sz w:val="13"/>
          <w:szCs w:val="13"/>
          <w:i w:val="1"/>
          <w:iCs w:val="1"/>
          <w:u w:val="single" w:color="auto"/>
          <w:color w:val="auto"/>
        </w:rPr>
        <w:t>Determination of the various assumptions employed in the valuation of pension and retiree health care expense and associated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Amounts recognized in the Consolidated Financial Statements related to pension</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postretirement benefits are determined from actuarial valuations. Inherent in such valuations are assumptions including expected return on plan assets,</w:t>
      </w:r>
    </w:p>
    <w:p>
      <w:pPr>
        <w:spacing w:after="0" w:line="18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 w:right="4059"/>
        <w:spacing w:after="0" w:line="291" w:lineRule="auto"/>
        <w:rPr>
          <w:sz w:val="20"/>
          <w:szCs w:val="20"/>
          <w:color w:val="auto"/>
        </w:rPr>
      </w:pPr>
      <w:r>
        <w:rPr>
          <w:rFonts w:ascii="Arial" w:cs="Arial" w:eastAsia="Arial" w:hAnsi="Arial"/>
          <w:sz w:val="12"/>
          <w:szCs w:val="12"/>
          <w:color w:val="auto"/>
        </w:rPr>
        <w:t>discount rates at which the liabilities could be settled, rates of increase in future compensation levels, mortality rates and health care cost trend rates. These assumptions are updated annually. In accordance with GAAP, actual results that differ from the assumptions are accumulated and amortized over future periods and, therefore, affect expense recognized and obligations recorded in future periods.</w:t>
      </w:r>
    </w:p>
    <w:p>
      <w:pPr>
        <w:spacing w:after="0" w:line="43" w:lineRule="exact"/>
        <w:rPr>
          <w:sz w:val="20"/>
          <w:szCs w:val="20"/>
          <w:color w:val="auto"/>
        </w:rPr>
      </w:pPr>
    </w:p>
    <w:p>
      <w:pPr>
        <w:ind w:left="260" w:right="4039"/>
        <w:spacing w:after="0" w:line="304" w:lineRule="auto"/>
        <w:rPr>
          <w:sz w:val="20"/>
          <w:szCs w:val="20"/>
          <w:color w:val="auto"/>
        </w:rPr>
      </w:pPr>
      <w:r>
        <w:rPr>
          <w:rFonts w:ascii="Arial" w:cs="Arial" w:eastAsia="Arial" w:hAnsi="Arial"/>
          <w:sz w:val="11"/>
          <w:szCs w:val="11"/>
          <w:color w:val="auto"/>
        </w:rPr>
        <w:t>With respect to the U.S. plans, the expected return on plan assets was determined based on an asset allocation model using the current benchmark allocation, real rates of return by asset class and an anticipated inflation rate. The benchmark asset allocation was: 10 – 20% in cash and fixed income investments expected to yield 1.0%; 10</w:t>
      </w:r>
    </w:p>
    <w:p>
      <w:pPr>
        <w:spacing w:after="0" w:line="1" w:lineRule="exact"/>
        <w:rPr>
          <w:sz w:val="20"/>
          <w:szCs w:val="20"/>
          <w:color w:val="auto"/>
        </w:rPr>
      </w:pPr>
    </w:p>
    <w:p>
      <w:pPr>
        <w:ind w:left="260" w:right="3979"/>
        <w:spacing w:after="0" w:line="280" w:lineRule="auto"/>
        <w:rPr>
          <w:sz w:val="20"/>
          <w:szCs w:val="20"/>
          <w:color w:val="auto"/>
        </w:rPr>
      </w:pPr>
      <w:r>
        <w:rPr>
          <w:rFonts w:ascii="Arial" w:cs="Arial" w:eastAsia="Arial" w:hAnsi="Arial"/>
          <w:sz w:val="12"/>
          <w:szCs w:val="12"/>
          <w:color w:val="auto"/>
        </w:rPr>
        <w:t>– 20% employed in corporate and government bonds expected to yield 2.1%; and 65 – 75% in equity investments with a long-term expected yield of 8.5 – 9.3%. The inflation rate assumed in the model was 2.5%. The plan has achieved a compound annual rate of return of 9.6% over the previous 20 years. The discount rate used for determining future pension obligations for each individual plan is based on a review of long-term bonds that receive a high rating from a recognized rating agency. The discount rate was based on the internal rate of return for a portfolio of Moody’s Aa3-rated high quality bonds with maturities that are consistent with the projected future benefit payment obligations of the plan. The rate of compensation increase for all plans and the medical cost trend rate for the applicable U.S. plans are based on plan experience.</w:t>
      </w:r>
    </w:p>
    <w:p>
      <w:pPr>
        <w:spacing w:after="0" w:line="50" w:lineRule="exact"/>
        <w:rPr>
          <w:sz w:val="20"/>
          <w:szCs w:val="20"/>
          <w:color w:val="auto"/>
        </w:rPr>
      </w:pPr>
    </w:p>
    <w:p>
      <w:pPr>
        <w:ind w:left="260" w:right="4019"/>
        <w:spacing w:after="0" w:line="258" w:lineRule="auto"/>
        <w:rPr>
          <w:sz w:val="20"/>
          <w:szCs w:val="20"/>
          <w:color w:val="auto"/>
        </w:rPr>
      </w:pPr>
      <w:r>
        <w:rPr>
          <w:rFonts w:ascii="Arial" w:cs="Arial" w:eastAsia="Arial" w:hAnsi="Arial"/>
          <w:sz w:val="13"/>
          <w:szCs w:val="13"/>
          <w:color w:val="auto"/>
        </w:rPr>
        <w:t>With respect to the non-U.S. plans, the expected return on plan assets was determined based on an asset allocation model for each plan using an allocation designed to meet the needs of the plan or, in certain cases, specific government requirements, rates of return by asset class and an anticipated inflation rate. The discount rate used for determining future pension obligations for each plan is based on a review of long-term bonds that receive a high rating from a recognized rating agency with durations comparable to that of the plan liabilities and other criteria appropriate for the local market. The rate of compensation increase is based on plan experience and expected increases.</w:t>
      </w:r>
    </w:p>
    <w:p>
      <w:pPr>
        <w:spacing w:after="0" w:line="62" w:lineRule="exact"/>
        <w:rPr>
          <w:sz w:val="20"/>
          <w:szCs w:val="20"/>
          <w:color w:val="auto"/>
        </w:rPr>
      </w:pPr>
    </w:p>
    <w:p>
      <w:pPr>
        <w:ind w:left="260" w:right="4019"/>
        <w:spacing w:after="0" w:line="259" w:lineRule="auto"/>
        <w:rPr>
          <w:sz w:val="20"/>
          <w:szCs w:val="20"/>
          <w:color w:val="auto"/>
        </w:rPr>
      </w:pPr>
      <w:r>
        <w:rPr>
          <w:rFonts w:ascii="Arial" w:cs="Arial" w:eastAsia="Arial" w:hAnsi="Arial"/>
          <w:sz w:val="13"/>
          <w:szCs w:val="13"/>
          <w:color w:val="auto"/>
        </w:rPr>
        <w:t>Management establishes the assumptions concerning discount rates and actuarial assumptions based on current market conditions, including asset returns and other factors applicable under the circumstances. Changes in pension and other post-employment benefits, and associated expenses, may occur in the future due to changes in these assumptions. The impact a .25% decrease in the discount rate or a 1% change in the medical cost trend rate would have on the Company’s pension and other post-employment benefit expense, as applicable, is discussed in Note 14.</w:t>
      </w:r>
    </w:p>
    <w:p>
      <w:pPr>
        <w:spacing w:after="0" w:line="60" w:lineRule="exact"/>
        <w:rPr>
          <w:sz w:val="20"/>
          <w:szCs w:val="20"/>
          <w:color w:val="auto"/>
        </w:rPr>
      </w:pPr>
    </w:p>
    <w:p>
      <w:pPr>
        <w:ind w:left="260" w:right="4139"/>
        <w:spacing w:after="0" w:line="284" w:lineRule="auto"/>
        <w:rPr>
          <w:sz w:val="20"/>
          <w:szCs w:val="20"/>
          <w:color w:val="auto"/>
        </w:rPr>
      </w:pPr>
      <w:r>
        <w:rPr>
          <w:rFonts w:ascii="Arial" w:cs="Arial" w:eastAsia="Arial" w:hAnsi="Arial"/>
          <w:sz w:val="12"/>
          <w:szCs w:val="12"/>
          <w:i w:val="1"/>
          <w:iCs w:val="1"/>
          <w:u w:val="single" w:color="auto"/>
          <w:color w:val="auto"/>
        </w:rPr>
        <w:t>The ongoing assessment of the valuation of inventory, given the large number of natural ingredients employed, the quality of which may be diminished over time.</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maintains between 40% and 55% of its</w:t>
      </w:r>
      <w:r>
        <w:rPr>
          <w:rFonts w:ascii="Arial" w:cs="Arial" w:eastAsia="Arial" w:hAnsi="Arial"/>
          <w:sz w:val="12"/>
          <w:szCs w:val="12"/>
          <w:i w:val="1"/>
          <w:iCs w:val="1"/>
          <w:color w:val="auto"/>
        </w:rPr>
        <w:t xml:space="preserve"> </w:t>
      </w:r>
      <w:r>
        <w:rPr>
          <w:rFonts w:ascii="Arial" w:cs="Arial" w:eastAsia="Arial" w:hAnsi="Arial"/>
          <w:sz w:val="12"/>
          <w:szCs w:val="12"/>
          <w:color w:val="auto"/>
        </w:rPr>
        <w:t>inventory as raw materials, providing the greatest degree of flexibility in manufacture and use. Materials are evaluated based on shelf life, known uses and anticipated demand based on forecasted customer order activity and changes in product/sales mix. Company policy provides for an ongoing assessment of inventory with adjustments recorded when an item is deemed to be slow moving or obsolete.</w:t>
      </w:r>
    </w:p>
    <w:p>
      <w:pPr>
        <w:spacing w:after="0" w:line="49" w:lineRule="exact"/>
        <w:rPr>
          <w:sz w:val="20"/>
          <w:szCs w:val="20"/>
          <w:color w:val="auto"/>
        </w:rPr>
      </w:pPr>
    </w:p>
    <w:p>
      <w:pPr>
        <w:ind w:left="260" w:right="4039"/>
        <w:spacing w:after="0" w:line="260" w:lineRule="auto"/>
        <w:rPr>
          <w:sz w:val="20"/>
          <w:szCs w:val="20"/>
          <w:color w:val="auto"/>
        </w:rPr>
      </w:pPr>
      <w:r>
        <w:rPr>
          <w:rFonts w:ascii="Arial" w:cs="Arial" w:eastAsia="Arial" w:hAnsi="Arial"/>
          <w:sz w:val="13"/>
          <w:szCs w:val="13"/>
          <w:i w:val="1"/>
          <w:iCs w:val="1"/>
          <w:u w:val="single" w:color="auto"/>
          <w:color w:val="auto"/>
        </w:rPr>
        <w:t>Determination of various assumptions employed in the calculation of Equity Compensation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Amounts</w:t>
      </w:r>
      <w:r>
        <w:rPr>
          <w:rFonts w:ascii="Arial" w:cs="Arial" w:eastAsia="Arial" w:hAnsi="Arial"/>
          <w:sz w:val="13"/>
          <w:szCs w:val="13"/>
          <w:i w:val="1"/>
          <w:iCs w:val="1"/>
          <w:color w:val="auto"/>
        </w:rPr>
        <w:t xml:space="preserve"> </w:t>
      </w:r>
      <w:r>
        <w:rPr>
          <w:rFonts w:ascii="Arial" w:cs="Arial" w:eastAsia="Arial" w:hAnsi="Arial"/>
          <w:sz w:val="13"/>
          <w:szCs w:val="13"/>
          <w:color w:val="auto"/>
        </w:rPr>
        <w:t>recognized in the Consolidated Financial Statements related to equity compensation are determined based on the number of awards and type of award as well as specific assumptions regarding expected life, stock price volatility, risk free interest rate and the dividend yield. These assumptions are employed in the Binomial lattice-pricing model used to value certain awards.</w:t>
      </w:r>
    </w:p>
    <w:p>
      <w:pPr>
        <w:spacing w:after="0" w:line="60" w:lineRule="exact"/>
        <w:rPr>
          <w:sz w:val="20"/>
          <w:szCs w:val="20"/>
          <w:color w:val="auto"/>
        </w:rPr>
      </w:pPr>
    </w:p>
    <w:p>
      <w:pPr>
        <w:ind w:left="260" w:right="3999"/>
        <w:spacing w:after="0" w:line="284" w:lineRule="auto"/>
        <w:rPr>
          <w:sz w:val="20"/>
          <w:szCs w:val="20"/>
          <w:color w:val="auto"/>
        </w:rPr>
      </w:pPr>
      <w:r>
        <w:rPr>
          <w:rFonts w:ascii="Arial" w:cs="Arial" w:eastAsia="Arial" w:hAnsi="Arial"/>
          <w:sz w:val="12"/>
          <w:szCs w:val="12"/>
          <w:color w:val="auto"/>
        </w:rPr>
        <w:t>The Company changed its valuation model used for estimating the fair value of options/SSAR’s granted on January 1, 2006, from a Black-Scholes option-pricing model to a Binomial lattice-pricing model. The Binomial model can accommodate a broader array of inputs, such as stock price volatility and interest rates. The Black-Scholes model does not allow for incorporation of changes in such variables. The Company utilizes historical information to estimate expected term and forfeitures within the valuation model. The expected term of an option is based on historical exercise behavior, vesting terms and a contractual life of primarily ten years for options</w:t>
      </w:r>
    </w:p>
    <w:p>
      <w:pPr>
        <w:spacing w:after="0" w:line="177"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right="3979"/>
        <w:spacing w:after="0" w:line="281" w:lineRule="auto"/>
        <w:rPr>
          <w:sz w:val="20"/>
          <w:szCs w:val="20"/>
          <w:color w:val="auto"/>
        </w:rPr>
      </w:pPr>
      <w:r>
        <w:rPr>
          <w:rFonts w:ascii="Arial" w:cs="Arial" w:eastAsia="Arial" w:hAnsi="Arial"/>
          <w:sz w:val="12"/>
          <w:szCs w:val="12"/>
          <w:color w:val="auto"/>
        </w:rPr>
        <w:t>and seven years for SSAR’s. The risk-free interest rate for periods within the expected term of the award is based on the U.S. Treasury yield curve in effect at the time of grant. Expected volatility is based on an average of implied and historical volatility of the price of the Company’s common stock over the calculated expected term. The Company anticipates paying cash dividends in the future and therefore uses an expected dividend yield in the valuation model; the cash dividend in effect at the time of grant was employed in this calculation. These assumptions are evaluated at each grant date. If factors change and the Company employs different assumptions for estimating share-based compensation expense in future periods or if the Company decides to use a different valuation model, the future periods may differ significantly from what the Company has recorded in the current period and could materially affect operating income, net income and net income per share.</w:t>
      </w:r>
    </w:p>
    <w:p>
      <w:pPr>
        <w:spacing w:after="0" w:line="49" w:lineRule="exact"/>
        <w:rPr>
          <w:sz w:val="20"/>
          <w:szCs w:val="20"/>
          <w:color w:val="auto"/>
        </w:rPr>
      </w:pPr>
    </w:p>
    <w:p>
      <w:pPr>
        <w:ind w:right="4279" w:firstLine="263"/>
        <w:spacing w:after="0" w:line="260" w:lineRule="auto"/>
        <w:rPr>
          <w:sz w:val="20"/>
          <w:szCs w:val="20"/>
          <w:color w:val="auto"/>
        </w:rPr>
      </w:pPr>
      <w:r>
        <w:rPr>
          <w:rFonts w:ascii="Arial" w:cs="Arial" w:eastAsia="Arial" w:hAnsi="Arial"/>
          <w:sz w:val="13"/>
          <w:szCs w:val="13"/>
          <w:color w:val="auto"/>
        </w:rPr>
        <w:t>Management believes that it has considered relevant circumstances that the Company may be currently subject to, and the financial statements accurately reflect management’s best estimate of the results of operations, financial condition and cash flows of the Company for the years presented. Management has discussed the decision process and selection of these critical accounting policies with the Audit Committee of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Standards</w:t>
      </w:r>
    </w:p>
    <w:p>
      <w:pPr>
        <w:spacing w:after="0" w:line="92" w:lineRule="exact"/>
        <w:rPr>
          <w:sz w:val="20"/>
          <w:szCs w:val="20"/>
          <w:color w:val="auto"/>
        </w:rPr>
      </w:pPr>
    </w:p>
    <w:p>
      <w:pPr>
        <w:ind w:right="4319" w:firstLine="263"/>
        <w:spacing w:after="0" w:line="284" w:lineRule="auto"/>
        <w:rPr>
          <w:sz w:val="20"/>
          <w:szCs w:val="20"/>
          <w:color w:val="auto"/>
        </w:rPr>
      </w:pPr>
      <w:r>
        <w:rPr>
          <w:rFonts w:ascii="Arial" w:cs="Arial" w:eastAsia="Arial" w:hAnsi="Arial"/>
          <w:sz w:val="12"/>
          <w:szCs w:val="12"/>
          <w:color w:val="auto"/>
        </w:rPr>
        <w:t>In December 2004, the FASB issued FAS 123(R), which is effective for the first reporting period beginning after December 15, 2005. FAS 123(R) supersedes APB 25 and establishes standards for the accounting for transactions in which an entity exchanges its equity instruments for goods or services. Under FAS 123(R), the Company must determine the fair value model to be used for valuing share-based payments, the amortization method for compensation cost and the transition method to be used at date of adoption. The Company is employing the Binomial lattice-pricing model, and recognizes the cost of all employee stock options on a</w:t>
      </w:r>
    </w:p>
    <w:p>
      <w:pPr>
        <w:sectPr>
          <w:pgSz w:w="11900" w:h="16904" w:orient="portrait"/>
          <w:cols w:equalWidth="0" w:num="1">
            <w:col w:w="10239"/>
          </w:cols>
          <w:pgMar w:left="220" w:top="210" w:right="1440" w:bottom="0" w:gutter="0" w:footer="0" w:header="0"/>
        </w:sectPr>
      </w:pPr>
    </w:p>
    <w:bookmarkStart w:id="17" w:name="page18"/>
    <w:bookmarkEnd w:id="17"/>
    <w:p>
      <w:pPr>
        <w:ind w:right="4419"/>
        <w:spacing w:after="0" w:line="291" w:lineRule="auto"/>
        <w:rPr>
          <w:sz w:val="20"/>
          <w:szCs w:val="20"/>
          <w:color w:val="auto"/>
        </w:rPr>
      </w:pPr>
      <w:r>
        <w:rPr>
          <w:rFonts w:ascii="Arial" w:cs="Arial" w:eastAsia="Arial" w:hAnsi="Arial"/>
          <w:sz w:val="12"/>
          <w:szCs w:val="12"/>
          <w:color w:val="auto"/>
        </w:rPr>
        <w:t>straight-line basis over their respective vesting periods, net of estimated forfeitures. The Company adopted the new standard in 2006; adoption reduced 2006 annual earnings by $2 million based on unvested options outstanding. This impact does not contemplate awards issued, cancelled or forfeited in 2006 or the tax impact related to the initial adoption of this standard. Further details are included in Note 12.</w:t>
      </w:r>
    </w:p>
    <w:p>
      <w:pPr>
        <w:spacing w:after="0" w:line="43" w:lineRule="exact"/>
        <w:rPr>
          <w:sz w:val="20"/>
          <w:szCs w:val="20"/>
          <w:color w:val="auto"/>
        </w:rPr>
      </w:pPr>
    </w:p>
    <w:p>
      <w:pPr>
        <w:ind w:right="4279" w:firstLine="263"/>
        <w:spacing w:after="0" w:line="257" w:lineRule="auto"/>
        <w:rPr>
          <w:sz w:val="20"/>
          <w:szCs w:val="20"/>
          <w:color w:val="auto"/>
        </w:rPr>
      </w:pPr>
      <w:r>
        <w:rPr>
          <w:rFonts w:ascii="Arial" w:cs="Arial" w:eastAsia="Arial" w:hAnsi="Arial"/>
          <w:sz w:val="13"/>
          <w:szCs w:val="13"/>
          <w:color w:val="auto"/>
        </w:rPr>
        <w:t>In June 2006, the FASB issued FIN 48 which clarifies the application of FAS 109 by prescribing the minimum threshold a tax position must meet before being recognized in the financial statements. Under FIN 48, the financial statement effect of a tax position is initially recognized when it is more likely than not the position will be sustained upon examination. A tax position that meets the ‘‘more likely than not’’ recognition threshold is initially and subsequently measured as the largest amount of benefit, determined on a cumulative probability basis, that is more likely than not to be realized upon ultimate settlement with the taxing authority. FIN 48 is effective for years beginning after December 15, 2006. The Company is currently assessing the potential impact of this interpretation but does not believe its adoption will have a material impact on the Company’s results or financial condition.</w:t>
      </w:r>
    </w:p>
    <w:p>
      <w:pPr>
        <w:spacing w:after="0" w:line="62" w:lineRule="exact"/>
        <w:rPr>
          <w:sz w:val="20"/>
          <w:szCs w:val="20"/>
          <w:color w:val="auto"/>
        </w:rPr>
      </w:pPr>
    </w:p>
    <w:p>
      <w:pPr>
        <w:ind w:right="4299" w:firstLine="263"/>
        <w:spacing w:after="0" w:line="260" w:lineRule="auto"/>
        <w:rPr>
          <w:sz w:val="20"/>
          <w:szCs w:val="20"/>
          <w:color w:val="auto"/>
        </w:rPr>
      </w:pPr>
      <w:r>
        <w:rPr>
          <w:rFonts w:ascii="Arial" w:cs="Arial" w:eastAsia="Arial" w:hAnsi="Arial"/>
          <w:sz w:val="13"/>
          <w:szCs w:val="13"/>
          <w:color w:val="auto"/>
        </w:rPr>
        <w:t>In September 2006, the FASB issued SFAS No. 154, Accounting Changes and Error Corrections (‘‘FAS 154’’). This Statement replaces Accounting Principles Board No. 20, Accounting Changes</w:t>
      </w:r>
      <w:r>
        <w:rPr>
          <w:rFonts w:ascii="Arial" w:cs="Arial" w:eastAsia="Arial" w:hAnsi="Arial"/>
          <w:sz w:val="13"/>
          <w:szCs w:val="13"/>
          <w:i w:val="1"/>
          <w:iCs w:val="1"/>
          <w:color w:val="auto"/>
        </w:rPr>
        <w:t>,</w:t>
      </w:r>
      <w:r>
        <w:rPr>
          <w:rFonts w:ascii="Arial" w:cs="Arial" w:eastAsia="Arial" w:hAnsi="Arial"/>
          <w:sz w:val="13"/>
          <w:szCs w:val="13"/>
          <w:color w:val="auto"/>
        </w:rPr>
        <w:t xml:space="preserve"> and FASB Statement No. 3, Reporting Accounting Changes in Interim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and changes the requirements for the accounting for and reporting of a change in accounting principle. FAS 154 is effective for years beginning after December 15, 2006.</w:t>
      </w:r>
    </w:p>
    <w:p>
      <w:pPr>
        <w:spacing w:after="0" w:line="60" w:lineRule="exact"/>
        <w:rPr>
          <w:sz w:val="20"/>
          <w:szCs w:val="20"/>
          <w:color w:val="auto"/>
        </w:rPr>
      </w:pPr>
    </w:p>
    <w:p>
      <w:pPr>
        <w:ind w:right="4299" w:firstLine="263"/>
        <w:spacing w:after="0" w:line="262" w:lineRule="auto"/>
        <w:rPr>
          <w:sz w:val="20"/>
          <w:szCs w:val="20"/>
          <w:color w:val="auto"/>
        </w:rPr>
      </w:pPr>
      <w:r>
        <w:rPr>
          <w:rFonts w:ascii="Arial" w:cs="Arial" w:eastAsia="Arial" w:hAnsi="Arial"/>
          <w:sz w:val="13"/>
          <w:szCs w:val="13"/>
          <w:color w:val="auto"/>
        </w:rPr>
        <w:t>In September 2006, the FASB issued SFAS No. 157, Fair Value Measurements (‘‘FAS 157’’). This standard defines fair value, establishes a framework for measuring fair value and expands disclosures regarding fair value measurements. FAS 157 is effective for years beginning after December 15, 2007. The Company is currently evaluating the potential impact of this standard.</w:t>
      </w:r>
    </w:p>
    <w:p>
      <w:pPr>
        <w:spacing w:after="0" w:line="59" w:lineRule="exact"/>
        <w:rPr>
          <w:sz w:val="20"/>
          <w:szCs w:val="20"/>
          <w:color w:val="auto"/>
        </w:rPr>
      </w:pPr>
    </w:p>
    <w:p>
      <w:pPr>
        <w:ind w:right="4399" w:firstLine="263"/>
        <w:spacing w:after="0" w:line="291" w:lineRule="auto"/>
        <w:rPr>
          <w:sz w:val="20"/>
          <w:szCs w:val="20"/>
          <w:color w:val="auto"/>
        </w:rPr>
      </w:pPr>
      <w:r>
        <w:rPr>
          <w:rFonts w:ascii="Arial" w:cs="Arial" w:eastAsia="Arial" w:hAnsi="Arial"/>
          <w:sz w:val="12"/>
          <w:szCs w:val="12"/>
          <w:color w:val="auto"/>
        </w:rPr>
        <w:t>In September 2006, the FASB issued SFAS No. 158, Employers’ Accounting for Defined Benefit Pension and Other Postretirement Plans, an amendment of FASB Statements No. 87, 88, 106 and 132R (‘‘FAS 158’’). This Statement requires an employer to recognize the over- or under-funded status of a defined benefit postretirement plan as an asset or liability in its statement of financial position</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439"/>
        <w:spacing w:after="0" w:line="262" w:lineRule="auto"/>
        <w:rPr>
          <w:sz w:val="20"/>
          <w:szCs w:val="20"/>
          <w:color w:val="auto"/>
        </w:rPr>
      </w:pPr>
      <w:r>
        <w:rPr>
          <w:rFonts w:ascii="Arial" w:cs="Arial" w:eastAsia="Arial" w:hAnsi="Arial"/>
          <w:sz w:val="13"/>
          <w:szCs w:val="13"/>
          <w:color w:val="auto"/>
        </w:rPr>
        <w:t>and to recognize changes in that funded status in the year in which the changes occur through AOCI. FAS 158 also requires an employer to measure the funded status of a plan at its year-end. FAS 158 is effective for years ending after December 15, 2006 and the Company has implemented this standard using the prospective application approach. Further details are included in Note 14.</w:t>
      </w:r>
    </w:p>
    <w:p>
      <w:pPr>
        <w:spacing w:after="0" w:line="59" w:lineRule="exact"/>
        <w:rPr>
          <w:sz w:val="20"/>
          <w:szCs w:val="20"/>
          <w:color w:val="auto"/>
        </w:rPr>
      </w:pPr>
    </w:p>
    <w:p>
      <w:pPr>
        <w:ind w:right="4339" w:firstLine="263"/>
        <w:spacing w:after="0" w:line="262" w:lineRule="auto"/>
        <w:rPr>
          <w:sz w:val="20"/>
          <w:szCs w:val="20"/>
          <w:color w:val="auto"/>
        </w:rPr>
      </w:pPr>
      <w:r>
        <w:rPr>
          <w:rFonts w:ascii="Arial" w:cs="Arial" w:eastAsia="Arial" w:hAnsi="Arial"/>
          <w:sz w:val="13"/>
          <w:szCs w:val="13"/>
          <w:color w:val="auto"/>
        </w:rPr>
        <w:t>In September 2006, the Securities and Exchange Commission issued Staff Accounting Bulletin No. 108, Considering the Effects of Prior Year Misstatements when Quantifying Misstatements in Current Year Financial Statements (‘‘SAB 108’’) effective at the end of the Company’s 2006 operating year. The adoption of SAB 108 had no impact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92" w:lineRule="exact"/>
        <w:rPr>
          <w:sz w:val="20"/>
          <w:szCs w:val="20"/>
          <w:color w:val="auto"/>
        </w:rPr>
      </w:pPr>
    </w:p>
    <w:p>
      <w:pPr>
        <w:ind w:right="4239" w:firstLine="263"/>
        <w:spacing w:after="0" w:line="258" w:lineRule="auto"/>
        <w:rPr>
          <w:sz w:val="20"/>
          <w:szCs w:val="20"/>
          <w:color w:val="auto"/>
        </w:rPr>
      </w:pPr>
      <w:r>
        <w:rPr>
          <w:rFonts w:ascii="Arial" w:cs="Arial" w:eastAsia="Arial" w:hAnsi="Arial"/>
          <w:sz w:val="13"/>
          <w:szCs w:val="13"/>
          <w:color w:val="auto"/>
        </w:rPr>
        <w:t>To supplement the Company’s financial results presented in accordance with GAAP, the Company uses, and has included in this report, certain non-GAAP financial measures. These non-GAAP financial measures should not be considered in isolation or as a substitute for or superior to financial measures calculated in accordance with GAAP. These non-GAAP financial measures as disclosed by the Company may also be calculated differently from similar measures disclosed by other companies. To ease the use and understanding of such supplemental non-GAAP financial measures, the Company includes the most directly comparable GAAP financial measure and the reconciliation amount.</w:t>
      </w:r>
    </w:p>
    <w:p>
      <w:pPr>
        <w:spacing w:after="0" w:line="62" w:lineRule="exact"/>
        <w:rPr>
          <w:sz w:val="20"/>
          <w:szCs w:val="20"/>
          <w:color w:val="auto"/>
        </w:rPr>
      </w:pPr>
    </w:p>
    <w:p>
      <w:pPr>
        <w:ind w:right="4239" w:firstLine="263"/>
        <w:spacing w:after="0" w:line="283" w:lineRule="auto"/>
        <w:rPr>
          <w:sz w:val="20"/>
          <w:szCs w:val="20"/>
          <w:color w:val="auto"/>
        </w:rPr>
      </w:pPr>
      <w:r>
        <w:rPr>
          <w:rFonts w:ascii="Arial" w:cs="Arial" w:eastAsia="Arial" w:hAnsi="Arial"/>
          <w:sz w:val="12"/>
          <w:szCs w:val="12"/>
          <w:color w:val="auto"/>
        </w:rPr>
        <w:t>The Company uses a non-GAAP financial measure which excludes the results of its European fruit business disposed of in 2005 for preparing financial targets, internal budgets and operating plans, evaluating actual performance against targets and budget, assessing historical performance over reporting periods, and assessing operating performance against other companies. A material limitation is that 2005 results under GAAP in fact reflect the fruit business results. Management compensates for such limitation by clarifying that this measure is only one operating metric used for internal financial analysis and planning purposes and should not be considered in isolation, and by providing the corresponding GAAP financial measure.</w:t>
      </w:r>
    </w:p>
    <w:p>
      <w:pPr>
        <w:spacing w:after="0" w:line="48" w:lineRule="exact"/>
        <w:rPr>
          <w:sz w:val="20"/>
          <w:szCs w:val="20"/>
          <w:color w:val="auto"/>
        </w:rPr>
      </w:pPr>
    </w:p>
    <w:p>
      <w:pPr>
        <w:ind w:right="4319" w:firstLine="263"/>
        <w:spacing w:after="0" w:line="287" w:lineRule="auto"/>
        <w:rPr>
          <w:sz w:val="20"/>
          <w:szCs w:val="20"/>
          <w:color w:val="auto"/>
        </w:rPr>
      </w:pPr>
      <w:r>
        <w:rPr>
          <w:rFonts w:ascii="Arial" w:cs="Arial" w:eastAsia="Arial" w:hAnsi="Arial"/>
          <w:sz w:val="12"/>
          <w:szCs w:val="12"/>
          <w:color w:val="auto"/>
        </w:rPr>
        <w:t>The Company uses the non-GAAP financial measure which excludes the effect of the AJCA in evaluating actual performance. Management believes that given the unique nature of this item, including this information, without the impact of repatriation, in the prior year period is more representative of the Company’s performance and may assist investors in evaluating the Company’s period to period financial results and tax rate in a manner consistent with how management evaluates this.</w:t>
      </w:r>
    </w:p>
    <w:p>
      <w:pPr>
        <w:spacing w:after="0" w:line="45" w:lineRule="exact"/>
        <w:rPr>
          <w:sz w:val="20"/>
          <w:szCs w:val="20"/>
          <w:color w:val="auto"/>
        </w:rPr>
      </w:pPr>
    </w:p>
    <w:p>
      <w:pPr>
        <w:ind w:right="4339" w:firstLine="263"/>
        <w:spacing w:after="0" w:line="260" w:lineRule="auto"/>
        <w:rPr>
          <w:sz w:val="20"/>
          <w:szCs w:val="20"/>
          <w:color w:val="auto"/>
        </w:rPr>
      </w:pPr>
      <w:r>
        <w:rPr>
          <w:rFonts w:ascii="Arial" w:cs="Arial" w:eastAsia="Arial" w:hAnsi="Arial"/>
          <w:sz w:val="13"/>
          <w:szCs w:val="13"/>
          <w:color w:val="auto"/>
        </w:rPr>
        <w:t>The Company also discloses, and management internally monitors, the sales performance of international operations on a basis that eliminates the positive or negative effects that result from translating foreign currency sales into U.S. dollars. Management uses this constant dollar measure because it believes that it enhances the assessment of the sales performance of its international operations and the comparability between reporting periods.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Under the Private Securities Litigation Reform Act of 1995</w:t>
      </w:r>
    </w:p>
    <w:p>
      <w:pPr>
        <w:spacing w:after="0" w:line="92" w:lineRule="exact"/>
        <w:rPr>
          <w:sz w:val="20"/>
          <w:szCs w:val="20"/>
          <w:color w:val="auto"/>
        </w:rPr>
      </w:pPr>
    </w:p>
    <w:p>
      <w:pPr>
        <w:ind w:right="4239" w:firstLine="263"/>
        <w:spacing w:after="0" w:line="279" w:lineRule="auto"/>
        <w:rPr>
          <w:sz w:val="20"/>
          <w:szCs w:val="20"/>
          <w:color w:val="auto"/>
        </w:rPr>
      </w:pPr>
      <w:r>
        <w:rPr>
          <w:rFonts w:ascii="Arial" w:cs="Arial" w:eastAsia="Arial" w:hAnsi="Arial"/>
          <w:sz w:val="12"/>
          <w:szCs w:val="12"/>
          <w:color w:val="auto"/>
        </w:rPr>
        <w:t>Statements in this Annual Report, which are not historical facts or information, are ‘‘forward-looking statements’’ within the meaning of The Private Securities Litigation Reform Act of 1995. Such forward-looking statements which may be identified by such words as ‘‘expect,’’ ‘‘believe,’’ ‘‘anticipate,’’ ‘‘outlook,’’ ‘‘may,’’ and similar terms or variations thereof. Such forward-looking statements, involve significant risks and uncertainties. Actual results may differ materially from any future results or conditions expressed or implied by such forward-looking statements. Actual results may differ materially from management’s expectations. Such factors include, among others, the following: general economic and business conditions in the Company’s markets, including economic, population health and political uncertainties; weather; geopolitical and region specific uncertainties; interest rates; the price quality and availability of raw materials; the Company’s ability to implement its business strategy, including the achievement of anticipated cost savings, profitability and growth targets; the impact of currency fluctuation or devaluation in the Company’s principal foreign markets and the success of the Company’s hedging and risk management strategies; the impact of possible</w:t>
      </w:r>
    </w:p>
    <w:p>
      <w:pPr>
        <w:spacing w:after="0" w:line="181"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299"/>
        <w:spacing w:after="0" w:line="310" w:lineRule="auto"/>
        <w:rPr>
          <w:sz w:val="20"/>
          <w:szCs w:val="20"/>
          <w:color w:val="auto"/>
        </w:rPr>
      </w:pPr>
      <w:r>
        <w:rPr>
          <w:rFonts w:ascii="Arial" w:cs="Arial" w:eastAsia="Arial" w:hAnsi="Arial"/>
          <w:sz w:val="11"/>
          <w:szCs w:val="11"/>
          <w:color w:val="auto"/>
        </w:rPr>
        <w:t>pension funding obligations and increased pension expense on the Company’s cash flow and results of operations; the effect of legal and regulatory proceedings, as well as restrictions imposed on the Company, its operations or its representatives by foreign governments; and the fact that the outcome of litigation is highly uncertain and unpredictable and there can be no assurance that the triers of fact or law, at either the trial level or at any appellate level, will accept the factual assertions, factual defenses or legal positions of the Company or its factual or expert witnesses in any such litigation or other proceedings. The Company intends its forward-looking statements to speak only as of the time of this report and does not undertake to update or revise any such statements as more information becomes available or to reflect changes in expectations, assumptions or results.</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7A.</w:t>
        <w:tab/>
        <w:t>QUANTITATIVE AND QUALITATIVE DISCLOSURES ABOUT MARKET RISK.</w:t>
      </w:r>
    </w:p>
    <w:p>
      <w:pPr>
        <w:sectPr>
          <w:pgSz w:w="11900" w:h="16838" w:orient="portrait"/>
          <w:cols w:equalWidth="0" w:num="1">
            <w:col w:w="10239"/>
          </w:cols>
          <w:pgMar w:left="220" w:top="131" w:right="1440" w:bottom="0" w:gutter="0" w:footer="0" w:header="0"/>
        </w:sectPr>
      </w:pPr>
    </w:p>
    <w:bookmarkStart w:id="18" w:name="page19"/>
    <w:bookmarkEnd w:id="18"/>
    <w:p>
      <w:pPr>
        <w:ind w:right="4259" w:firstLine="263"/>
        <w:spacing w:after="0" w:line="260" w:lineRule="auto"/>
        <w:rPr>
          <w:sz w:val="20"/>
          <w:szCs w:val="20"/>
          <w:color w:val="auto"/>
        </w:rPr>
      </w:pPr>
      <w:r>
        <w:rPr>
          <w:rFonts w:ascii="Arial" w:cs="Arial" w:eastAsia="Arial" w:hAnsi="Arial"/>
          <w:sz w:val="13"/>
          <w:szCs w:val="13"/>
          <w:color w:val="auto"/>
        </w:rPr>
        <w:t>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six months.</w:t>
      </w:r>
    </w:p>
    <w:p>
      <w:pPr>
        <w:spacing w:after="0" w:line="60" w:lineRule="exact"/>
        <w:rPr>
          <w:sz w:val="20"/>
          <w:szCs w:val="20"/>
          <w:color w:val="auto"/>
        </w:rPr>
      </w:pPr>
    </w:p>
    <w:p>
      <w:pPr>
        <w:ind w:right="4279" w:firstLine="263"/>
        <w:spacing w:after="0" w:line="284" w:lineRule="auto"/>
        <w:rPr>
          <w:sz w:val="20"/>
          <w:szCs w:val="20"/>
          <w:color w:val="auto"/>
        </w:rPr>
      </w:pPr>
      <w:r>
        <w:rPr>
          <w:rFonts w:ascii="Arial" w:cs="Arial" w:eastAsia="Arial" w:hAnsi="Arial"/>
          <w:sz w:val="12"/>
          <w:szCs w:val="12"/>
          <w:color w:val="auto"/>
        </w:rPr>
        <w:t>The Company also uses derivative financial instruments to hedge foreign currency exposures resulting from forecasted purchase commitments. The Company enters into these hedge contracts generally for periods ranging from one to three months. The gain or loss on the hedging instrument is recorded in earnings at the same time as the transaction being hedged is recorded in earnings. The associated asset or liability related to the open hedge instrument is recorded in Current Assets or Current Liabilities, as applicable. The Company does not enter into derivative financial instruments for trading or speculative purposes.</w:t>
      </w:r>
    </w:p>
    <w:p>
      <w:pPr>
        <w:spacing w:after="0" w:line="49" w:lineRule="exact"/>
        <w:rPr>
          <w:sz w:val="20"/>
          <w:szCs w:val="20"/>
          <w:color w:val="auto"/>
        </w:rPr>
      </w:pPr>
    </w:p>
    <w:p>
      <w:pPr>
        <w:ind w:right="4239" w:firstLine="263"/>
        <w:spacing w:after="0" w:line="262" w:lineRule="auto"/>
        <w:rPr>
          <w:sz w:val="20"/>
          <w:szCs w:val="20"/>
          <w:color w:val="auto"/>
        </w:rPr>
      </w:pPr>
      <w:r>
        <w:rPr>
          <w:rFonts w:ascii="Arial" w:cs="Arial" w:eastAsia="Arial" w:hAnsi="Arial"/>
          <w:sz w:val="13"/>
          <w:szCs w:val="13"/>
          <w:color w:val="auto"/>
        </w:rPr>
        <w:t>The Company has executed a 10-year Yen – U.S. dollar currency swap related to the monthly sale and purchase of products between the U.S. and Japan. The annual notional value of this swap is $5 million. Gains and losses related to this swap are recorded currently, and the mark-to-market adjustment related to the value of the swap is reflected as a component of AOCI.</w:t>
      </w:r>
    </w:p>
    <w:p>
      <w:pPr>
        <w:spacing w:after="0" w:line="59" w:lineRule="exact"/>
        <w:rPr>
          <w:sz w:val="20"/>
          <w:szCs w:val="20"/>
          <w:color w:val="auto"/>
        </w:rPr>
      </w:pPr>
    </w:p>
    <w:p>
      <w:pPr>
        <w:ind w:right="4239" w:firstLine="263"/>
        <w:spacing w:after="0" w:line="283" w:lineRule="auto"/>
        <w:rPr>
          <w:sz w:val="20"/>
          <w:szCs w:val="20"/>
          <w:color w:val="auto"/>
        </w:rPr>
      </w:pPr>
      <w:r>
        <w:rPr>
          <w:rFonts w:ascii="Arial" w:cs="Arial" w:eastAsia="Arial" w:hAnsi="Arial"/>
          <w:sz w:val="12"/>
          <w:szCs w:val="12"/>
          <w:color w:val="auto"/>
        </w:rPr>
        <w:t>In 2002, the Company entered into certain interest rate swap agreements effectively converting the fixed rate on its long-term Japanese Yen borrowings to a variable short-term rate based on the Japanese Yen LIBOR rate plus an interest markup. These swaps are designated as qualified fair value hedges. The net gains have been deferred, are classified as a separate component of debt and are being amortized over the remaining term of the debt. To the extent the Company has not received cash or otherwise amended or settled any swap agreements, any applicable mark-to-market adjustment relating to that swap is included as a separate component of debt. The Company had no ineffective interest rate swaps at December 31, 2006.</w:t>
      </w:r>
    </w:p>
    <w:p>
      <w:pPr>
        <w:spacing w:after="0" w:line="48" w:lineRule="exact"/>
        <w:rPr>
          <w:sz w:val="20"/>
          <w:szCs w:val="20"/>
          <w:color w:val="auto"/>
        </w:rPr>
      </w:pPr>
    </w:p>
    <w:p>
      <w:pPr>
        <w:ind w:right="4239" w:firstLine="263"/>
        <w:spacing w:after="0" w:line="308" w:lineRule="auto"/>
        <w:rPr>
          <w:sz w:val="20"/>
          <w:szCs w:val="20"/>
          <w:color w:val="auto"/>
        </w:rPr>
      </w:pPr>
      <w:r>
        <w:rPr>
          <w:rFonts w:ascii="Arial" w:cs="Arial" w:eastAsia="Arial" w:hAnsi="Arial"/>
          <w:sz w:val="11"/>
          <w:szCs w:val="11"/>
          <w:color w:val="auto"/>
        </w:rPr>
        <w:t>In January 2006, the Company entered into a $300 million Cross Currency Interest Rate Swap transaction to hedge a portion of its consolidated Euro net investment. The derivative was structured as a swap of floating USD LIBOR to floating EURIBOR, with both floating interest rates reset and paid semi-annually, ensuring that the terms of the swap match identically. Because the derivative is structured as a floating to floating swap, the only value, other than that derived from changes in the foreign exchange (FX) spot rate, are interest rate accruals which are reset semi-annually. These accruals are netted and booked in current earnings. Mark-to-market changes due to differences in the underlying FX rate are recorded in AOCI and provide an offset to the cumulative translation adjustment of the underlying Euro assets being hedged, which are also being valued based on changes in the FX spot rate. Effectiveness is assessed quarterly. At maturity, or if the swap is terminated early, any gain or loss will not be recorded to earnings, but will be recorded to AOCI until the Euro net investment is divested.</w:t>
      </w:r>
    </w:p>
    <w:p>
      <w:pPr>
        <w:spacing w:after="0" w:line="38" w:lineRule="exact"/>
        <w:rPr>
          <w:sz w:val="20"/>
          <w:szCs w:val="20"/>
          <w:color w:val="auto"/>
        </w:rPr>
      </w:pPr>
    </w:p>
    <w:p>
      <w:pPr>
        <w:ind w:right="4259" w:firstLine="263"/>
        <w:spacing w:after="0" w:line="266" w:lineRule="auto"/>
        <w:rPr>
          <w:sz w:val="20"/>
          <w:szCs w:val="20"/>
          <w:color w:val="auto"/>
        </w:rPr>
      </w:pPr>
      <w:r>
        <w:rPr>
          <w:rFonts w:ascii="Arial" w:cs="Arial" w:eastAsia="Arial" w:hAnsi="Arial"/>
          <w:sz w:val="13"/>
          <w:szCs w:val="13"/>
          <w:color w:val="auto"/>
        </w:rPr>
        <w:t>The Company uses foreign currency-rate and interest rate-sensitive instruments to hedge a certain portion of its existing and forecasted transactions. The Company expects that any change in value for the hedging instrument would be offset by a change in value related to the underlying transaction.</w:t>
      </w:r>
    </w:p>
    <w:p>
      <w:pPr>
        <w:spacing w:after="0" w:line="57" w:lineRule="exact"/>
        <w:rPr>
          <w:sz w:val="20"/>
          <w:szCs w:val="20"/>
          <w:color w:val="auto"/>
        </w:rPr>
      </w:pPr>
    </w:p>
    <w:p>
      <w:pPr>
        <w:ind w:right="4439" w:firstLine="263"/>
        <w:spacing w:after="0" w:line="322" w:lineRule="auto"/>
        <w:rPr>
          <w:sz w:val="20"/>
          <w:szCs w:val="20"/>
          <w:color w:val="auto"/>
        </w:rPr>
      </w:pPr>
      <w:r>
        <w:rPr>
          <w:rFonts w:ascii="Arial" w:cs="Arial" w:eastAsia="Arial" w:hAnsi="Arial"/>
          <w:sz w:val="12"/>
          <w:szCs w:val="12"/>
          <w:color w:val="auto"/>
        </w:rPr>
        <w:t>The Company’s hedges of its foreign currency exposure are not designed to and therefore cannot entirely eliminate the effect of changes in foreign exchange rates on the Company’s consolidated</w:t>
      </w:r>
    </w:p>
    <w:p>
      <w:pPr>
        <w:spacing w:after="0" w:line="15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259"/>
        <w:spacing w:after="0" w:line="283" w:lineRule="auto"/>
        <w:rPr>
          <w:sz w:val="20"/>
          <w:szCs w:val="20"/>
          <w:color w:val="auto"/>
        </w:rPr>
      </w:pPr>
      <w:r>
        <w:rPr>
          <w:rFonts w:ascii="Arial" w:cs="Arial" w:eastAsia="Arial" w:hAnsi="Arial"/>
          <w:sz w:val="12"/>
          <w:szCs w:val="12"/>
          <w:color w:val="auto"/>
        </w:rPr>
        <w:t>financial position, results of operations and cash flows. The Company’s foreign currency swaps were analyzed at year-end to determine their sensitivity to exchange rate changes. Based on the outstanding balance of the Company’s net investment hedge at December 31, 2006, a hypothetical 10% change (either an increase or a decrease) in rates denominating this hedge, would not represent a material potential change in earnings. Based on the outstanding balance of the other financial instruments at December 31, 2006, a hypothetical 10% change (either an increase or a decrease) in FX rates prevailing at that date, sustained for up to a year, would not represent a material potential change in fair value, earnings or cash flows.</w:t>
      </w:r>
    </w:p>
    <w:p>
      <w:pPr>
        <w:spacing w:after="0" w:line="48" w:lineRule="exact"/>
        <w:rPr>
          <w:sz w:val="20"/>
          <w:szCs w:val="20"/>
          <w:color w:val="auto"/>
        </w:rPr>
      </w:pPr>
    </w:p>
    <w:p>
      <w:pPr>
        <w:ind w:right="4239" w:firstLine="263"/>
        <w:spacing w:after="0" w:line="284" w:lineRule="auto"/>
        <w:rPr>
          <w:sz w:val="20"/>
          <w:szCs w:val="20"/>
          <w:color w:val="auto"/>
        </w:rPr>
      </w:pPr>
      <w:r>
        <w:rPr>
          <w:rFonts w:ascii="Arial" w:cs="Arial" w:eastAsia="Arial" w:hAnsi="Arial"/>
          <w:sz w:val="12"/>
          <w:szCs w:val="12"/>
          <w:color w:val="auto"/>
        </w:rPr>
        <w:t>At December 31, 2006, the Company had $807 million of debt outstanding including $375 million of Senior Notes, $304 million in bank and other borrowings and $128 million in long-term Japanese Yen denominated debt. Borrowings and interest rate swaps were analyzed at year-end to determine their sensitivity to interest rate changes. Based on the outstanding balance of all these financial instruments at December 31, 2006, a hypothetical 10% change (either an increase or a decrease) in interest rates prevailing at that date, sustained for one year, would not represent a material potential change in fair value, earnings or cash flows.</w:t>
      </w:r>
    </w:p>
    <w:p>
      <w:pPr>
        <w:spacing w:after="0" w:line="124"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8.</w:t>
        <w:tab/>
        <w:t>FINANCIAL STATEMENTS AND SUPPLEMENTARY DATA.</w:t>
      </w:r>
    </w:p>
    <w:p>
      <w:pPr>
        <w:spacing w:after="0" w:line="92" w:lineRule="exact"/>
        <w:rPr>
          <w:sz w:val="20"/>
          <w:szCs w:val="20"/>
          <w:color w:val="auto"/>
        </w:rPr>
      </w:pPr>
    </w:p>
    <w:p>
      <w:pPr>
        <w:ind w:right="4379" w:firstLine="263"/>
        <w:spacing w:after="0" w:line="279" w:lineRule="auto"/>
        <w:rPr>
          <w:sz w:val="20"/>
          <w:szCs w:val="20"/>
          <w:color w:val="auto"/>
        </w:rPr>
      </w:pPr>
      <w:r>
        <w:rPr>
          <w:rFonts w:ascii="Arial" w:cs="Arial" w:eastAsia="Arial" w:hAnsi="Arial"/>
          <w:sz w:val="13"/>
          <w:szCs w:val="13"/>
          <w:color w:val="auto"/>
        </w:rPr>
        <w:t>See index to Consolidated Financial Statements on page 39. See Item 6 for supplemental quarterly data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3" w:lineRule="exact"/>
        <w:rPr>
          <w:sz w:val="20"/>
          <w:szCs w:val="20"/>
          <w:color w:val="auto"/>
        </w:rPr>
      </w:pPr>
    </w:p>
    <w:p>
      <w:pPr>
        <w:ind w:left="660" w:right="4319" w:hanging="651"/>
        <w:spacing w:after="0" w:line="285" w:lineRule="auto"/>
        <w:tabs>
          <w:tab w:leader="none" w:pos="640" w:val="left"/>
        </w:tabs>
        <w:rPr>
          <w:sz w:val="20"/>
          <w:szCs w:val="20"/>
          <w:color w:val="auto"/>
        </w:rPr>
      </w:pPr>
      <w:r>
        <w:rPr>
          <w:rFonts w:ascii="Arial" w:cs="Arial" w:eastAsia="Arial" w:hAnsi="Arial"/>
          <w:sz w:val="13"/>
          <w:szCs w:val="13"/>
          <w:b w:val="1"/>
          <w:bCs w:val="1"/>
          <w:color w:val="auto"/>
        </w:rPr>
        <w:t>ITEM 9.</w:t>
        <w:tab/>
        <w:t>CHANGES IN AND DISAGREEMENTS WITH ACCOUNTANTS ON ACCOUNTING AND FINANCIAL DISCLOSURE.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163"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9A.</w:t>
        <w:tab/>
        <w:t>CONTROLS AND PROCEDURES.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Evaluation of Disclosure Controls and Procedures and Changes in Internal Control over Financial Reporting.</w:t>
      </w:r>
    </w:p>
    <w:p>
      <w:pPr>
        <w:spacing w:after="0" w:line="89" w:lineRule="exact"/>
        <w:rPr>
          <w:sz w:val="20"/>
          <w:szCs w:val="20"/>
          <w:color w:val="auto"/>
        </w:rPr>
      </w:pPr>
    </w:p>
    <w:p>
      <w:pPr>
        <w:ind w:right="4319" w:firstLine="263"/>
        <w:spacing w:after="0" w:line="287" w:lineRule="auto"/>
        <w:rPr>
          <w:sz w:val="20"/>
          <w:szCs w:val="20"/>
          <w:color w:val="auto"/>
        </w:rPr>
      </w:pPr>
      <w:r>
        <w:rPr>
          <w:rFonts w:ascii="Arial" w:cs="Arial" w:eastAsia="Arial" w:hAnsi="Arial"/>
          <w:sz w:val="12"/>
          <w:szCs w:val="12"/>
          <w:color w:val="auto"/>
        </w:rPr>
        <w:t>The Company’s Chief Executive Officer and Chief Financial Officer, with the assistance of other members of management, have evaluated the effectiveness of the Company’s disclosure controls and procedures as of the end of the period covered by this Annual Report on Form 10-K. Based on such evaluation, the Company’s Chief Executive Officer and Chief Financial Officer have concluded that the Company’s disclosure controls and procedures are effective as of the end of the period covered by this Annual Report on Form 10-K.</w:t>
      </w:r>
    </w:p>
    <w:p>
      <w:pPr>
        <w:spacing w:after="0" w:line="45" w:lineRule="exact"/>
        <w:rPr>
          <w:sz w:val="20"/>
          <w:szCs w:val="20"/>
          <w:color w:val="auto"/>
        </w:rPr>
      </w:pPr>
    </w:p>
    <w:p>
      <w:pPr>
        <w:ind w:right="4259" w:firstLine="263"/>
        <w:spacing w:after="0" w:line="262" w:lineRule="auto"/>
        <w:rPr>
          <w:sz w:val="20"/>
          <w:szCs w:val="20"/>
          <w:color w:val="auto"/>
        </w:rPr>
      </w:pPr>
      <w:r>
        <w:rPr>
          <w:rFonts w:ascii="Arial" w:cs="Arial" w:eastAsia="Arial" w:hAnsi="Arial"/>
          <w:sz w:val="13"/>
          <w:szCs w:val="13"/>
          <w:color w:val="auto"/>
        </w:rPr>
        <w:t>The Company’s Chief Executive Officer and Chief Financial Officer have concluded that there have not been any changes in the Company’s internal control over financial reporting during the Company’s fourth quarter that have materially affected, or are reasonably likely to materially affect, the Company’s internal control over financial reporting.</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Management’s Report on Internal Control Over Financial Reporting.</w:t>
      </w:r>
    </w:p>
    <w:p>
      <w:pPr>
        <w:spacing w:after="0" w:line="78" w:lineRule="exact"/>
        <w:rPr>
          <w:sz w:val="20"/>
          <w:szCs w:val="20"/>
          <w:color w:val="auto"/>
        </w:rPr>
      </w:pPr>
    </w:p>
    <w:p>
      <w:pPr>
        <w:ind w:right="4279" w:firstLine="263"/>
        <w:spacing w:after="0" w:line="260"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as defined in Rules 13a-15(f) and 15d-15(f) under the Securities Exchange Act of 1934.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60" w:lineRule="exact"/>
        <w:rPr>
          <w:sz w:val="20"/>
          <w:szCs w:val="20"/>
          <w:color w:val="auto"/>
        </w:rPr>
      </w:pPr>
    </w:p>
    <w:p>
      <w:pPr>
        <w:ind w:right="4419" w:firstLine="263"/>
        <w:spacing w:after="0" w:line="26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4259" w:firstLine="263"/>
        <w:spacing w:after="0" w:line="299" w:lineRule="auto"/>
        <w:rPr>
          <w:sz w:val="20"/>
          <w:szCs w:val="20"/>
          <w:color w:val="auto"/>
        </w:rPr>
      </w:pPr>
      <w:r>
        <w:rPr>
          <w:rFonts w:ascii="Arial" w:cs="Arial" w:eastAsia="Arial" w:hAnsi="Arial"/>
          <w:sz w:val="12"/>
          <w:szCs w:val="12"/>
          <w:color w:val="auto"/>
        </w:rPr>
        <w:t xml:space="preserve">Management assessed the effectiveness of the Company’s internal control over financial reporting as of December 31, 2006.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w:t>
      </w:r>
    </w:p>
    <w:p>
      <w:pPr>
        <w:sectPr>
          <w:pgSz w:w="11900" w:h="16838" w:orient="portrait"/>
          <w:cols w:equalWidth="0" w:num="1">
            <w:col w:w="10239"/>
          </w:cols>
          <w:pgMar w:left="220" w:top="210" w:right="1440" w:bottom="155" w:gutter="0" w:footer="0" w:header="0"/>
        </w:sectPr>
      </w:pPr>
    </w:p>
    <w:p>
      <w:pPr>
        <w:spacing w:after="0" w:line="167"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250825</wp:posOffset>
            </wp:positionV>
            <wp:extent cx="4809490"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ectPr>
          <w:pgSz w:w="11900" w:h="16838" w:orient="portrait"/>
          <w:cols w:equalWidth="0" w:num="1">
            <w:col w:w="10239"/>
          </w:cols>
          <w:pgMar w:left="220" w:top="210" w:right="1440" w:bottom="155" w:gutter="0" w:footer="0" w:header="0"/>
          <w:type w:val="continuous"/>
        </w:sectPr>
      </w:pPr>
    </w:p>
    <w:bookmarkStart w:id="19" w:name="page20"/>
    <w:bookmarkEnd w:id="19"/>
    <w:p>
      <w:pPr>
        <w:spacing w:after="0" w:line="22" w:lineRule="exact"/>
        <w:rPr>
          <w:sz w:val="20"/>
          <w:szCs w:val="20"/>
          <w:color w:val="auto"/>
        </w:rPr>
      </w:pPr>
    </w:p>
    <w:p>
      <w:pPr>
        <w:ind w:right="4379" w:firstLine="263"/>
        <w:spacing w:after="0" w:line="279" w:lineRule="auto"/>
        <w:rPr>
          <w:sz w:val="20"/>
          <w:szCs w:val="20"/>
          <w:color w:val="auto"/>
        </w:rPr>
      </w:pPr>
      <w:r>
        <w:rPr>
          <w:rFonts w:ascii="Arial" w:cs="Arial" w:eastAsia="Arial" w:hAnsi="Arial"/>
          <w:sz w:val="13"/>
          <w:szCs w:val="13"/>
          <w:color w:val="auto"/>
        </w:rPr>
        <w:t>Based on this assessment, management determined that, as of December 31, 2006, the Company’s internal control over financial reporting was effective.</w:t>
      </w:r>
    </w:p>
    <w:p>
      <w:pPr>
        <w:spacing w:after="0" w:line="48" w:lineRule="exact"/>
        <w:rPr>
          <w:sz w:val="20"/>
          <w:szCs w:val="20"/>
          <w:color w:val="auto"/>
        </w:rPr>
      </w:pPr>
    </w:p>
    <w:p>
      <w:pPr>
        <w:jc w:val="both"/>
        <w:ind w:right="4419" w:firstLine="263"/>
        <w:spacing w:after="0" w:line="266" w:lineRule="auto"/>
        <w:rPr>
          <w:sz w:val="20"/>
          <w:szCs w:val="20"/>
          <w:color w:val="auto"/>
        </w:rPr>
      </w:pPr>
      <w:r>
        <w:rPr>
          <w:rFonts w:ascii="Arial" w:cs="Arial" w:eastAsia="Arial" w:hAnsi="Arial"/>
          <w:sz w:val="13"/>
          <w:szCs w:val="13"/>
          <w:color w:val="auto"/>
        </w:rPr>
        <w:t>PricewaterhouseCoopers LLP, the Company’s independent registered public accounting firm, has audited management’s assessment of the effectiveness of the Company’s internal control over financial reporting as of December 31, 2006 as stated in their report which is included herein.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3"/>
          <w:szCs w:val="13"/>
          <w:i w:val="1"/>
          <w:iCs w:val="1"/>
          <w:color w:val="auto"/>
        </w:rPr>
        <w:t>Certifications to NYSE and SEC.</w:t>
      </w:r>
    </w:p>
    <w:p>
      <w:pPr>
        <w:spacing w:after="0" w:line="78" w:lineRule="exact"/>
        <w:rPr>
          <w:sz w:val="20"/>
          <w:szCs w:val="20"/>
          <w:color w:val="auto"/>
        </w:rPr>
      </w:pPr>
    </w:p>
    <w:p>
      <w:pPr>
        <w:ind w:right="4299" w:firstLine="263"/>
        <w:spacing w:after="0" w:line="262" w:lineRule="auto"/>
        <w:rPr>
          <w:sz w:val="20"/>
          <w:szCs w:val="20"/>
          <w:color w:val="auto"/>
        </w:rPr>
      </w:pPr>
      <w:r>
        <w:rPr>
          <w:rFonts w:ascii="Arial" w:cs="Arial" w:eastAsia="Arial" w:hAnsi="Arial"/>
          <w:sz w:val="13"/>
          <w:szCs w:val="13"/>
          <w:color w:val="auto"/>
        </w:rPr>
        <w:t>The Company’s Chief Executive Officer certification was timely filed with the NYSE as required by NYSE Rule 303A(12). The Company’s Chief Executive Officer and Chief Financial Officer have each filed with the Securities and Exchange Commission the required certifications regarding the quality of the Company’s public disclosures.</w:t>
      </w:r>
    </w:p>
    <w:p>
      <w:pPr>
        <w:spacing w:after="0" w:line="134"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9B.</w:t>
        <w:tab/>
        <w:t>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21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PART III</w:t>
      </w:r>
    </w:p>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10.</w:t>
        <w:tab/>
        <w:t>DIRECTORS, EXECUTIVE OFFICERS AND CORPORATE GOVERANCE.</w:t>
      </w:r>
    </w:p>
    <w:p>
      <w:pPr>
        <w:spacing w:after="0" w:line="92" w:lineRule="exact"/>
        <w:rPr>
          <w:sz w:val="20"/>
          <w:szCs w:val="20"/>
          <w:color w:val="auto"/>
        </w:rPr>
      </w:pPr>
    </w:p>
    <w:p>
      <w:pPr>
        <w:ind w:right="4319" w:firstLine="263"/>
        <w:spacing w:after="0" w:line="260" w:lineRule="auto"/>
        <w:rPr>
          <w:sz w:val="20"/>
          <w:szCs w:val="20"/>
          <w:color w:val="auto"/>
        </w:rPr>
      </w:pPr>
      <w:r>
        <w:rPr>
          <w:rFonts w:ascii="Arial" w:cs="Arial" w:eastAsia="Arial" w:hAnsi="Arial"/>
          <w:sz w:val="13"/>
          <w:szCs w:val="13"/>
          <w:color w:val="auto"/>
        </w:rPr>
        <w:t>The information relating to directors and nominees of the Company is set forth under the caption ‘‘Election of Directors’’ in the Company’s 2007 Proxy Statement and is incorporated by reference herein. The information under the caption ‘‘Section 16(a) Beneficial Ownership Reporting Compliance’’ that appears in the Company’s 2007 Proxy Statement is also incorporated by reference herein. See Part I, Item 1 of this Form 10-K for information relating to the Company’s Executive Officers.</w:t>
      </w:r>
    </w:p>
    <w:p>
      <w:pPr>
        <w:spacing w:after="0" w:line="60" w:lineRule="exact"/>
        <w:rPr>
          <w:sz w:val="20"/>
          <w:szCs w:val="20"/>
          <w:color w:val="auto"/>
        </w:rPr>
      </w:pPr>
    </w:p>
    <w:p>
      <w:pPr>
        <w:ind w:right="4239" w:firstLine="263"/>
        <w:spacing w:after="0" w:line="281" w:lineRule="auto"/>
        <w:rPr>
          <w:sz w:val="20"/>
          <w:szCs w:val="20"/>
          <w:color w:val="auto"/>
        </w:rPr>
      </w:pPr>
      <w:r>
        <w:rPr>
          <w:rFonts w:ascii="Arial" w:cs="Arial" w:eastAsia="Arial" w:hAnsi="Arial"/>
          <w:sz w:val="12"/>
          <w:szCs w:val="12"/>
          <w:color w:val="auto"/>
        </w:rPr>
        <w:t xml:space="preserve">The Company has adopted a Code of Business Conduct and Ethics (the ‘‘Code of Ethics’’) that applies to the Company’s chief executive officer, principal financial officer, principal accounting officer, and to all other Company directors, officers and employees. The Code of Ethics is available at the Investor Relations section on the Company’s website </w:t>
      </w:r>
      <w:r>
        <w:rPr>
          <w:rFonts w:ascii="Arial" w:cs="Arial" w:eastAsia="Arial" w:hAnsi="Arial"/>
          <w:sz w:val="12"/>
          <w:szCs w:val="12"/>
          <w:i w:val="1"/>
          <w:iCs w:val="1"/>
          <w:color w:val="auto"/>
        </w:rPr>
        <w:t>www.iff.com</w:t>
      </w:r>
      <w:r>
        <w:rPr>
          <w:rFonts w:ascii="Arial" w:cs="Arial" w:eastAsia="Arial" w:hAnsi="Arial"/>
          <w:sz w:val="12"/>
          <w:szCs w:val="12"/>
          <w:color w:val="auto"/>
        </w:rPr>
        <w:t xml:space="preserve">. A waiver from any provision of the Code of Ethics in favor of a director or Executive Officer may only be granted by the Board and any such waiver will be publicly disclosed. The Company will disclose substantive amendments to, and any waivers from, the Code of Ethics provided to the Company’s chief executive officer, principal financial officer or principal accounting officer, as well as any other executive officer or director, on the Company’s Internet website: </w:t>
      </w:r>
      <w:r>
        <w:rPr>
          <w:rFonts w:ascii="Arial" w:cs="Arial" w:eastAsia="Arial" w:hAnsi="Arial"/>
          <w:sz w:val="12"/>
          <w:szCs w:val="12"/>
          <w:i w:val="1"/>
          <w:iCs w:val="1"/>
          <w:color w:val="auto"/>
        </w:rPr>
        <w:t>www.iff.com</w:t>
      </w:r>
      <w:r>
        <w:rPr>
          <w:rFonts w:ascii="Arial" w:cs="Arial" w:eastAsia="Arial" w:hAnsi="Arial"/>
          <w:sz w:val="12"/>
          <w:szCs w:val="12"/>
          <w:color w:val="auto"/>
        </w:rPr>
        <w:t>.</w:t>
      </w:r>
    </w:p>
    <w:p>
      <w:pPr>
        <w:spacing w:after="0" w:line="52" w:lineRule="exact"/>
        <w:rPr>
          <w:sz w:val="20"/>
          <w:szCs w:val="20"/>
          <w:color w:val="auto"/>
        </w:rPr>
      </w:pPr>
    </w:p>
    <w:p>
      <w:pPr>
        <w:ind w:right="4439" w:firstLine="263"/>
        <w:spacing w:after="0" w:line="299" w:lineRule="auto"/>
        <w:rPr>
          <w:sz w:val="20"/>
          <w:szCs w:val="20"/>
          <w:color w:val="auto"/>
        </w:rPr>
      </w:pPr>
      <w:r>
        <w:rPr>
          <w:rFonts w:ascii="Arial" w:cs="Arial" w:eastAsia="Arial" w:hAnsi="Arial"/>
          <w:sz w:val="12"/>
          <w:szCs w:val="12"/>
          <w:color w:val="auto"/>
        </w:rPr>
        <w:t>The information regarding the Company’s Audit Committee and its designated audit committee financial expert is set forth under the captions ‘‘Board and Committee Memberships’’ and ‘‘Audit Committee’’ in the Company’s 2007 Proxy Statement and such information is incorporated by reference herein.</w:t>
      </w:r>
    </w:p>
    <w:p>
      <w:pPr>
        <w:spacing w:after="0" w:line="38" w:lineRule="exact"/>
        <w:rPr>
          <w:sz w:val="20"/>
          <w:szCs w:val="20"/>
          <w:color w:val="auto"/>
        </w:rPr>
      </w:pPr>
    </w:p>
    <w:p>
      <w:pPr>
        <w:ind w:right="4259" w:firstLine="263"/>
        <w:spacing w:after="0" w:line="266" w:lineRule="auto"/>
        <w:rPr>
          <w:sz w:val="20"/>
          <w:szCs w:val="20"/>
          <w:color w:val="auto"/>
        </w:rPr>
      </w:pPr>
      <w:r>
        <w:rPr>
          <w:rFonts w:ascii="Arial" w:cs="Arial" w:eastAsia="Arial" w:hAnsi="Arial"/>
          <w:sz w:val="13"/>
          <w:szCs w:val="13"/>
          <w:color w:val="auto"/>
        </w:rPr>
        <w:t>The information concerning procedures by which shareholders may recommend director nominees is set forth under ‘‘Director Candidates’’ in the Company’s 2007 Proxy Statement and such information is incorporated by reference herein.</w:t>
      </w:r>
    </w:p>
    <w:p>
      <w:pPr>
        <w:spacing w:after="0" w:line="132"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11.</w:t>
        <w:tab/>
        <w:t>EXECUTIVE COMPENSATION.</w:t>
      </w:r>
    </w:p>
    <w:p>
      <w:pPr>
        <w:spacing w:after="0" w:line="92" w:lineRule="exact"/>
        <w:rPr>
          <w:sz w:val="20"/>
          <w:szCs w:val="20"/>
          <w:color w:val="auto"/>
        </w:rPr>
      </w:pPr>
    </w:p>
    <w:p>
      <w:pPr>
        <w:ind w:right="4299" w:firstLine="263"/>
        <w:spacing w:after="0" w:line="259" w:lineRule="auto"/>
        <w:rPr>
          <w:sz w:val="20"/>
          <w:szCs w:val="20"/>
          <w:color w:val="auto"/>
        </w:rPr>
      </w:pPr>
      <w:r>
        <w:rPr>
          <w:rFonts w:ascii="Arial" w:cs="Arial" w:eastAsia="Arial" w:hAnsi="Arial"/>
          <w:sz w:val="13"/>
          <w:szCs w:val="13"/>
          <w:color w:val="auto"/>
        </w:rPr>
        <w:t>The information relating to executive compensation is set forth under the captions ‘‘Executive Compensation’’ and ‘‘Directors’ Compensation’’, in the Company’s 2007 Proxy Statement and such information is incorporated by reference herein; except that the information under the caption ‘‘Compensation Committee Report’’ shall be deemed ‘‘furnished’’ with this report and shall not be deemed ‘‘filed’’ with this report, or incorporated by reference into any filing under the Securities Act of 1933 except only as may be expressly set forth in any such filing by specific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952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25" w:lineRule="exact"/>
        <w:rPr>
          <w:sz w:val="20"/>
          <w:szCs w:val="20"/>
          <w:color w:val="auto"/>
        </w:rPr>
      </w:pPr>
    </w:p>
    <w:p>
      <w:pPr>
        <w:ind w:left="660" w:right="4399" w:hanging="651"/>
        <w:spacing w:after="0" w:line="286" w:lineRule="auto"/>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122" w:lineRule="exact"/>
        <w:rPr>
          <w:sz w:val="20"/>
          <w:szCs w:val="20"/>
          <w:color w:val="auto"/>
        </w:rPr>
      </w:pPr>
    </w:p>
    <w:p>
      <w:pPr>
        <w:ind w:right="4299" w:firstLine="263"/>
        <w:spacing w:after="0" w:line="260" w:lineRule="auto"/>
        <w:rPr>
          <w:sz w:val="20"/>
          <w:szCs w:val="20"/>
          <w:color w:val="auto"/>
        </w:rPr>
      </w:pPr>
      <w:r>
        <w:rPr>
          <w:rFonts w:ascii="Arial" w:cs="Arial" w:eastAsia="Arial" w:hAnsi="Arial"/>
          <w:sz w:val="13"/>
          <w:szCs w:val="13"/>
          <w:color w:val="auto"/>
        </w:rPr>
        <w:t>The information relating to security ownership of management and certain beneficial owners is set forth under the caption ‘‘Beneficial Ownership Table’’ in the Company’s 2007 Proxy Statement and such information is incorporated by reference herein. The information relating to the Company’s equity plans is set forth under the caption ‘‘Equity Compensation Plans’’ in the Company’s 2007 Proxy Statement and such information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952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25" w:lineRule="exact"/>
        <w:rPr>
          <w:sz w:val="20"/>
          <w:szCs w:val="20"/>
          <w:color w:val="auto"/>
        </w:rPr>
      </w:pPr>
    </w:p>
    <w:p>
      <w:pPr>
        <w:ind w:left="660" w:right="4739" w:hanging="651"/>
        <w:spacing w:after="0" w:line="286" w:lineRule="auto"/>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122" w:lineRule="exact"/>
        <w:rPr>
          <w:sz w:val="20"/>
          <w:szCs w:val="20"/>
          <w:color w:val="auto"/>
        </w:rPr>
      </w:pPr>
    </w:p>
    <w:p>
      <w:pPr>
        <w:ind w:right="4359" w:firstLine="263"/>
        <w:spacing w:after="0" w:line="266" w:lineRule="auto"/>
        <w:rPr>
          <w:sz w:val="20"/>
          <w:szCs w:val="20"/>
          <w:color w:val="auto"/>
        </w:rPr>
      </w:pPr>
      <w:r>
        <w:rPr>
          <w:rFonts w:ascii="Arial" w:cs="Arial" w:eastAsia="Arial" w:hAnsi="Arial"/>
          <w:sz w:val="13"/>
          <w:szCs w:val="13"/>
          <w:color w:val="auto"/>
        </w:rPr>
        <w:t>The information regarding certain relationships and related party transactions is set forth under the caption ‘‘Independence of Directors and Committee Members and Related Person Matters’’ in the Company’s 2007 Proxy Statement and such information is incorporated by reference herein.</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7952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INDEPENDENT REGISTERED PUBLIC ACCOUNTING FIRM FEES AND SERVICES.</w:t>
      </w:r>
    </w:p>
    <w:p>
      <w:pPr>
        <w:spacing w:after="0" w:line="171" w:lineRule="exact"/>
        <w:rPr>
          <w:sz w:val="20"/>
          <w:szCs w:val="20"/>
          <w:color w:val="auto"/>
        </w:rPr>
      </w:pPr>
    </w:p>
    <w:p>
      <w:pPr>
        <w:ind w:right="4339" w:firstLine="263"/>
        <w:spacing w:after="0" w:line="287" w:lineRule="auto"/>
        <w:rPr>
          <w:sz w:val="20"/>
          <w:szCs w:val="20"/>
          <w:color w:val="auto"/>
        </w:rPr>
      </w:pPr>
      <w:r>
        <w:rPr>
          <w:rFonts w:ascii="Arial" w:cs="Arial" w:eastAsia="Arial" w:hAnsi="Arial"/>
          <w:sz w:val="12"/>
          <w:szCs w:val="12"/>
          <w:color w:val="auto"/>
        </w:rPr>
        <w:t>The information regarding the independent registered public accounting firm (‘‘independent accountant’’) fees and services and the Company’s pre-approval policies and procedures for audit and non-audit services provided by the Company’s independent accountant are set forth under the captions ‘‘Principal Accountant Fees and Services’’ and ‘‘Audit Committee Pre-Approval Policies and Procedures’’ in the Company’s 2007 Proxy Statement and such information is incorporated by reference herein.</w:t>
      </w:r>
    </w:p>
    <w:p>
      <w:pPr>
        <w:spacing w:after="0" w:line="183"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77952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171" w:lineRule="exact"/>
        <w:rPr>
          <w:sz w:val="20"/>
          <w:szCs w:val="20"/>
          <w:color w:val="auto"/>
        </w:rPr>
      </w:pPr>
    </w:p>
    <w:p>
      <w:pPr>
        <w:ind w:right="4419" w:firstLine="263"/>
        <w:spacing w:after="0" w:line="279" w:lineRule="auto"/>
        <w:rPr>
          <w:sz w:val="20"/>
          <w:szCs w:val="20"/>
          <w:color w:val="auto"/>
        </w:rPr>
      </w:pPr>
      <w:r>
        <w:rPr>
          <w:rFonts w:ascii="Arial" w:cs="Arial" w:eastAsia="Arial" w:hAnsi="Arial"/>
          <w:sz w:val="13"/>
          <w:szCs w:val="13"/>
          <w:color w:val="auto"/>
        </w:rPr>
        <w:t>(a)(1) FINANCIAL STATEMENTS. The following consolidated financial statements, related notes and independent registered public accounting firm’s report are included in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773805"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1060" w:type="dxa"/>
            <w:vAlign w:val="bottom"/>
          </w:tcPr>
          <w:p>
            <w:pPr>
              <w:jc w:val="right"/>
              <w:spacing w:after="0"/>
              <w:rPr>
                <w:sz w:val="20"/>
                <w:szCs w:val="20"/>
                <w:color w:val="auto"/>
              </w:rPr>
            </w:pPr>
            <w:r>
              <w:rPr>
                <w:rFonts w:ascii="Arial" w:cs="Arial" w:eastAsia="Arial" w:hAnsi="Arial"/>
                <w:sz w:val="13"/>
                <w:szCs w:val="13"/>
                <w:color w:val="auto"/>
              </w:rPr>
              <w:t>40 - 41</w:t>
            </w:r>
          </w:p>
        </w:tc>
      </w:tr>
      <w:tr>
        <w:trPr>
          <w:trHeight w:val="168"/>
        </w:trPr>
        <w:tc>
          <w:tcPr>
            <w:tcW w:w="4900" w:type="dxa"/>
            <w:vAlign w:val="bottom"/>
          </w:tcPr>
          <w:p>
            <w:pPr>
              <w:spacing w:after="0"/>
              <w:rPr>
                <w:sz w:val="20"/>
                <w:szCs w:val="20"/>
                <w:color w:val="auto"/>
              </w:rPr>
            </w:pPr>
            <w:r>
              <w:rPr>
                <w:rFonts w:ascii="Arial" w:cs="Arial" w:eastAsia="Arial" w:hAnsi="Arial"/>
                <w:sz w:val="13"/>
                <w:szCs w:val="13"/>
                <w:color w:val="auto"/>
              </w:rPr>
              <w:t>Consolidated Statement of Income for the three years ended December 31, 2006</w:t>
            </w:r>
          </w:p>
        </w:tc>
        <w:tc>
          <w:tcPr>
            <w:tcW w:w="1060" w:type="dxa"/>
            <w:vAlign w:val="bottom"/>
          </w:tcPr>
          <w:p>
            <w:pPr>
              <w:jc w:val="right"/>
              <w:spacing w:after="0"/>
              <w:rPr>
                <w:sz w:val="20"/>
                <w:szCs w:val="20"/>
                <w:color w:val="auto"/>
              </w:rPr>
            </w:pPr>
            <w:r>
              <w:rPr>
                <w:rFonts w:ascii="Arial" w:cs="Arial" w:eastAsia="Arial" w:hAnsi="Arial"/>
                <w:sz w:val="13"/>
                <w:szCs w:val="13"/>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-161925</wp:posOffset>
            </wp:positionV>
            <wp:extent cx="635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-161925</wp:posOffset>
            </wp:positionV>
            <wp:extent cx="6350"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-54610</wp:posOffset>
            </wp:positionV>
            <wp:extent cx="6350"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-54610</wp:posOffset>
            </wp:positionV>
            <wp:extent cx="635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6985</wp:posOffset>
            </wp:positionV>
            <wp:extent cx="6350"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6985</wp:posOffset>
            </wp:positionV>
            <wp:extent cx="635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61" w:orient="portrait"/>
          <w:cols w:equalWidth="0" w:num="1">
            <w:col w:w="10239"/>
          </w:cols>
          <w:pgMar w:left="220" w:top="388" w:right="1440"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5"/>
        </w:trPr>
        <w:tc>
          <w:tcPr>
            <w:tcW w:w="5260" w:type="dxa"/>
            <w:vAlign w:val="bottom"/>
          </w:tcPr>
          <w:p>
            <w:pPr>
              <w:spacing w:after="0"/>
              <w:rPr>
                <w:sz w:val="20"/>
                <w:szCs w:val="20"/>
                <w:color w:val="auto"/>
              </w:rPr>
            </w:pPr>
            <w:r>
              <w:rPr>
                <w:rFonts w:ascii="Arial" w:cs="Arial" w:eastAsia="Arial" w:hAnsi="Arial"/>
                <w:sz w:val="13"/>
                <w:szCs w:val="13"/>
                <w:color w:val="auto"/>
              </w:rPr>
              <w:t>Consolidated Balance Sheet as of December 31, 2006 and 2005</w:t>
            </w: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auto"/>
              </w:rPr>
              <w:t>Consolidated Statement of Cash Flows for the three years ended December 31, 2006</w:t>
            </w:r>
          </w:p>
        </w:tc>
        <w:tc>
          <w:tcPr>
            <w:tcW w:w="7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auto"/>
                <w:w w:val="96"/>
              </w:rPr>
              <w:t>Consolidated Statement of Shareholders’ Equity for the three years ended December 31, 2006</w:t>
            </w: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68"/>
        </w:trPr>
        <w:tc>
          <w:tcPr>
            <w:tcW w:w="526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700" w:type="dxa"/>
            <w:vAlign w:val="bottom"/>
          </w:tcPr>
          <w:p>
            <w:pPr>
              <w:jc w:val="right"/>
              <w:spacing w:after="0"/>
              <w:rPr>
                <w:sz w:val="20"/>
                <w:szCs w:val="20"/>
                <w:color w:val="auto"/>
              </w:rPr>
            </w:pPr>
            <w:r>
              <w:rPr>
                <w:rFonts w:ascii="Arial" w:cs="Arial" w:eastAsia="Arial" w:hAnsi="Arial"/>
                <w:sz w:val="13"/>
                <w:szCs w:val="13"/>
                <w:color w:val="auto"/>
              </w:rPr>
              <w:t>46 - 67</w:t>
            </w:r>
          </w:p>
        </w:tc>
      </w:tr>
      <w:tr>
        <w:trPr>
          <w:trHeight w:val="349"/>
        </w:trPr>
        <w:tc>
          <w:tcPr>
            <w:tcW w:w="5960" w:type="dxa"/>
            <w:vAlign w:val="bottom"/>
            <w:gridSpan w:val="2"/>
          </w:tcPr>
          <w:p>
            <w:pPr>
              <w:ind w:left="260"/>
              <w:spacing w:after="0"/>
              <w:rPr>
                <w:sz w:val="20"/>
                <w:szCs w:val="20"/>
                <w:color w:val="auto"/>
              </w:rPr>
            </w:pPr>
            <w:r>
              <w:rPr>
                <w:rFonts w:ascii="Arial" w:cs="Arial" w:eastAsia="Arial" w:hAnsi="Arial"/>
                <w:sz w:val="13"/>
                <w:szCs w:val="13"/>
                <w:color w:val="auto"/>
              </w:rPr>
              <w:t>(a)(2) FINANCIAL STATEMENT SCHEDULE.  The following schedule is included in Part IV of this</w:t>
            </w:r>
          </w:p>
        </w:tc>
      </w:tr>
      <w:tr>
        <w:trPr>
          <w:trHeight w:val="165"/>
        </w:trPr>
        <w:tc>
          <w:tcPr>
            <w:tcW w:w="5260" w:type="dxa"/>
            <w:vAlign w:val="bottom"/>
          </w:tcPr>
          <w:p>
            <w:pPr>
              <w:spacing w:after="0"/>
              <w:rPr>
                <w:sz w:val="20"/>
                <w:szCs w:val="20"/>
                <w:color w:val="auto"/>
              </w:rPr>
            </w:pPr>
            <w:r>
              <w:rPr>
                <w:rFonts w:ascii="Arial" w:cs="Arial" w:eastAsia="Arial" w:hAnsi="Arial"/>
                <w:sz w:val="13"/>
                <w:szCs w:val="13"/>
                <w:color w:val="auto"/>
              </w:rPr>
              <w:t>Annual Report on Form 10-K:</w:t>
            </w:r>
          </w:p>
        </w:tc>
        <w:tc>
          <w:tcPr>
            <w:tcW w:w="700" w:type="dxa"/>
            <w:vAlign w:val="bottom"/>
          </w:tcPr>
          <w:p>
            <w:pPr>
              <w:spacing w:after="0"/>
              <w:rPr>
                <w:sz w:val="14"/>
                <w:szCs w:val="14"/>
                <w:color w:val="auto"/>
              </w:rPr>
            </w:pPr>
          </w:p>
        </w:tc>
      </w:tr>
      <w:tr>
        <w:trPr>
          <w:trHeight w:val="467"/>
        </w:trPr>
        <w:tc>
          <w:tcPr>
            <w:tcW w:w="5260" w:type="dxa"/>
            <w:vAlign w:val="bottom"/>
          </w:tcPr>
          <w:p>
            <w:pPr>
              <w:spacing w:after="0"/>
              <w:rPr>
                <w:sz w:val="20"/>
                <w:szCs w:val="20"/>
                <w:color w:val="auto"/>
              </w:rPr>
            </w:pPr>
            <w:r>
              <w:rPr>
                <w:rFonts w:ascii="Arial" w:cs="Arial" w:eastAsia="Arial" w:hAnsi="Arial"/>
                <w:sz w:val="13"/>
                <w:szCs w:val="13"/>
                <w:color w:val="auto"/>
              </w:rPr>
              <w:t>Schedule II – Valuation and Qualifying Accounts and Reserves for the three years ended</w:t>
            </w:r>
          </w:p>
        </w:tc>
        <w:tc>
          <w:tcPr>
            <w:tcW w:w="700" w:type="dxa"/>
            <w:vAlign w:val="bottom"/>
          </w:tcPr>
          <w:p>
            <w:pPr>
              <w:spacing w:after="0"/>
              <w:rPr>
                <w:sz w:val="24"/>
                <w:szCs w:val="24"/>
                <w:color w:val="auto"/>
              </w:rPr>
            </w:pPr>
          </w:p>
        </w:tc>
      </w:tr>
      <w:tr>
        <w:trPr>
          <w:trHeight w:val="165"/>
        </w:trPr>
        <w:tc>
          <w:tcPr>
            <w:tcW w:w="5260" w:type="dxa"/>
            <w:vAlign w:val="bottom"/>
          </w:tcPr>
          <w:p>
            <w:pPr>
              <w:ind w:left="140"/>
              <w:spacing w:after="0"/>
              <w:rPr>
                <w:sz w:val="20"/>
                <w:szCs w:val="20"/>
                <w:color w:val="auto"/>
              </w:rPr>
            </w:pPr>
            <w:r>
              <w:rPr>
                <w:rFonts w:ascii="Arial" w:cs="Arial" w:eastAsia="Arial" w:hAnsi="Arial"/>
                <w:sz w:val="13"/>
                <w:szCs w:val="13"/>
                <w:color w:val="auto"/>
              </w:rPr>
              <w:t>December 31, 2006</w:t>
            </w:r>
          </w:p>
        </w:tc>
        <w:tc>
          <w:tcPr>
            <w:tcW w:w="700" w:type="dxa"/>
            <w:vAlign w:val="bottom"/>
          </w:tcPr>
          <w:p>
            <w:pPr>
              <w:jc w:val="right"/>
              <w:spacing w:after="0"/>
              <w:rPr>
                <w:sz w:val="20"/>
                <w:szCs w:val="20"/>
                <w:color w:val="auto"/>
              </w:rPr>
            </w:pPr>
            <w:r>
              <w:rPr>
                <w:rFonts w:ascii="Arial" w:cs="Arial" w:eastAsia="Arial" w:hAnsi="Arial"/>
                <w:sz w:val="13"/>
                <w:szCs w:val="13"/>
                <w:color w:val="auto"/>
              </w:rPr>
              <w:t>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-996950</wp:posOffset>
            </wp:positionV>
            <wp:extent cx="635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-996950</wp:posOffset>
            </wp:positionV>
            <wp:extent cx="635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-890270</wp:posOffset>
            </wp:positionV>
            <wp:extent cx="6350"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-890270</wp:posOffset>
            </wp:positionV>
            <wp:extent cx="6350"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-782955</wp:posOffset>
            </wp:positionV>
            <wp:extent cx="635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3484245</wp:posOffset>
            </wp:positionH>
            <wp:positionV relativeFrom="paragraph">
              <wp:posOffset>-782955</wp:posOffset>
            </wp:positionV>
            <wp:extent cx="6350"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-720725</wp:posOffset>
            </wp:positionV>
            <wp:extent cx="6350" cy="628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-349885</wp:posOffset>
            </wp:positionV>
            <wp:extent cx="6350" cy="628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79520"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779520" cy="635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-105410</wp:posOffset>
            </wp:positionV>
            <wp:extent cx="635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-105410</wp:posOffset>
            </wp:positionV>
            <wp:extent cx="635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6350" cy="628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171" w:lineRule="exact"/>
        <w:rPr>
          <w:sz w:val="20"/>
          <w:szCs w:val="20"/>
          <w:color w:val="auto"/>
        </w:rPr>
      </w:pPr>
    </w:p>
    <w:p>
      <w:pPr>
        <w:ind w:right="4359" w:firstLine="263"/>
        <w:spacing w:after="0" w:line="279" w:lineRule="auto"/>
        <w:rPr>
          <w:sz w:val="20"/>
          <w:szCs w:val="20"/>
          <w:color w:val="auto"/>
        </w:rPr>
      </w:pPr>
      <w:r>
        <w:rPr>
          <w:rFonts w:ascii="Arial" w:cs="Arial" w:eastAsia="Arial" w:hAnsi="Arial"/>
          <w:sz w:val="13"/>
          <w:szCs w:val="13"/>
          <w:color w:val="auto"/>
        </w:rPr>
        <w:t>All other schedules are omitted because they are not applicable or the required information is shown in the financial statements or notes thereto.</w:t>
      </w:r>
    </w:p>
    <w:p>
      <w:pPr>
        <w:spacing w:after="0" w:line="1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979" w:firstLine="753"/>
        <w:spacing w:after="0" w:line="384"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To the Board of Directors and Shareholders of International Flavors &amp; Fragrances Inc.:</w:t>
      </w:r>
    </w:p>
    <w:p>
      <w:pPr>
        <w:ind w:right="4239" w:firstLine="263"/>
        <w:spacing w:after="0" w:line="262" w:lineRule="auto"/>
        <w:rPr>
          <w:sz w:val="20"/>
          <w:szCs w:val="20"/>
          <w:color w:val="auto"/>
        </w:rPr>
      </w:pPr>
      <w:r>
        <w:rPr>
          <w:rFonts w:ascii="Arial" w:cs="Arial" w:eastAsia="Arial" w:hAnsi="Arial"/>
          <w:sz w:val="13"/>
          <w:szCs w:val="13"/>
          <w:color w:val="auto"/>
        </w:rPr>
        <w:t>We have completed integrated audits of International Flavors &amp; Fragrances Inc.’s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Consolidated financial statements</w:t>
      </w:r>
    </w:p>
    <w:p>
      <w:pPr>
        <w:spacing w:after="0" w:line="88" w:lineRule="exact"/>
        <w:rPr>
          <w:sz w:val="20"/>
          <w:szCs w:val="20"/>
          <w:color w:val="auto"/>
        </w:rPr>
      </w:pPr>
    </w:p>
    <w:p>
      <w:pPr>
        <w:ind w:right="4239" w:firstLine="263"/>
        <w:spacing w:after="0" w:line="305" w:lineRule="auto"/>
        <w:rPr>
          <w:sz w:val="20"/>
          <w:szCs w:val="20"/>
          <w:color w:val="auto"/>
        </w:rPr>
      </w:pPr>
      <w:r>
        <w:rPr>
          <w:rFonts w:ascii="Arial" w:cs="Arial" w:eastAsia="Arial" w:hAnsi="Arial"/>
          <w:sz w:val="11"/>
          <w:szCs w:val="11"/>
          <w:color w:val="auto"/>
        </w:rPr>
        <w:t>In our opinion, the consolidated financial statements listed in the index appearing under item 15(a)(1) present fairly, in all material respects, the financial position of International Flavors &amp; Fragrances Inc. and its subsidiaries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index appearing under Item 15(a)(2) presents fairly, in all material respects, the information set forth within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2" w:lineRule="exact"/>
        <w:rPr>
          <w:sz w:val="20"/>
          <w:szCs w:val="20"/>
          <w:color w:val="auto"/>
        </w:rPr>
      </w:pPr>
    </w:p>
    <w:p>
      <w:pPr>
        <w:ind w:right="4239" w:firstLine="263"/>
        <w:spacing w:after="0" w:line="262" w:lineRule="auto"/>
        <w:rPr>
          <w:sz w:val="20"/>
          <w:szCs w:val="20"/>
          <w:color w:val="auto"/>
        </w:rPr>
      </w:pPr>
      <w:r>
        <w:rPr>
          <w:rFonts w:ascii="Arial" w:cs="Arial" w:eastAsia="Arial" w:hAnsi="Arial"/>
          <w:sz w:val="13"/>
          <w:szCs w:val="13"/>
          <w:color w:val="auto"/>
        </w:rPr>
        <w:t>As discussed in Note 12 to the consolidated financial statements, the Company changed the manner in which it accounts for share-based compensation in 2006. As discussed in Note 14 to the consolidated financial statements, the Company changed the manner in which it accounts for defined benefit pension and other postretirement plans effective December 31, 2006.</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Internal control over financial reporting</w:t>
      </w:r>
    </w:p>
    <w:p>
      <w:pPr>
        <w:spacing w:after="0" w:line="88" w:lineRule="exact"/>
        <w:rPr>
          <w:sz w:val="20"/>
          <w:szCs w:val="20"/>
          <w:color w:val="auto"/>
        </w:rPr>
      </w:pPr>
    </w:p>
    <w:p>
      <w:pPr>
        <w:ind w:right="4239" w:firstLine="263"/>
        <w:spacing w:after="0" w:line="277" w:lineRule="auto"/>
        <w:rPr>
          <w:sz w:val="20"/>
          <w:szCs w:val="20"/>
          <w:color w:val="auto"/>
        </w:rPr>
      </w:pPr>
      <w:r>
        <w:rPr>
          <w:rFonts w:ascii="Arial" w:cs="Arial" w:eastAsia="Arial" w:hAnsi="Arial"/>
          <w:sz w:val="12"/>
          <w:szCs w:val="12"/>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(‘‘COSO’’), is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60" w:lineRule="exact"/>
        <w:rPr>
          <w:sz w:val="20"/>
          <w:szCs w:val="20"/>
          <w:color w:val="auto"/>
        </w:rPr>
      </w:pPr>
    </w:p>
    <w:p>
      <w:pPr>
        <w:jc w:val="both"/>
        <w:ind w:right="4279" w:firstLine="263"/>
        <w:spacing w:after="0" w:line="26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239"/>
        <w:spacing w:after="0" w:line="257" w:lineRule="auto"/>
        <w:rPr>
          <w:sz w:val="20"/>
          <w:szCs w:val="20"/>
          <w:color w:val="auto"/>
        </w:rPr>
      </w:pPr>
      <w:r>
        <w:rPr>
          <w:rFonts w:ascii="Arial" w:cs="Arial" w:eastAsia="Arial" w:hAnsi="Arial"/>
          <w:sz w:val="13"/>
          <w:szCs w:val="13"/>
          <w:color w:val="auto"/>
        </w:rPr>
        <w:t>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4419" w:firstLine="263"/>
        <w:spacing w:after="0" w:line="26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February 22, 2007</w:t>
      </w:r>
    </w:p>
    <w:p>
      <w:pPr>
        <w:sectPr>
          <w:pgSz w:w="11900" w:h="16838" w:orient="portrait"/>
          <w:cols w:equalWidth="0" w:num="1">
            <w:col w:w="10239"/>
          </w:cols>
          <w:pgMar w:left="220" w:top="131" w:right="1440" w:bottom="85" w:gutter="0" w:footer="0" w:header="0"/>
        </w:sectPr>
      </w:pPr>
    </w:p>
    <w:p>
      <w:pPr>
        <w:spacing w:after="0" w:line="219"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250825</wp:posOffset>
            </wp:positionV>
            <wp:extent cx="4809490"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ectPr>
          <w:pgSz w:w="11900" w:h="16838" w:orient="portrait"/>
          <w:cols w:equalWidth="0" w:num="1">
            <w:col w:w="10239"/>
          </w:cols>
          <w:pgMar w:left="220" w:top="131" w:right="1440" w:bottom="85" w:gutter="0" w:footer="0" w:header="0"/>
          <w:type w:val="continuous"/>
        </w:sectPr>
      </w:pPr>
    </w:p>
    <w:bookmarkStart w:id="21" w:name="page22"/>
    <w:bookmarkEnd w:id="21"/>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167"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auto"/>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3880485"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80485" cy="635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8"/>
        </w:trPr>
        <w:tc>
          <w:tcPr>
            <w:tcW w:w="3820" w:type="dxa"/>
            <w:vAlign w:val="bottom"/>
            <w:gridSpan w:val="2"/>
          </w:tcPr>
          <w:p>
            <w:pPr>
              <w:spacing w:after="0" w:line="119" w:lineRule="exact"/>
              <w:rPr>
                <w:sz w:val="20"/>
                <w:szCs w:val="20"/>
                <w:color w:val="auto"/>
              </w:rPr>
            </w:pPr>
            <w:r>
              <w:rPr>
                <w:rFonts w:ascii="Arial" w:cs="Arial" w:eastAsia="Arial" w:hAnsi="Arial"/>
                <w:sz w:val="11"/>
                <w:szCs w:val="11"/>
                <w:b w:val="1"/>
                <w:bCs w:val="1"/>
                <w:i w:val="1"/>
                <w:iCs w:val="1"/>
                <w:color w:val="auto"/>
              </w:rPr>
              <w:t>(DOLLARS IN THOUSANDS EXCEPT PER SHARE AMOUNTS)</w:t>
            </w:r>
          </w:p>
        </w:tc>
        <w:tc>
          <w:tcPr>
            <w:tcW w:w="660" w:type="dxa"/>
            <w:vAlign w:val="bottom"/>
          </w:tcPr>
          <w:p>
            <w:pPr>
              <w:jc w:val="right"/>
              <w:ind w:right="155"/>
              <w:spacing w:after="0" w:line="119" w:lineRule="exact"/>
              <w:rPr>
                <w:sz w:val="20"/>
                <w:szCs w:val="20"/>
                <w:color w:val="auto"/>
              </w:rPr>
            </w:pPr>
            <w:r>
              <w:rPr>
                <w:rFonts w:ascii="Arial" w:cs="Arial" w:eastAsia="Arial" w:hAnsi="Arial"/>
                <w:sz w:val="11"/>
                <w:szCs w:val="11"/>
                <w:b w:val="1"/>
                <w:bCs w:val="1"/>
                <w:color w:val="auto"/>
              </w:rPr>
              <w:t>2006</w:t>
            </w:r>
          </w:p>
        </w:tc>
        <w:tc>
          <w:tcPr>
            <w:tcW w:w="140" w:type="dxa"/>
            <w:vAlign w:val="bottom"/>
          </w:tcPr>
          <w:p>
            <w:pPr>
              <w:spacing w:after="0"/>
              <w:rPr>
                <w:sz w:val="10"/>
                <w:szCs w:val="10"/>
                <w:color w:val="auto"/>
              </w:rPr>
            </w:pPr>
          </w:p>
        </w:tc>
        <w:tc>
          <w:tcPr>
            <w:tcW w:w="680" w:type="dxa"/>
            <w:vAlign w:val="bottom"/>
            <w:gridSpan w:val="2"/>
          </w:tcPr>
          <w:p>
            <w:pPr>
              <w:jc w:val="right"/>
              <w:ind w:right="174"/>
              <w:spacing w:after="0" w:line="119" w:lineRule="exact"/>
              <w:rPr>
                <w:sz w:val="20"/>
                <w:szCs w:val="20"/>
                <w:color w:val="auto"/>
              </w:rPr>
            </w:pPr>
            <w:r>
              <w:rPr>
                <w:rFonts w:ascii="Arial" w:cs="Arial" w:eastAsia="Arial" w:hAnsi="Arial"/>
                <w:sz w:val="11"/>
                <w:szCs w:val="11"/>
                <w:b w:val="1"/>
                <w:bCs w:val="1"/>
                <w:color w:val="auto"/>
              </w:rPr>
              <w:t>2005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55"/>
              <w:spacing w:after="0" w:line="119" w:lineRule="exact"/>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10"/>
                <w:szCs w:val="10"/>
                <w:color w:val="auto"/>
              </w:rPr>
            </w:pPr>
          </w:p>
        </w:tc>
      </w:tr>
      <w:tr>
        <w:trPr>
          <w:trHeight w:val="143"/>
        </w:trPr>
        <w:tc>
          <w:tcPr>
            <w:tcW w:w="36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shd w:val="clear" w:color="auto" w:fill="CCEEFF"/>
              </w:rPr>
              <w:t>Net sales</w:t>
            </w: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$ 2,095,390</w:t>
            </w:r>
          </w:p>
        </w:tc>
        <w:tc>
          <w:tcPr>
            <w:tcW w:w="140" w:type="dxa"/>
            <w:vAlign w:val="bottom"/>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w w:val="96"/>
              </w:rPr>
              <w:t>$ 1,993,393</w:t>
            </w: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9"/>
              </w:rPr>
              <w:t>2,033,653</w:t>
            </w:r>
          </w:p>
        </w:tc>
        <w:tc>
          <w:tcPr>
            <w:tcW w:w="60" w:type="dxa"/>
            <w:vAlign w:val="bottom"/>
          </w:tcPr>
          <w:p>
            <w:pPr>
              <w:spacing w:after="0"/>
              <w:rPr>
                <w:sz w:val="12"/>
                <w:szCs w:val="12"/>
                <w:color w:val="auto"/>
              </w:rPr>
            </w:pPr>
          </w:p>
        </w:tc>
      </w:tr>
      <w:tr>
        <w:trPr>
          <w:trHeight w:val="160"/>
        </w:trPr>
        <w:tc>
          <w:tcPr>
            <w:tcW w:w="382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highlight w:val="white"/>
              </w:rPr>
              <w:t>Cost of goods sold</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1,211,259</w:t>
            </w:r>
          </w:p>
        </w:tc>
        <w:tc>
          <w:tcPr>
            <w:tcW w:w="1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1,168,992</w:t>
            </w:r>
          </w:p>
        </w:tc>
        <w:tc>
          <w:tcPr>
            <w:tcW w:w="1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1,160,235</w:t>
            </w:r>
          </w:p>
        </w:tc>
        <w:tc>
          <w:tcPr>
            <w:tcW w:w="60" w:type="dxa"/>
            <w:vAlign w:val="bottom"/>
          </w:tcPr>
          <w:p>
            <w:pPr>
              <w:spacing w:after="0"/>
              <w:rPr>
                <w:sz w:val="13"/>
                <w:szCs w:val="13"/>
                <w:color w:val="auto"/>
              </w:rPr>
            </w:pPr>
          </w:p>
        </w:tc>
      </w:tr>
      <w:tr>
        <w:trPr>
          <w:trHeight w:val="17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Research and development expenses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185,692</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179,812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175,173</w:t>
            </w:r>
          </w:p>
        </w:tc>
        <w:tc>
          <w:tcPr>
            <w:tcW w:w="60" w:type="dxa"/>
            <w:vAlign w:val="bottom"/>
          </w:tcPr>
          <w:p>
            <w:pPr>
              <w:spacing w:after="0"/>
              <w:rPr>
                <w:sz w:val="14"/>
                <w:szCs w:val="14"/>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Selling and administrative expenses</w:t>
            </w:r>
          </w:p>
        </w:tc>
        <w:tc>
          <w:tcPr>
            <w:tcW w:w="660" w:type="dxa"/>
            <w:vAlign w:val="bottom"/>
          </w:tcPr>
          <w:p>
            <w:pPr>
              <w:jc w:val="right"/>
              <w:spacing w:after="0"/>
              <w:rPr>
                <w:sz w:val="20"/>
                <w:szCs w:val="20"/>
                <w:color w:val="auto"/>
              </w:rPr>
            </w:pPr>
            <w:r>
              <w:rPr>
                <w:rFonts w:ascii="Arial" w:cs="Arial" w:eastAsia="Arial" w:hAnsi="Arial"/>
                <w:sz w:val="13"/>
                <w:szCs w:val="13"/>
                <w:color w:val="auto"/>
              </w:rPr>
              <w:t>351,923</w:t>
            </w:r>
          </w:p>
        </w:tc>
        <w:tc>
          <w:tcPr>
            <w:tcW w:w="1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339,323</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341,306</w:t>
            </w:r>
          </w:p>
        </w:tc>
        <w:tc>
          <w:tcPr>
            <w:tcW w:w="60" w:type="dxa"/>
            <w:vAlign w:val="bottom"/>
          </w:tcPr>
          <w:p>
            <w:pPr>
              <w:spacing w:after="0"/>
              <w:rPr>
                <w:sz w:val="14"/>
                <w:szCs w:val="14"/>
                <w:color w:val="auto"/>
              </w:rPr>
            </w:pPr>
          </w:p>
        </w:tc>
      </w:tr>
      <w:tr>
        <w:trPr>
          <w:trHeight w:val="17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Amortization of intangibles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14,843</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15,071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14,830</w:t>
            </w:r>
          </w:p>
        </w:tc>
        <w:tc>
          <w:tcPr>
            <w:tcW w:w="60" w:type="dxa"/>
            <w:vAlign w:val="bottom"/>
          </w:tcPr>
          <w:p>
            <w:pPr>
              <w:spacing w:after="0"/>
              <w:rPr>
                <w:sz w:val="14"/>
                <w:szCs w:val="14"/>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Restructuring and other charges, net</w:t>
            </w:r>
          </w:p>
        </w:tc>
        <w:tc>
          <w:tcPr>
            <w:tcW w:w="660" w:type="dxa"/>
            <w:vAlign w:val="bottom"/>
          </w:tcPr>
          <w:p>
            <w:pPr>
              <w:jc w:val="right"/>
              <w:spacing w:after="0"/>
              <w:rPr>
                <w:sz w:val="20"/>
                <w:szCs w:val="20"/>
                <w:color w:val="auto"/>
              </w:rPr>
            </w:pPr>
            <w:r>
              <w:rPr>
                <w:rFonts w:ascii="Arial" w:cs="Arial" w:eastAsia="Arial" w:hAnsi="Arial"/>
                <w:sz w:val="13"/>
                <w:szCs w:val="13"/>
                <w:color w:val="auto"/>
              </w:rPr>
              <w:t>2,680</w:t>
            </w:r>
          </w:p>
        </w:tc>
        <w:tc>
          <w:tcPr>
            <w:tcW w:w="1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23,319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31,830</w:t>
            </w:r>
          </w:p>
        </w:tc>
        <w:tc>
          <w:tcPr>
            <w:tcW w:w="60" w:type="dxa"/>
            <w:vAlign w:val="bottom"/>
          </w:tcPr>
          <w:p>
            <w:pPr>
              <w:spacing w:after="0"/>
              <w:rPr>
                <w:sz w:val="14"/>
                <w:szCs w:val="14"/>
                <w:color w:val="auto"/>
              </w:rPr>
            </w:pPr>
          </w:p>
        </w:tc>
      </w:tr>
      <w:tr>
        <w:trPr>
          <w:trHeight w:val="17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Interest expense</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25,549</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23,956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24,002</w:t>
            </w:r>
          </w:p>
        </w:tc>
        <w:tc>
          <w:tcPr>
            <w:tcW w:w="60" w:type="dxa"/>
            <w:vAlign w:val="bottom"/>
          </w:tcPr>
          <w:p>
            <w:pPr>
              <w:spacing w:after="0"/>
              <w:rPr>
                <w:sz w:val="14"/>
                <w:szCs w:val="14"/>
                <w:color w:val="auto"/>
              </w:rPr>
            </w:pPr>
          </w:p>
        </w:tc>
      </w:tr>
      <w:tr>
        <w:trPr>
          <w:trHeight w:val="158"/>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Other (income) expense, net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(9,838)</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(3,268)</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5,275</w:t>
            </w:r>
          </w:p>
        </w:tc>
        <w:tc>
          <w:tcPr>
            <w:tcW w:w="60" w:type="dxa"/>
            <w:vAlign w:val="bottom"/>
          </w:tcPr>
          <w:p>
            <w:pPr>
              <w:spacing w:after="0"/>
              <w:rPr>
                <w:sz w:val="13"/>
                <w:szCs w:val="13"/>
                <w:color w:val="auto"/>
              </w:rPr>
            </w:pPr>
          </w:p>
        </w:tc>
      </w:tr>
      <w:tr>
        <w:trPr>
          <w:trHeight w:val="143"/>
        </w:trPr>
        <w:tc>
          <w:tcPr>
            <w:tcW w:w="3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1,782,108</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1,747,205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9"/>
              </w:rPr>
              <w:t>1,752,651</w:t>
            </w:r>
          </w:p>
        </w:tc>
        <w:tc>
          <w:tcPr>
            <w:tcW w:w="60" w:type="dxa"/>
            <w:vAlign w:val="bottom"/>
          </w:tcPr>
          <w:p>
            <w:pPr>
              <w:spacing w:after="0"/>
              <w:rPr>
                <w:sz w:val="12"/>
                <w:szCs w:val="12"/>
                <w:color w:val="auto"/>
              </w:rPr>
            </w:pPr>
          </w:p>
        </w:tc>
      </w:tr>
      <w:tr>
        <w:trPr>
          <w:trHeight w:val="160"/>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Income before taxes on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313,282</w:t>
            </w:r>
          </w:p>
        </w:tc>
        <w:tc>
          <w:tcPr>
            <w:tcW w:w="14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246,188</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281,002</w:t>
            </w:r>
          </w:p>
        </w:tc>
        <w:tc>
          <w:tcPr>
            <w:tcW w:w="60" w:type="dxa"/>
            <w:vAlign w:val="bottom"/>
          </w:tcPr>
          <w:p>
            <w:pPr>
              <w:spacing w:after="0"/>
              <w:rPr>
                <w:sz w:val="13"/>
                <w:szCs w:val="13"/>
                <w:color w:val="auto"/>
              </w:rPr>
            </w:pPr>
          </w:p>
        </w:tc>
      </w:tr>
      <w:tr>
        <w:trPr>
          <w:trHeight w:val="156"/>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Taxes on income</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86,782</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53,122</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84,931</w:t>
            </w:r>
          </w:p>
        </w:tc>
        <w:tc>
          <w:tcPr>
            <w:tcW w:w="60" w:type="dxa"/>
            <w:vAlign w:val="bottom"/>
          </w:tcPr>
          <w:p>
            <w:pPr>
              <w:spacing w:after="0"/>
              <w:rPr>
                <w:sz w:val="13"/>
                <w:szCs w:val="13"/>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Net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226,500</w:t>
            </w:r>
          </w:p>
        </w:tc>
        <w:tc>
          <w:tcPr>
            <w:tcW w:w="1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193,066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196,071</w:t>
            </w:r>
          </w:p>
        </w:tc>
        <w:tc>
          <w:tcPr>
            <w:tcW w:w="60" w:type="dxa"/>
            <w:vAlign w:val="bottom"/>
          </w:tcPr>
          <w:p>
            <w:pPr>
              <w:spacing w:after="0"/>
              <w:rPr>
                <w:sz w:val="14"/>
                <w:szCs w:val="14"/>
                <w:color w:val="auto"/>
              </w:rPr>
            </w:pPr>
          </w:p>
        </w:tc>
      </w:tr>
      <w:tr>
        <w:trPr>
          <w:trHeight w:val="169"/>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comprehensive income:</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Foreign currency translation adjustments</w:t>
            </w:r>
          </w:p>
        </w:tc>
        <w:tc>
          <w:tcPr>
            <w:tcW w:w="660" w:type="dxa"/>
            <w:vAlign w:val="bottom"/>
          </w:tcPr>
          <w:p>
            <w:pPr>
              <w:jc w:val="right"/>
              <w:spacing w:after="0"/>
              <w:rPr>
                <w:sz w:val="20"/>
                <w:szCs w:val="20"/>
                <w:color w:val="auto"/>
              </w:rPr>
            </w:pPr>
            <w:r>
              <w:rPr>
                <w:rFonts w:ascii="Arial" w:cs="Arial" w:eastAsia="Arial" w:hAnsi="Arial"/>
                <w:sz w:val="13"/>
                <w:szCs w:val="13"/>
                <w:color w:val="auto"/>
              </w:rPr>
              <w:t>15,515</w:t>
            </w:r>
          </w:p>
        </w:tc>
        <w:tc>
          <w:tcPr>
            <w:tcW w:w="14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(55,596)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53,415</w:t>
            </w:r>
          </w:p>
        </w:tc>
        <w:tc>
          <w:tcPr>
            <w:tcW w:w="60" w:type="dxa"/>
            <w:vAlign w:val="bottom"/>
          </w:tcPr>
          <w:p>
            <w:pPr>
              <w:spacing w:after="0"/>
              <w:rPr>
                <w:sz w:val="14"/>
                <w:szCs w:val="14"/>
                <w:color w:val="auto"/>
              </w:rPr>
            </w:pPr>
          </w:p>
        </w:tc>
      </w:tr>
      <w:tr>
        <w:trPr>
          <w:trHeight w:val="150"/>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Accumulated losses (gains) on derivatives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qualifying as hedges (net of tax)</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3,088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60" w:type="dxa"/>
            <w:vAlign w:val="bottom"/>
          </w:tcPr>
          <w:p>
            <w:pPr>
              <w:spacing w:after="0"/>
              <w:rPr>
                <w:sz w:val="15"/>
                <w:szCs w:val="15"/>
                <w:color w:val="auto"/>
              </w:rPr>
            </w:pPr>
          </w:p>
        </w:tc>
      </w:tr>
      <w:tr>
        <w:trPr>
          <w:trHeight w:val="158"/>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Minimum pension liability adjustment (net of tax)</w:t>
            </w:r>
          </w:p>
        </w:tc>
        <w:tc>
          <w:tcPr>
            <w:tcW w:w="660" w:type="dxa"/>
            <w:vAlign w:val="bottom"/>
          </w:tcPr>
          <w:p>
            <w:pPr>
              <w:jc w:val="right"/>
              <w:spacing w:after="0"/>
              <w:rPr>
                <w:sz w:val="20"/>
                <w:szCs w:val="20"/>
                <w:color w:val="auto"/>
              </w:rPr>
            </w:pPr>
            <w:r>
              <w:rPr>
                <w:rFonts w:ascii="Arial" w:cs="Arial" w:eastAsia="Arial" w:hAnsi="Arial"/>
                <w:sz w:val="13"/>
                <w:szCs w:val="13"/>
                <w:color w:val="auto"/>
              </w:rPr>
              <w:t>92,831</w:t>
            </w:r>
          </w:p>
        </w:tc>
        <w:tc>
          <w:tcPr>
            <w:tcW w:w="14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10,325</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(27,890)</w:t>
            </w:r>
          </w:p>
        </w:tc>
        <w:tc>
          <w:tcPr>
            <w:tcW w:w="60" w:type="dxa"/>
            <w:vAlign w:val="bottom"/>
          </w:tcPr>
          <w:p>
            <w:pPr>
              <w:spacing w:after="0"/>
              <w:rPr>
                <w:sz w:val="13"/>
                <w:szCs w:val="13"/>
                <w:color w:val="auto"/>
              </w:rPr>
            </w:pPr>
          </w:p>
        </w:tc>
      </w:tr>
      <w:tr>
        <w:trPr>
          <w:trHeight w:val="158"/>
        </w:trPr>
        <w:tc>
          <w:tcPr>
            <w:tcW w:w="36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Comprehensive income</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$334,987</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$150,883</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$219,580</w:t>
            </w:r>
          </w:p>
        </w:tc>
        <w:tc>
          <w:tcPr>
            <w:tcW w:w="60" w:type="dxa"/>
            <w:vAlign w:val="bottom"/>
          </w:tcPr>
          <w:p>
            <w:pPr>
              <w:spacing w:after="0"/>
              <w:rPr>
                <w:sz w:val="13"/>
                <w:szCs w:val="13"/>
                <w:color w:val="auto"/>
              </w:rPr>
            </w:pPr>
          </w:p>
        </w:tc>
      </w:tr>
      <w:tr>
        <w:trPr>
          <w:trHeight w:val="165"/>
        </w:trPr>
        <w:tc>
          <w:tcPr>
            <w:tcW w:w="3820" w:type="dxa"/>
            <w:vAlign w:val="bottom"/>
            <w:gridSpan w:val="2"/>
          </w:tcPr>
          <w:p>
            <w:pPr>
              <w:spacing w:after="0"/>
              <w:rPr>
                <w:sz w:val="20"/>
                <w:szCs w:val="20"/>
                <w:color w:val="auto"/>
              </w:rPr>
            </w:pPr>
            <w:r>
              <w:rPr>
                <w:rFonts w:ascii="Arial" w:cs="Arial" w:eastAsia="Arial" w:hAnsi="Arial"/>
                <w:sz w:val="13"/>
                <w:szCs w:val="13"/>
                <w:color w:val="auto"/>
                <w:highlight w:val="white"/>
              </w:rPr>
              <w:t>Net income per share – basic</w:t>
            </w: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w:t>
            </w:r>
          </w:p>
        </w:tc>
        <w:tc>
          <w:tcPr>
            <w:tcW w:w="60" w:type="dxa"/>
            <w:vAlign w:val="bottom"/>
          </w:tcPr>
          <w:p>
            <w:pPr>
              <w:spacing w:after="0"/>
              <w:rPr>
                <w:sz w:val="14"/>
                <w:szCs w:val="14"/>
                <w:color w:val="auto"/>
              </w:rPr>
            </w:pPr>
          </w:p>
        </w:tc>
      </w:tr>
      <w:tr>
        <w:trPr>
          <w:trHeight w:val="171"/>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Net income per share – diluted</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-2278380</wp:posOffset>
            </wp:positionV>
            <wp:extent cx="3886835" cy="234188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86835" cy="2341880"/>
                    </a:xfrm>
                    <a:prstGeom prst="rect">
                      <a:avLst/>
                    </a:prstGeom>
                    <a:noFill/>
                  </pic:spPr>
                </pic:pic>
              </a:graphicData>
            </a:graphic>
          </wp:anchor>
        </w:drawing>
      </w:r>
    </w:p>
    <w:p>
      <w:pPr>
        <w:spacing w:after="0" w:line="228"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8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382397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823970" cy="635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December 31,</w:t>
            </w:r>
          </w:p>
        </w:tc>
      </w:tr>
      <w:tr>
        <w:trPr>
          <w:trHeight w:val="118"/>
        </w:trPr>
        <w:tc>
          <w:tcPr>
            <w:tcW w:w="4460" w:type="dxa"/>
            <w:vAlign w:val="bottom"/>
            <w:gridSpan w:val="2"/>
          </w:tcPr>
          <w:p>
            <w:pPr>
              <w:spacing w:after="0" w:line="119" w:lineRule="exact"/>
              <w:rPr>
                <w:sz w:val="20"/>
                <w:szCs w:val="20"/>
                <w:color w:val="auto"/>
              </w:rPr>
            </w:pPr>
            <w:r>
              <w:rPr>
                <w:rFonts w:ascii="Arial" w:cs="Arial" w:eastAsia="Arial" w:hAnsi="Arial"/>
                <w:sz w:val="11"/>
                <w:szCs w:val="11"/>
                <w:b w:val="1"/>
                <w:bCs w:val="1"/>
                <w:i w:val="1"/>
                <w:iCs w:val="1"/>
                <w:color w:val="auto"/>
              </w:rPr>
              <w:t>(DOLLARS IN THOUSANDS)</w:t>
            </w: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r>
      <w:tr>
        <w:trPr>
          <w:trHeight w:val="143"/>
        </w:trPr>
        <w:tc>
          <w:tcPr>
            <w:tcW w:w="430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shd w:val="clear" w:color="auto" w:fill="CCEEFF"/>
              </w:rPr>
              <w:t>ASSETS</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3"/>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Cash and cash equivalents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114,508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272,545</w:t>
            </w:r>
          </w:p>
        </w:tc>
        <w:tc>
          <w:tcPr>
            <w:tcW w:w="40" w:type="dxa"/>
            <w:vAlign w:val="bottom"/>
          </w:tcPr>
          <w:p>
            <w:pPr>
              <w:spacing w:after="0"/>
              <w:rPr>
                <w:sz w:val="14"/>
                <w:szCs w:val="14"/>
                <w:color w:val="auto"/>
              </w:rPr>
            </w:pPr>
          </w:p>
        </w:tc>
      </w:tr>
      <w:tr>
        <w:trPr>
          <w:trHeight w:val="167"/>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Short-term investments</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352</w:t>
            </w:r>
          </w:p>
        </w:tc>
        <w:tc>
          <w:tcPr>
            <w:tcW w:w="40" w:type="dxa"/>
            <w:vAlign w:val="bottom"/>
          </w:tcPr>
          <w:p>
            <w:pPr>
              <w:spacing w:after="0"/>
              <w:rPr>
                <w:sz w:val="14"/>
                <w:szCs w:val="14"/>
                <w:color w:val="auto"/>
              </w:rPr>
            </w:pPr>
          </w:p>
        </w:tc>
      </w:tr>
      <w:tr>
        <w:trPr>
          <w:trHeight w:val="169"/>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Receivables: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Trade</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369,870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319,644</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Allowance for doubtful accounts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(12,715)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(14,821)</w:t>
            </w:r>
          </w:p>
        </w:tc>
        <w:tc>
          <w:tcPr>
            <w:tcW w:w="40" w:type="dxa"/>
            <w:vAlign w:val="bottom"/>
          </w:tcPr>
          <w:p>
            <w:pPr>
              <w:spacing w:after="0"/>
              <w:rPr>
                <w:sz w:val="14"/>
                <w:szCs w:val="14"/>
                <w:color w:val="auto"/>
              </w:rPr>
            </w:pPr>
          </w:p>
        </w:tc>
      </w:tr>
      <w:tr>
        <w:trPr>
          <w:trHeight w:val="165"/>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Other</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48,147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63,696</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Inventories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446,606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430,794</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Deferred income taxes</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89,448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75,366</w:t>
            </w:r>
          </w:p>
        </w:tc>
        <w:tc>
          <w:tcPr>
            <w:tcW w:w="40" w:type="dxa"/>
            <w:vAlign w:val="bottom"/>
          </w:tcPr>
          <w:p>
            <w:pPr>
              <w:spacing w:after="0"/>
              <w:rPr>
                <w:sz w:val="14"/>
                <w:szCs w:val="14"/>
                <w:color w:val="auto"/>
              </w:rPr>
            </w:pPr>
          </w:p>
        </w:tc>
      </w:tr>
      <w:tr>
        <w:trPr>
          <w:trHeight w:val="15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Prepaid expenses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23,335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43,698</w:t>
            </w:r>
          </w:p>
        </w:tc>
        <w:tc>
          <w:tcPr>
            <w:tcW w:w="40" w:type="dxa"/>
            <w:vAlign w:val="bottom"/>
          </w:tcPr>
          <w:p>
            <w:pPr>
              <w:spacing w:after="0"/>
              <w:rPr>
                <w:sz w:val="13"/>
                <w:szCs w:val="13"/>
                <w:color w:val="auto"/>
              </w:rPr>
            </w:pPr>
          </w:p>
        </w:tc>
      </w:tr>
      <w:tr>
        <w:trPr>
          <w:trHeight w:val="160"/>
        </w:trPr>
        <w:tc>
          <w:tcPr>
            <w:tcW w:w="4460" w:type="dxa"/>
            <w:vAlign w:val="bottom"/>
            <w:tcBorders>
              <w:top w:val="single" w:sz="8" w:color="CCEEFF"/>
            </w:tcBorders>
            <w:gridSpan w:val="2"/>
          </w:tcPr>
          <w:p>
            <w:pPr>
              <w:ind w:left="140"/>
              <w:spacing w:after="0"/>
              <w:rPr>
                <w:sz w:val="20"/>
                <w:szCs w:val="20"/>
                <w:color w:val="auto"/>
              </w:rPr>
            </w:pPr>
            <w:r>
              <w:rPr>
                <w:rFonts w:ascii="Arial" w:cs="Arial" w:eastAsia="Arial" w:hAnsi="Arial"/>
                <w:sz w:val="13"/>
                <w:szCs w:val="13"/>
                <w:color w:val="auto"/>
                <w:highlight w:val="white"/>
              </w:rPr>
              <w:t>Total Current Assets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1,079,803</w:t>
            </w:r>
          </w:p>
        </w:tc>
        <w:tc>
          <w:tcPr>
            <w:tcW w:w="2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1,191,274</w:t>
            </w:r>
          </w:p>
        </w:tc>
        <w:tc>
          <w:tcPr>
            <w:tcW w:w="40" w:type="dxa"/>
            <w:vAlign w:val="bottom"/>
          </w:tcPr>
          <w:p>
            <w:pPr>
              <w:spacing w:after="0"/>
              <w:rPr>
                <w:sz w:val="13"/>
                <w:szCs w:val="13"/>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shd w:val="clear" w:color="auto" w:fill="CCEEFF"/>
              </w:rPr>
              <w:t>Property, Plant and Equipment, net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495,124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499,145</w:t>
            </w:r>
          </w:p>
        </w:tc>
        <w:tc>
          <w:tcPr>
            <w:tcW w:w="40" w:type="dxa"/>
            <w:vAlign w:val="bottom"/>
          </w:tcPr>
          <w:p>
            <w:pPr>
              <w:spacing w:after="0"/>
              <w:rPr>
                <w:sz w:val="14"/>
                <w:szCs w:val="14"/>
                <w:color w:val="auto"/>
              </w:rPr>
            </w:pPr>
          </w:p>
        </w:tc>
      </w:tr>
      <w:tr>
        <w:trPr>
          <w:trHeight w:val="168"/>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highlight w:val="white"/>
              </w:rPr>
              <w:t>Goodwill</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665,582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665,582</w:t>
            </w:r>
          </w:p>
        </w:tc>
        <w:tc>
          <w:tcPr>
            <w:tcW w:w="40" w:type="dxa"/>
            <w:vAlign w:val="bottom"/>
          </w:tcPr>
          <w:p>
            <w:pPr>
              <w:spacing w:after="0"/>
              <w:rPr>
                <w:sz w:val="14"/>
                <w:szCs w:val="14"/>
                <w:color w:val="auto"/>
              </w:rPr>
            </w:pPr>
          </w:p>
        </w:tc>
      </w:tr>
      <w:tr>
        <w:trPr>
          <w:trHeight w:val="16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Other Intangible Assets, net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80,134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107,069</w:t>
            </w:r>
          </w:p>
        </w:tc>
        <w:tc>
          <w:tcPr>
            <w:tcW w:w="40" w:type="dxa"/>
            <w:vAlign w:val="bottom"/>
          </w:tcPr>
          <w:p>
            <w:pPr>
              <w:spacing w:after="0"/>
              <w:rPr>
                <w:sz w:val="14"/>
                <w:szCs w:val="14"/>
                <w:color w:val="auto"/>
              </w:rPr>
            </w:pPr>
          </w:p>
        </w:tc>
      </w:tr>
      <w:tr>
        <w:trPr>
          <w:trHeight w:val="158"/>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highlight w:val="white"/>
              </w:rPr>
              <w:t>Other Assets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158,261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175,126</w:t>
            </w:r>
          </w:p>
        </w:tc>
        <w:tc>
          <w:tcPr>
            <w:tcW w:w="40" w:type="dxa"/>
            <w:vAlign w:val="bottom"/>
          </w:tcPr>
          <w:p>
            <w:pPr>
              <w:spacing w:after="0"/>
              <w:rPr>
                <w:sz w:val="13"/>
                <w:szCs w:val="13"/>
                <w:color w:val="auto"/>
              </w:rPr>
            </w:pPr>
          </w:p>
        </w:tc>
      </w:tr>
      <w:tr>
        <w:trPr>
          <w:trHeight w:val="158"/>
        </w:trPr>
        <w:tc>
          <w:tcPr>
            <w:tcW w:w="430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Total Assets</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2,478,904</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2,638,196</w:t>
            </w:r>
          </w:p>
        </w:tc>
        <w:tc>
          <w:tcPr>
            <w:tcW w:w="40" w:type="dxa"/>
            <w:vAlign w:val="bottom"/>
          </w:tcPr>
          <w:p>
            <w:pPr>
              <w:spacing w:after="0"/>
              <w:rPr>
                <w:sz w:val="13"/>
                <w:szCs w:val="13"/>
                <w:color w:val="auto"/>
              </w:rPr>
            </w:pPr>
          </w:p>
        </w:tc>
      </w:tr>
      <w:tr>
        <w:trPr>
          <w:trHeight w:val="386"/>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December 31,</w:t>
            </w:r>
          </w:p>
        </w:tc>
      </w:tr>
      <w:tr>
        <w:trPr>
          <w:trHeight w:val="118"/>
        </w:trPr>
        <w:tc>
          <w:tcPr>
            <w:tcW w:w="4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75"/>
              <w:spacing w:after="0" w:line="11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55"/>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r>
      <w:tr>
        <w:trPr>
          <w:trHeight w:val="143"/>
        </w:trPr>
        <w:tc>
          <w:tcPr>
            <w:tcW w:w="430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shd w:val="clear" w:color="auto" w:fill="CCEEFF"/>
              </w:rPr>
              <w:t>LIABILITIES AND SHAREHOLDERS’ EQUITY</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3"/>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Bank borrowings, overdrafts and current portion of long-term debt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15,897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819,392</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Accounts payable</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111,661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98,588</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Accrued payrolls and bonuses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71,976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23,260</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Dividends payable</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18,764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17,189</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Income taxes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45,251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41,089</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Restructuring and other charges</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15,288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30,099</w:t>
            </w:r>
          </w:p>
        </w:tc>
        <w:tc>
          <w:tcPr>
            <w:tcW w:w="40" w:type="dxa"/>
            <w:vAlign w:val="bottom"/>
          </w:tcPr>
          <w:p>
            <w:pPr>
              <w:spacing w:after="0"/>
              <w:rPr>
                <w:sz w:val="14"/>
                <w:szCs w:val="14"/>
                <w:color w:val="auto"/>
              </w:rPr>
            </w:pPr>
          </w:p>
        </w:tc>
      </w:tr>
      <w:tr>
        <w:trPr>
          <w:trHeight w:val="15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current liabilities</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167,934</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173,079</w:t>
            </w:r>
          </w:p>
        </w:tc>
        <w:tc>
          <w:tcPr>
            <w:tcW w:w="40" w:type="dxa"/>
            <w:vAlign w:val="bottom"/>
          </w:tcPr>
          <w:p>
            <w:pPr>
              <w:spacing w:after="0"/>
              <w:rPr>
                <w:sz w:val="13"/>
                <w:szCs w:val="13"/>
                <w:color w:val="auto"/>
              </w:rPr>
            </w:pPr>
          </w:p>
        </w:tc>
      </w:tr>
      <w:tr>
        <w:trPr>
          <w:trHeight w:val="153"/>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Total Current Liabilities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446,771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1,202,696</w:t>
            </w:r>
          </w:p>
        </w:tc>
        <w:tc>
          <w:tcPr>
            <w:tcW w:w="40" w:type="dxa"/>
            <w:vAlign w:val="bottom"/>
          </w:tcPr>
          <w:p>
            <w:pPr>
              <w:spacing w:after="0"/>
              <w:rPr>
                <w:sz w:val="13"/>
                <w:szCs w:val="13"/>
                <w:color w:val="auto"/>
              </w:rPr>
            </w:pPr>
          </w:p>
        </w:tc>
      </w:tr>
      <w:tr>
        <w:trPr>
          <w:trHeight w:val="15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Other Liabilities: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Long-term debt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791,443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131,281</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Deferred gains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64,686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67,713</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Retirement liabilities</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170,719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207,452</w:t>
            </w:r>
          </w:p>
        </w:tc>
        <w:tc>
          <w:tcPr>
            <w:tcW w:w="40" w:type="dxa"/>
            <w:vAlign w:val="bottom"/>
          </w:tcPr>
          <w:p>
            <w:pPr>
              <w:spacing w:after="0"/>
              <w:rPr>
                <w:sz w:val="14"/>
                <w:szCs w:val="14"/>
                <w:color w:val="auto"/>
              </w:rPr>
            </w:pPr>
          </w:p>
        </w:tc>
      </w:tr>
      <w:tr>
        <w:trPr>
          <w:trHeight w:val="15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liabilities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100,117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113,707</w:t>
            </w:r>
          </w:p>
        </w:tc>
        <w:tc>
          <w:tcPr>
            <w:tcW w:w="40" w:type="dxa"/>
            <w:vAlign w:val="bottom"/>
          </w:tcPr>
          <w:p>
            <w:pPr>
              <w:spacing w:after="0"/>
              <w:rPr>
                <w:sz w:val="13"/>
                <w:szCs w:val="13"/>
                <w:color w:val="auto"/>
              </w:rPr>
            </w:pPr>
          </w:p>
        </w:tc>
      </w:tr>
      <w:tr>
        <w:trPr>
          <w:trHeight w:val="153"/>
        </w:trPr>
        <w:tc>
          <w:tcPr>
            <w:tcW w:w="4460" w:type="dxa"/>
            <w:vAlign w:val="bottom"/>
            <w:tcBorders>
              <w:top w:val="single" w:sz="8" w:color="CCEEFF"/>
            </w:tcBorders>
            <w:gridSpan w:val="2"/>
          </w:tcPr>
          <w:p>
            <w:pPr>
              <w:ind w:left="140"/>
              <w:spacing w:after="0"/>
              <w:rPr>
                <w:sz w:val="20"/>
                <w:szCs w:val="20"/>
                <w:color w:val="auto"/>
              </w:rPr>
            </w:pPr>
            <w:r>
              <w:rPr>
                <w:rFonts w:ascii="Arial" w:cs="Arial" w:eastAsia="Arial" w:hAnsi="Arial"/>
                <w:sz w:val="13"/>
                <w:szCs w:val="13"/>
                <w:color w:val="auto"/>
                <w:highlight w:val="white"/>
              </w:rPr>
              <w:t>Total Other Liabilities</w:t>
            </w: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1,126,965</w:t>
            </w:r>
          </w:p>
        </w:tc>
        <w:tc>
          <w:tcPr>
            <w:tcW w:w="2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520,153</w:t>
            </w:r>
          </w:p>
        </w:tc>
        <w:tc>
          <w:tcPr>
            <w:tcW w:w="40" w:type="dxa"/>
            <w:vAlign w:val="bottom"/>
          </w:tcPr>
          <w:p>
            <w:pPr>
              <w:spacing w:after="0"/>
              <w:rPr>
                <w:sz w:val="13"/>
                <w:szCs w:val="13"/>
                <w:color w:val="auto"/>
              </w:rPr>
            </w:pPr>
          </w:p>
        </w:tc>
      </w:tr>
      <w:tr>
        <w:trPr>
          <w:trHeight w:val="15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Commitments and Contingencies (Note 17)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highlight w:val="white"/>
              </w:rPr>
              <w:t>Shareholders’ Equity:</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Common stock 12½¢ par value; authorized 500,000,000 shares;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issued 115,761,840 shares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14,470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14,470</w:t>
            </w:r>
          </w:p>
        </w:tc>
        <w:tc>
          <w:tcPr>
            <w:tcW w:w="40" w:type="dxa"/>
            <w:vAlign w:val="bottom"/>
          </w:tcPr>
          <w:p>
            <w:pPr>
              <w:spacing w:after="0"/>
              <w:rPr>
                <w:sz w:val="15"/>
                <w:szCs w:val="15"/>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Capital in excess of par value</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96,635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71,894</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Retained earnings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1,909,599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1,752,055</w:t>
            </w:r>
          </w:p>
        </w:tc>
        <w:tc>
          <w:tcPr>
            <w:tcW w:w="4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Accumulated other comprehensive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Cumulative translation adjustment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(31,854)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(47,369)</w:t>
            </w:r>
          </w:p>
        </w:tc>
        <w:tc>
          <w:tcPr>
            <w:tcW w:w="40" w:type="dxa"/>
            <w:vAlign w:val="bottom"/>
          </w:tcPr>
          <w:p>
            <w:pPr>
              <w:spacing w:after="0"/>
              <w:rPr>
                <w:sz w:val="14"/>
                <w:szCs w:val="14"/>
                <w:color w:val="auto"/>
              </w:rPr>
            </w:pPr>
          </w:p>
        </w:tc>
      </w:tr>
      <w:tr>
        <w:trPr>
          <w:trHeight w:val="165"/>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Accumulated losses on derivatives qualifying as hedges (net of tax)</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(2,465)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(2,606)</w:t>
            </w:r>
          </w:p>
        </w:tc>
        <w:tc>
          <w:tcPr>
            <w:tcW w:w="40" w:type="dxa"/>
            <w:vAlign w:val="bottom"/>
          </w:tcPr>
          <w:p>
            <w:pPr>
              <w:spacing w:after="0"/>
              <w:rPr>
                <w:sz w:val="14"/>
                <w:szCs w:val="14"/>
                <w:color w:val="auto"/>
              </w:rPr>
            </w:pPr>
          </w:p>
        </w:tc>
      </w:tr>
      <w:tr>
        <w:trPr>
          <w:trHeight w:val="171"/>
        </w:trPr>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Pension and postemployment liability adjustment (net of tax)</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(162,553)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158"/>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Minimum pension liability adjustment (net of tax)</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6"/>
              </w:rPr>
              <w:t>(100,380)</w:t>
            </w:r>
          </w:p>
        </w:tc>
        <w:tc>
          <w:tcPr>
            <w:tcW w:w="40" w:type="dxa"/>
            <w:vAlign w:val="bottom"/>
          </w:tcPr>
          <w:p>
            <w:pPr>
              <w:spacing w:after="0"/>
              <w:rPr>
                <w:sz w:val="13"/>
                <w:szCs w:val="13"/>
                <w:color w:val="auto"/>
              </w:rPr>
            </w:pPr>
          </w:p>
        </w:tc>
      </w:tr>
      <w:tr>
        <w:trPr>
          <w:trHeight w:val="158"/>
        </w:trPr>
        <w:tc>
          <w:tcPr>
            <w:tcW w:w="4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1,823,832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1,688,064</w:t>
            </w:r>
          </w:p>
        </w:tc>
        <w:tc>
          <w:tcPr>
            <w:tcW w:w="40" w:type="dxa"/>
            <w:vAlign w:val="bottom"/>
          </w:tcPr>
          <w:p>
            <w:pPr>
              <w:spacing w:after="0"/>
              <w:rPr>
                <w:sz w:val="13"/>
                <w:szCs w:val="13"/>
                <w:color w:val="auto"/>
              </w:rPr>
            </w:pPr>
          </w:p>
        </w:tc>
      </w:tr>
      <w:tr>
        <w:trPr>
          <w:trHeight w:val="149"/>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Treasury stock, at cost – 26,344,638 shares in 2006 and 23,047,349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6"/>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shares in 2005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(918,664)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(772,717)</w:t>
            </w:r>
          </w:p>
        </w:tc>
      </w:tr>
      <w:tr>
        <w:trPr>
          <w:trHeight w:val="144"/>
        </w:trPr>
        <w:tc>
          <w:tcPr>
            <w:tcW w:w="4300" w:type="dxa"/>
            <w:vAlign w:val="bottom"/>
            <w:tcBorders>
              <w:bottom w:val="single" w:sz="8" w:color="CCEEFF"/>
            </w:tcBorders>
            <w:shd w:val="clear" w:color="auto" w:fill="CCEEFF"/>
          </w:tcPr>
          <w:p>
            <w:pPr>
              <w:ind w:left="140"/>
              <w:spacing w:after="0" w:line="144" w:lineRule="exact"/>
              <w:rPr>
                <w:sz w:val="20"/>
                <w:szCs w:val="20"/>
                <w:color w:val="auto"/>
              </w:rPr>
            </w:pPr>
            <w:r>
              <w:rPr>
                <w:rFonts w:ascii="Arial" w:cs="Arial" w:eastAsia="Arial" w:hAnsi="Arial"/>
                <w:sz w:val="13"/>
                <w:szCs w:val="13"/>
                <w:color w:val="auto"/>
                <w:shd w:val="clear" w:color="auto" w:fill="CCEEFF"/>
              </w:rPr>
              <w:t>Total Shareholders’ Equity</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905,168</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915,347</w:t>
            </w:r>
          </w:p>
        </w:tc>
        <w:tc>
          <w:tcPr>
            <w:tcW w:w="40" w:type="dxa"/>
            <w:vAlign w:val="bottom"/>
          </w:tcPr>
          <w:p>
            <w:pPr>
              <w:spacing w:after="0"/>
              <w:rPr>
                <w:sz w:val="12"/>
                <w:szCs w:val="12"/>
                <w:color w:val="auto"/>
              </w:rPr>
            </w:pPr>
          </w:p>
        </w:tc>
      </w:tr>
      <w:tr>
        <w:trPr>
          <w:trHeight w:val="163"/>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2,478,904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2,638,196</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-5719445</wp:posOffset>
            </wp:positionV>
            <wp:extent cx="3830320" cy="57829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30320" cy="5782945"/>
                    </a:xfrm>
                    <a:prstGeom prst="rect">
                      <a:avLst/>
                    </a:prstGeom>
                    <a:noFill/>
                  </pic:spPr>
                </pic:pic>
              </a:graphicData>
            </a:graphic>
          </wp:anchor>
        </w:drawing>
      </w:r>
    </w:p>
    <w:p>
      <w:pPr>
        <w:sectPr>
          <w:pgSz w:w="11900" w:h="16838" w:orient="portrait"/>
          <w:cols w:equalWidth="0" w:num="1">
            <w:col w:w="10239"/>
          </w:cols>
          <w:pgMar w:left="220" w:top="463" w:right="1440" w:bottom="0" w:gutter="0" w:footer="0" w:header="0"/>
        </w:sectPr>
      </w:pPr>
    </w:p>
    <w:bookmarkStart w:id="22" w:name="page23"/>
    <w:bookmarkEnd w:id="22"/>
    <w:p>
      <w:pPr>
        <w:spacing w:after="0" w:line="62"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383603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8"/>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60" w:type="dxa"/>
            <w:vAlign w:val="bottom"/>
            <w:gridSpan w:val="2"/>
          </w:tcPr>
          <w:p>
            <w:pPr>
              <w:spacing w:after="0" w:line="119" w:lineRule="exact"/>
              <w:rPr>
                <w:sz w:val="20"/>
                <w:szCs w:val="20"/>
                <w:color w:val="auto"/>
              </w:rPr>
            </w:pPr>
            <w:r>
              <w:rPr>
                <w:rFonts w:ascii="Arial" w:cs="Arial" w:eastAsia="Arial" w:hAnsi="Arial"/>
                <w:sz w:val="11"/>
                <w:szCs w:val="11"/>
                <w:b w:val="1"/>
                <w:bCs w:val="1"/>
                <w:i w:val="1"/>
                <w:iCs w:val="1"/>
                <w:color w:val="auto"/>
              </w:rPr>
              <w:t>(DOLLARS IN THOUSANDS)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35"/>
              <w:spacing w:after="0" w:line="119" w:lineRule="exact"/>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15"/>
              <w:spacing w:after="0" w:line="119"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135"/>
              <w:spacing w:after="0" w:line="119" w:lineRule="exact"/>
              <w:rPr>
                <w:sz w:val="20"/>
                <w:szCs w:val="20"/>
                <w:color w:val="auto"/>
              </w:rPr>
            </w:pPr>
            <w:r>
              <w:rPr>
                <w:rFonts w:ascii="Arial" w:cs="Arial" w:eastAsia="Arial" w:hAnsi="Arial"/>
                <w:sz w:val="11"/>
                <w:szCs w:val="11"/>
                <w:b w:val="1"/>
                <w:bCs w:val="1"/>
                <w:color w:val="auto"/>
              </w:rPr>
              <w:t>2004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Cash flows from operating activities:</w:t>
            </w:r>
          </w:p>
        </w:tc>
        <w:tc>
          <w:tcPr>
            <w:tcW w:w="14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60" w:type="dxa"/>
            <w:vAlign w:val="bottom"/>
            <w:gridSpan w:val="2"/>
          </w:tcPr>
          <w:p>
            <w:pPr>
              <w:spacing w:after="0"/>
              <w:rPr>
                <w:sz w:val="20"/>
                <w:szCs w:val="20"/>
                <w:color w:val="auto"/>
              </w:rPr>
            </w:pPr>
            <w:r>
              <w:rPr>
                <w:rFonts w:ascii="Arial" w:cs="Arial" w:eastAsia="Arial" w:hAnsi="Arial"/>
                <w:sz w:val="13"/>
                <w:szCs w:val="13"/>
                <w:color w:val="auto"/>
                <w:highlight w:val="white"/>
              </w:rPr>
              <w:t>Net income</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226,500</w:t>
            </w: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193,066</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196,071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Adjustments to reconcile to net cash provided by operations: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Depreciation and 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89,733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91,928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90,996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Deferred income taxes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(12,423)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(32,882)</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Gain on disposal of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(22,836)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(2,108)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4"/>
              </w:rPr>
              <w:t>(19,774)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Equity based compensation</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18,185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Changes in assets and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60"/>
              <w:spacing w:after="0"/>
              <w:rPr>
                <w:sz w:val="20"/>
                <w:szCs w:val="20"/>
                <w:color w:val="auto"/>
              </w:rPr>
            </w:pPr>
            <w:r>
              <w:rPr>
                <w:rFonts w:ascii="Arial" w:cs="Arial" w:eastAsia="Arial" w:hAnsi="Arial"/>
                <w:sz w:val="13"/>
                <w:szCs w:val="13"/>
                <w:color w:val="auto"/>
                <w:shd w:val="clear" w:color="auto" w:fill="CCEEFF"/>
              </w:rPr>
              <w:t>Current receivables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(27,153)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(1,897)</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260"/>
              <w:spacing w:after="0"/>
              <w:rPr>
                <w:sz w:val="20"/>
                <w:szCs w:val="20"/>
                <w:color w:val="auto"/>
              </w:rPr>
            </w:pPr>
            <w:r>
              <w:rPr>
                <w:rFonts w:ascii="Arial" w:cs="Arial" w:eastAsia="Arial" w:hAnsi="Arial"/>
                <w:sz w:val="13"/>
                <w:szCs w:val="13"/>
                <w:color w:val="auto"/>
                <w:highlight w:val="white"/>
              </w:rPr>
              <w:t>Inventories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9,492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60"/>
              <w:spacing w:after="0"/>
              <w:rPr>
                <w:sz w:val="20"/>
                <w:szCs w:val="20"/>
                <w:color w:val="auto"/>
              </w:rPr>
            </w:pPr>
            <w:r>
              <w:rPr>
                <w:rFonts w:ascii="Arial" w:cs="Arial" w:eastAsia="Arial" w:hAnsi="Arial"/>
                <w:sz w:val="13"/>
                <w:szCs w:val="13"/>
                <w:color w:val="auto"/>
                <w:shd w:val="clear" w:color="auto" w:fill="CCEEFF"/>
              </w:rPr>
              <w:t>Current payables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38,087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(6,369)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260"/>
              <w:spacing w:after="0"/>
              <w:rPr>
                <w:sz w:val="20"/>
                <w:szCs w:val="20"/>
                <w:color w:val="auto"/>
              </w:rPr>
            </w:pPr>
            <w:r>
              <w:rPr>
                <w:rFonts w:ascii="Arial" w:cs="Arial" w:eastAsia="Arial" w:hAnsi="Arial"/>
                <w:sz w:val="13"/>
                <w:szCs w:val="13"/>
                <w:color w:val="auto"/>
                <w:highlight w:val="white"/>
              </w:rPr>
              <w:t>Other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(39,114)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w w:val="99"/>
              </w:rPr>
              <w:t>(46,225)</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18,232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260"/>
              <w:spacing w:after="0"/>
              <w:rPr>
                <w:sz w:val="20"/>
                <w:szCs w:val="20"/>
                <w:color w:val="auto"/>
              </w:rPr>
            </w:pPr>
            <w:r>
              <w:rPr>
                <w:rFonts w:ascii="Arial" w:cs="Arial" w:eastAsia="Arial" w:hAnsi="Arial"/>
                <w:sz w:val="13"/>
                <w:szCs w:val="13"/>
                <w:color w:val="auto"/>
                <w:shd w:val="clear" w:color="auto" w:fill="CCEEFF"/>
              </w:rPr>
              <w:t>Other liabilities</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(17,570)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(25,586)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(20,718)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6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highlight w:val="white"/>
              </w:rPr>
              <w:t>Net cash provided by operations</w:t>
            </w: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262,901</w:t>
            </w: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177,160</w:t>
            </w:r>
          </w:p>
        </w:tc>
        <w:tc>
          <w:tcPr>
            <w:tcW w:w="180" w:type="dxa"/>
            <w:vAlign w:val="bottom"/>
            <w:tcBorders>
              <w:top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295,847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Cash flows from investing activities:</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Net change in short-term investments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(240)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Additions to property, plant and equipment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(58,282)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(93,433)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(70,607)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Proceeds from disposal of assets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27,235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2,787</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shd w:val="clear" w:color="auto" w:fill="CCEEFF"/>
              </w:rPr>
              <w:t>Net cash used in investing activities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w w:val="99"/>
              </w:rPr>
              <w:t>(31,287)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0"/>
              </w:rPr>
              <w:t>(90,611)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94"/>
              </w:rPr>
              <w:t>(31,478)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highlight w:val="white"/>
              </w:rPr>
              <w:t>Cash flows from financing activities:</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shd w:val="clear" w:color="auto" w:fill="CCEEFF"/>
              </w:rPr>
              <w:t>Cash dividends paid to shareholders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(67,381)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3"/>
                <w:szCs w:val="13"/>
                <w:color w:val="auto"/>
                <w:w w:val="99"/>
              </w:rPr>
              <w:t>(67,779)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4"/>
              </w:rPr>
              <w:t>(63,214)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Net change in bank borrowings and overdrafts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(48,714)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312,094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4"/>
              </w:rPr>
              <w:t>(28,447)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Net change in commercial paper outstanding</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(162,933)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Proceeds from long-term debt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375,000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Repayments of long-term debt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6"/>
              </w:rPr>
              <w:t>(499,300)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(11,653)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Proceeds from issuance of stock under stock plans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110,867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23,015</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76,452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Excess tax benefits on stock options exercised</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4,653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gridSpan w:val="2"/>
          </w:tcPr>
          <w:p>
            <w:pPr>
              <w:ind w:left="140"/>
              <w:spacing w:after="0"/>
              <w:rPr>
                <w:sz w:val="20"/>
                <w:szCs w:val="20"/>
                <w:color w:val="auto"/>
              </w:rPr>
            </w:pPr>
            <w:r>
              <w:rPr>
                <w:rFonts w:ascii="Arial" w:cs="Arial" w:eastAsia="Arial" w:hAnsi="Arial"/>
                <w:sz w:val="13"/>
                <w:szCs w:val="13"/>
                <w:color w:val="auto"/>
                <w:highlight w:val="white"/>
              </w:rPr>
              <w:t>Purchase of treasury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w w:val="96"/>
              </w:rPr>
              <w:t>(270,998)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w w:val="99"/>
              </w:rPr>
              <w:t>(98,319)</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4"/>
              </w:rPr>
              <w:t>(66,469)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2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shd w:val="clear" w:color="auto" w:fill="CCEEFF"/>
              </w:rPr>
              <w:t>Net cash (used in) provided by financing activities</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(395,873)</w:t>
            </w: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157,358</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(245,370)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gridSpan w:val="2"/>
          </w:tcPr>
          <w:p>
            <w:pPr>
              <w:spacing w:after="0"/>
              <w:rPr>
                <w:sz w:val="20"/>
                <w:szCs w:val="20"/>
                <w:color w:val="auto"/>
              </w:rPr>
            </w:pPr>
            <w:r>
              <w:rPr>
                <w:rFonts w:ascii="Arial" w:cs="Arial" w:eastAsia="Arial" w:hAnsi="Arial"/>
                <w:sz w:val="13"/>
                <w:szCs w:val="13"/>
                <w:color w:val="auto"/>
                <w:highlight w:val="white"/>
              </w:rPr>
              <w:t>Effect of exchange rate changes on cash and cash equivalents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6,222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(3,958)</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shd w:val="clear" w:color="auto" w:fill="CCEEFF"/>
              </w:rPr>
              <w:t>Net change in cash and cash equivalents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6"/>
              </w:rPr>
              <w:t>(158,037)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239,949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gridSpan w:val="2"/>
          </w:tcPr>
          <w:p>
            <w:pPr>
              <w:spacing w:after="0"/>
              <w:rPr>
                <w:sz w:val="20"/>
                <w:szCs w:val="20"/>
                <w:color w:val="auto"/>
              </w:rPr>
            </w:pPr>
            <w:r>
              <w:rPr>
                <w:rFonts w:ascii="Arial" w:cs="Arial" w:eastAsia="Arial" w:hAnsi="Arial"/>
                <w:sz w:val="13"/>
                <w:szCs w:val="13"/>
                <w:b w:val="1"/>
                <w:bCs w:val="1"/>
                <w:color w:val="auto"/>
                <w:highlight w:val="white"/>
              </w:rPr>
              <w:t>Cash and cash equivalents at beginning of year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272,545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32,596</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12,081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shd w:val="clear" w:color="auto" w:fill="CCEEFF"/>
              </w:rPr>
              <w:t>Cash and cash equivalents at end of year</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114,508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272,545</w:t>
            </w: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32,596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6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highlight w:val="white"/>
              </w:rPr>
              <w:t>Non-Cash investing activity:</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shd w:val="clear" w:color="auto" w:fill="CCEEFF"/>
              </w:rPr>
              <w:t>Asset write-down charges associated with the Company’s</w:t>
            </w:r>
          </w:p>
        </w:tc>
        <w:tc>
          <w:tcPr>
            <w:tcW w:w="1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20" w:type="dxa"/>
            <w:vAlign w:val="bottom"/>
            <w:shd w:val="clear" w:color="auto" w:fill="CCEEFF"/>
          </w:tcPr>
          <w:p>
            <w:pPr>
              <w:ind w:left="260"/>
              <w:spacing w:after="0"/>
              <w:rPr>
                <w:sz w:val="20"/>
                <w:szCs w:val="20"/>
                <w:color w:val="auto"/>
              </w:rPr>
            </w:pPr>
            <w:r>
              <w:rPr>
                <w:rFonts w:ascii="Arial" w:cs="Arial" w:eastAsia="Arial" w:hAnsi="Arial"/>
                <w:sz w:val="13"/>
                <w:szCs w:val="13"/>
                <w:color w:val="auto"/>
                <w:shd w:val="clear" w:color="auto" w:fill="CCEEFF"/>
              </w:rPr>
              <w:t>restructuring activities</w:t>
            </w:r>
          </w:p>
        </w:tc>
        <w:tc>
          <w:tcPr>
            <w:tcW w:w="14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60" w:type="dxa"/>
            <w:vAlign w:val="bottom"/>
            <w:gridSpan w:val="2"/>
          </w:tcPr>
          <w:p>
            <w:pPr>
              <w:spacing w:after="0"/>
              <w:rPr>
                <w:sz w:val="20"/>
                <w:szCs w:val="20"/>
                <w:color w:val="auto"/>
              </w:rPr>
            </w:pPr>
            <w:r>
              <w:rPr>
                <w:rFonts w:ascii="Arial" w:cs="Arial" w:eastAsia="Arial" w:hAnsi="Arial"/>
                <w:sz w:val="13"/>
                <w:szCs w:val="13"/>
                <w:color w:val="auto"/>
                <w:highlight w:val="white"/>
              </w:rPr>
              <w:t>Interest paid</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31,701</w:t>
            </w: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37,012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36,663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Taxes paid</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79,442</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66,668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-4199890</wp:posOffset>
            </wp:positionV>
            <wp:extent cx="3842385" cy="42633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42385" cy="4263390"/>
                    </a:xfrm>
                    <a:prstGeom prst="rect">
                      <a:avLst/>
                    </a:prstGeom>
                    <a:noFill/>
                  </pic:spPr>
                </pic:pic>
              </a:graphicData>
            </a:graphic>
          </wp:anchor>
        </w:drawing>
      </w:r>
    </w:p>
    <w:p>
      <w:pPr>
        <w:spacing w:after="0" w:line="228"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CONSOLIDATED STATEMENT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384238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42385" cy="6350"/>
                    </a:xfrm>
                    <a:prstGeom prst="rect">
                      <a:avLst/>
                    </a:prstGeom>
                    <a:noFill/>
                  </pic:spPr>
                </pic:pic>
              </a:graphicData>
            </a:graphic>
          </wp:anchor>
        </w:drawing>
      </w:r>
    </w:p>
    <w:p>
      <w:pPr>
        <w:sectPr>
          <w:pgSz w:w="11900" w:h="16900" w:orient="portrait"/>
          <w:cols w:equalWidth="0" w:num="1">
            <w:col w:w="10239"/>
          </w:cols>
          <w:pgMar w:left="220" w:top="279" w:right="1440" w:bottom="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jc w:val="center"/>
              <w:ind w:left="47"/>
              <w:spacing w:after="0"/>
              <w:rPr>
                <w:sz w:val="20"/>
                <w:szCs w:val="20"/>
                <w:color w:val="auto"/>
              </w:rPr>
            </w:pPr>
            <w:r>
              <w:rPr>
                <w:rFonts w:ascii="Arial" w:cs="Arial" w:eastAsia="Arial" w:hAnsi="Arial"/>
                <w:sz w:val="11"/>
                <w:szCs w:val="11"/>
                <w:b w:val="1"/>
                <w:bCs w:val="1"/>
                <w:color w:val="auto"/>
                <w:w w:val="86"/>
              </w:rPr>
              <w:t>Accumulated</w:t>
            </w:r>
          </w:p>
        </w:tc>
      </w:tr>
      <w:tr>
        <w:trPr>
          <w:trHeight w:val="129"/>
        </w:trPr>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Capital in</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jc w:val="center"/>
              <w:ind w:left="47"/>
              <w:spacing w:after="0"/>
              <w:rPr>
                <w:sz w:val="20"/>
                <w:szCs w:val="20"/>
                <w:color w:val="auto"/>
              </w:rPr>
            </w:pPr>
            <w:r>
              <w:rPr>
                <w:rFonts w:ascii="Arial" w:cs="Arial" w:eastAsia="Arial" w:hAnsi="Arial"/>
                <w:sz w:val="11"/>
                <w:szCs w:val="11"/>
                <w:b w:val="1"/>
                <w:bCs w:val="1"/>
                <w:color w:val="auto"/>
                <w:w w:val="87"/>
              </w:rPr>
              <w:t>other</w:t>
            </w:r>
          </w:p>
        </w:tc>
      </w:tr>
      <w:tr>
        <w:trPr>
          <w:trHeight w:val="129"/>
        </w:trPr>
        <w:tc>
          <w:tcPr>
            <w:tcW w:w="1680" w:type="dxa"/>
            <w:vAlign w:val="bottom"/>
          </w:tcPr>
          <w:p>
            <w:pPr>
              <w:spacing w:after="0"/>
              <w:rPr>
                <w:sz w:val="11"/>
                <w:szCs w:val="11"/>
                <w:color w:val="auto"/>
              </w:rPr>
            </w:pPr>
          </w:p>
        </w:tc>
        <w:tc>
          <w:tcPr>
            <w:tcW w:w="800" w:type="dxa"/>
            <w:vAlign w:val="bottom"/>
          </w:tcPr>
          <w:p>
            <w:pPr>
              <w:jc w:val="center"/>
              <w:ind w:left="247"/>
              <w:spacing w:after="0"/>
              <w:rPr>
                <w:sz w:val="20"/>
                <w:szCs w:val="20"/>
                <w:color w:val="auto"/>
              </w:rPr>
            </w:pPr>
            <w:r>
              <w:rPr>
                <w:rFonts w:ascii="Arial" w:cs="Arial" w:eastAsia="Arial" w:hAnsi="Arial"/>
                <w:sz w:val="11"/>
                <w:szCs w:val="11"/>
                <w:b w:val="1"/>
                <w:bCs w:val="1"/>
                <w:color w:val="auto"/>
                <w:w w:val="88"/>
              </w:rPr>
              <w:t>Common</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79"/>
              </w:rPr>
              <w:t>excess of</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5"/>
              </w:rPr>
              <w:t>Restricted</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w w:val="94"/>
              </w:rPr>
              <w:t>Retained</w:t>
            </w:r>
          </w:p>
        </w:tc>
        <w:tc>
          <w:tcPr>
            <w:tcW w:w="740" w:type="dxa"/>
            <w:vAlign w:val="bottom"/>
          </w:tcPr>
          <w:p>
            <w:pPr>
              <w:jc w:val="center"/>
              <w:ind w:left="27"/>
              <w:spacing w:after="0"/>
              <w:rPr>
                <w:sz w:val="20"/>
                <w:szCs w:val="20"/>
                <w:color w:val="auto"/>
              </w:rPr>
            </w:pPr>
            <w:r>
              <w:rPr>
                <w:rFonts w:ascii="Arial" w:cs="Arial" w:eastAsia="Arial" w:hAnsi="Arial"/>
                <w:sz w:val="11"/>
                <w:szCs w:val="11"/>
                <w:b w:val="1"/>
                <w:bCs w:val="1"/>
                <w:color w:val="auto"/>
                <w:w w:val="81"/>
              </w:rPr>
              <w:t>comprehensive</w:t>
            </w:r>
          </w:p>
        </w:tc>
      </w:tr>
      <w:tr>
        <w:trPr>
          <w:trHeight w:val="136"/>
        </w:trPr>
        <w:tc>
          <w:tcPr>
            <w:tcW w:w="1680" w:type="dxa"/>
            <w:vAlign w:val="bottom"/>
          </w:tcPr>
          <w:p>
            <w:pPr>
              <w:spacing w:after="0"/>
              <w:rPr>
                <w:sz w:val="20"/>
                <w:szCs w:val="20"/>
                <w:color w:val="auto"/>
              </w:rPr>
            </w:pPr>
            <w:r>
              <w:rPr>
                <w:rFonts w:ascii="Arial" w:cs="Arial" w:eastAsia="Arial" w:hAnsi="Arial"/>
                <w:sz w:val="11"/>
                <w:szCs w:val="11"/>
                <w:b w:val="1"/>
                <w:bCs w:val="1"/>
                <w:i w:val="1"/>
                <w:iCs w:val="1"/>
                <w:color w:val="auto"/>
              </w:rPr>
              <w:t>(DOLLARS IN THOUSANDS)</w:t>
            </w:r>
          </w:p>
        </w:tc>
        <w:tc>
          <w:tcPr>
            <w:tcW w:w="800" w:type="dxa"/>
            <w:vAlign w:val="bottom"/>
          </w:tcPr>
          <w:p>
            <w:pPr>
              <w:jc w:val="center"/>
              <w:ind w:left="227"/>
              <w:spacing w:after="0"/>
              <w:rPr>
                <w:sz w:val="20"/>
                <w:szCs w:val="20"/>
                <w:color w:val="auto"/>
              </w:rPr>
            </w:pPr>
            <w:r>
              <w:rPr>
                <w:rFonts w:ascii="Arial" w:cs="Arial" w:eastAsia="Arial" w:hAnsi="Arial"/>
                <w:sz w:val="11"/>
                <w:szCs w:val="11"/>
                <w:b w:val="1"/>
                <w:bCs w:val="1"/>
                <w:color w:val="auto"/>
                <w:w w:val="83"/>
              </w:rPr>
              <w:t>stock</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6"/>
              </w:rPr>
              <w:t>par value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76"/>
              </w:rPr>
              <w:t>stock</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w w:val="95"/>
              </w:rPr>
              <w:t>earnings</w:t>
            </w:r>
          </w:p>
        </w:tc>
        <w:tc>
          <w:tcPr>
            <w:tcW w:w="740" w:type="dxa"/>
            <w:vAlign w:val="bottom"/>
          </w:tcPr>
          <w:p>
            <w:pPr>
              <w:jc w:val="center"/>
              <w:ind w:left="27"/>
              <w:spacing w:after="0"/>
              <w:rPr>
                <w:sz w:val="20"/>
                <w:szCs w:val="20"/>
                <w:color w:val="auto"/>
              </w:rPr>
            </w:pPr>
            <w:r>
              <w:rPr>
                <w:rFonts w:ascii="Arial" w:cs="Arial" w:eastAsia="Arial" w:hAnsi="Arial"/>
                <w:sz w:val="11"/>
                <w:szCs w:val="11"/>
                <w:b w:val="1"/>
                <w:bCs w:val="1"/>
                <w:color w:val="auto"/>
                <w:w w:val="81"/>
              </w:rPr>
              <w:t>income (loss)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-168910</wp:posOffset>
            </wp:positionV>
            <wp:extent cx="6350"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-168910</wp:posOffset>
            </wp:positionV>
            <wp:extent cx="635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-168910</wp:posOffset>
            </wp:positionV>
            <wp:extent cx="635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-168910</wp:posOffset>
            </wp:positionV>
            <wp:extent cx="635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-168910</wp:posOffset>
            </wp:positionV>
            <wp:extent cx="635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-168910</wp:posOffset>
            </wp:positionV>
            <wp:extent cx="635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-168910</wp:posOffset>
            </wp:positionV>
            <wp:extent cx="635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2278380</wp:posOffset>
            </wp:positionH>
            <wp:positionV relativeFrom="paragraph">
              <wp:posOffset>-168910</wp:posOffset>
            </wp:positionV>
            <wp:extent cx="635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-168910</wp:posOffset>
            </wp:positionV>
            <wp:extent cx="635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-168910</wp:posOffset>
            </wp:positionV>
            <wp:extent cx="635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-168910</wp:posOffset>
            </wp:positionV>
            <wp:extent cx="635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-250825</wp:posOffset>
            </wp:positionV>
            <wp:extent cx="635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-86995</wp:posOffset>
            </wp:positionV>
            <wp:extent cx="635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9"/>
          <w:szCs w:val="9"/>
          <w:b w:val="1"/>
          <w:bCs w:val="1"/>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7818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78180" cy="6350"/>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102235</wp:posOffset>
            </wp:positionV>
            <wp:extent cx="6350"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102235</wp:posOffset>
            </wp:positionV>
            <wp:extent cx="635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3" w:lineRule="exact"/>
        <w:rPr>
          <w:sz w:val="20"/>
          <w:szCs w:val="20"/>
          <w:color w:val="auto"/>
        </w:rPr>
      </w:pPr>
    </w:p>
    <w:p>
      <w:pPr>
        <w:spacing w:after="0"/>
        <w:tabs>
          <w:tab w:leader="none" w:pos="600" w:val="left"/>
        </w:tabs>
        <w:rPr>
          <w:sz w:val="20"/>
          <w:szCs w:val="20"/>
          <w:color w:val="auto"/>
        </w:rPr>
      </w:pPr>
      <w:r>
        <w:rPr>
          <w:rFonts w:ascii="Arial" w:cs="Arial" w:eastAsia="Arial" w:hAnsi="Arial"/>
          <w:sz w:val="9"/>
          <w:szCs w:val="9"/>
          <w:b w:val="1"/>
          <w:bCs w:val="1"/>
          <w:color w:val="auto"/>
        </w:rPr>
        <w:t>Shares</w:t>
      </w:r>
      <w:r>
        <w:rPr>
          <w:sz w:val="20"/>
          <w:szCs w:val="20"/>
          <w:color w:val="auto"/>
        </w:rPr>
        <w:tab/>
      </w:r>
      <w:r>
        <w:rPr>
          <w:rFonts w:ascii="Arial" w:cs="Arial" w:eastAsia="Arial" w:hAnsi="Arial"/>
          <w:sz w:val="9"/>
          <w:szCs w:val="9"/>
          <w:b w:val="1"/>
          <w:bCs w:val="1"/>
          <w:color w:val="auto"/>
        </w:rPr>
        <w:t>Cost</w:t>
      </w:r>
    </w:p>
    <w:p>
      <w:pPr>
        <w:spacing w:after="0" w:line="52" w:lineRule="exact"/>
        <w:rPr>
          <w:sz w:val="20"/>
          <w:szCs w:val="20"/>
          <w:color w:val="auto"/>
        </w:rPr>
      </w:pPr>
    </w:p>
    <w:p>
      <w:pPr>
        <w:sectPr>
          <w:pgSz w:w="11900" w:h="16900" w:orient="portrait"/>
          <w:cols w:equalWidth="0" w:num="2">
            <w:col w:w="4880" w:space="220"/>
            <w:col w:w="5139"/>
          </w:cols>
          <w:pgMar w:left="220" w:top="279" w:right="1440"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19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shd w:val="clear" w:color="auto" w:fill="CCEEFF"/>
              </w:rPr>
              <w:t>Balance at January 1, 2004</w:t>
            </w:r>
          </w:p>
        </w:tc>
        <w:tc>
          <w:tcPr>
            <w:tcW w:w="140" w:type="dxa"/>
            <w:vAlign w:val="bottom"/>
            <w:tcBorders>
              <w:right w:val="single" w:sz="8" w:color="CCEEFF"/>
            </w:tcBorders>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1"/>
                <w:szCs w:val="11"/>
                <w:color w:val="auto"/>
                <w:w w:val="85"/>
              </w:rPr>
              <w:t>$14,470</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7"/>
              <w:spacing w:after="0" w:line="109" w:lineRule="exact"/>
              <w:rPr>
                <w:sz w:val="20"/>
                <w:szCs w:val="20"/>
                <w:color w:val="auto"/>
              </w:rPr>
            </w:pPr>
            <w:r>
              <w:rPr>
                <w:rFonts w:ascii="Arial" w:cs="Arial" w:eastAsia="Arial" w:hAnsi="Arial"/>
                <w:sz w:val="11"/>
                <w:szCs w:val="11"/>
                <w:color w:val="auto"/>
              </w:rPr>
              <w:t>$95,138</w:t>
            </w:r>
          </w:p>
        </w:tc>
        <w:tc>
          <w:tcPr>
            <w:tcW w:w="140" w:type="dxa"/>
            <w:vAlign w:val="bottom"/>
            <w:tcBorders>
              <w:right w:val="single" w:sz="8" w:color="CCEEFF"/>
            </w:tcBorders>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1"/>
                <w:szCs w:val="11"/>
                <w:color w:val="auto"/>
                <w:w w:val="87"/>
              </w:rPr>
              <w:t>$(3,952)</w:t>
            </w:r>
          </w:p>
        </w:tc>
        <w:tc>
          <w:tcPr>
            <w:tcW w:w="10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w w:val="83"/>
              </w:rPr>
              <w:t>$1,496,104</w:t>
            </w:r>
          </w:p>
        </w:tc>
        <w:tc>
          <w:tcPr>
            <w:tcW w:w="700" w:type="dxa"/>
            <w:vAlign w:val="bottom"/>
            <w:gridSpan w:val="3"/>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$(131,681)</w:t>
            </w:r>
          </w:p>
        </w:tc>
        <w:tc>
          <w:tcPr>
            <w:tcW w:w="700" w:type="dxa"/>
            <w:vAlign w:val="bottom"/>
            <w:gridSpan w:val="3"/>
            <w:shd w:val="clear" w:color="auto" w:fill="CCEEFF"/>
          </w:tcPr>
          <w:p>
            <w:pPr>
              <w:jc w:val="right"/>
              <w:spacing w:after="0" w:line="109" w:lineRule="exact"/>
              <w:rPr>
                <w:sz w:val="20"/>
                <w:szCs w:val="20"/>
                <w:color w:val="auto"/>
              </w:rPr>
            </w:pPr>
            <w:r>
              <w:rPr>
                <w:rFonts w:ascii="Arial" w:cs="Arial" w:eastAsia="Arial" w:hAnsi="Arial"/>
                <w:sz w:val="11"/>
                <w:szCs w:val="11"/>
                <w:color w:val="auto"/>
              </w:rPr>
              <w:t>(22,032,132)</w:t>
            </w:r>
          </w:p>
        </w:tc>
        <w:tc>
          <w:tcPr>
            <w:tcW w:w="4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82"/>
              </w:rPr>
              <w:t>$(727,448)</w:t>
            </w:r>
          </w:p>
        </w:tc>
        <w:tc>
          <w:tcPr>
            <w:tcW w:w="20" w:type="dxa"/>
            <w:vAlign w:val="bottom"/>
          </w:tcPr>
          <w:p>
            <w:pPr>
              <w:spacing w:after="0"/>
              <w:rPr>
                <w:sz w:val="9"/>
                <w:szCs w:val="9"/>
                <w:color w:val="auto"/>
              </w:rPr>
            </w:pPr>
          </w:p>
        </w:tc>
      </w:tr>
      <w:tr>
        <w:trPr>
          <w:trHeight w:val="135"/>
        </w:trPr>
        <w:tc>
          <w:tcPr>
            <w:tcW w:w="1900" w:type="dxa"/>
            <w:vAlign w:val="bottom"/>
          </w:tcPr>
          <w:p>
            <w:pPr>
              <w:spacing w:after="0"/>
              <w:rPr>
                <w:sz w:val="20"/>
                <w:szCs w:val="20"/>
                <w:color w:val="auto"/>
              </w:rPr>
            </w:pPr>
            <w:r>
              <w:rPr>
                <w:rFonts w:ascii="Arial" w:cs="Arial" w:eastAsia="Arial" w:hAnsi="Arial"/>
                <w:sz w:val="11"/>
                <w:szCs w:val="11"/>
                <w:color w:val="auto"/>
                <w:highlight w:val="white"/>
              </w:rPr>
              <w:t>Net Income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1"/>
                <w:szCs w:val="11"/>
                <w:color w:val="auto"/>
              </w:rPr>
              <w:t>196,071</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1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Cumulative translation adjustment</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53,415</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1"/>
                <w:szCs w:val="11"/>
                <w:color w:val="auto"/>
                <w:highlight w:val="white"/>
                <w:w w:val="88"/>
              </w:rPr>
              <w:t>Accumulated gains on derivatives qualifying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1900" w:type="dxa"/>
            <w:vAlign w:val="bottom"/>
          </w:tcPr>
          <w:p>
            <w:pPr>
              <w:ind w:left="140"/>
              <w:spacing w:after="0"/>
              <w:rPr>
                <w:sz w:val="20"/>
                <w:szCs w:val="20"/>
                <w:color w:val="auto"/>
              </w:rPr>
            </w:pPr>
            <w:r>
              <w:rPr>
                <w:rFonts w:ascii="Arial" w:cs="Arial" w:eastAsia="Arial" w:hAnsi="Arial"/>
                <w:sz w:val="11"/>
                <w:szCs w:val="11"/>
                <w:color w:val="auto"/>
                <w:highlight w:val="white"/>
              </w:rPr>
              <w:t>as hedges; net of tax: $89</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19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93"/>
                <w:shd w:val="clear" w:color="auto" w:fill="CCEEFF"/>
              </w:rPr>
              <w:t>Minimum pension liability adjustment; net</w:t>
            </w: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190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of tax: $11,297</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(27,890)</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1900" w:type="dxa"/>
            <w:vAlign w:val="bottom"/>
          </w:tcPr>
          <w:p>
            <w:pPr>
              <w:spacing w:after="0"/>
              <w:rPr>
                <w:sz w:val="20"/>
                <w:szCs w:val="20"/>
                <w:color w:val="auto"/>
              </w:rPr>
            </w:pPr>
            <w:r>
              <w:rPr>
                <w:rFonts w:ascii="Arial" w:cs="Arial" w:eastAsia="Arial" w:hAnsi="Arial"/>
                <w:sz w:val="11"/>
                <w:szCs w:val="11"/>
                <w:color w:val="auto"/>
                <w:highlight w:val="white"/>
              </w:rPr>
              <w:t>Cash dividends declared</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(64,789)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190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shd w:val="clear" w:color="auto" w:fill="CCEEFF"/>
              </w:rPr>
              <w:t>Stock options</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(15,640)</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2,745,039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92,092</w:t>
            </w:r>
          </w:p>
        </w:tc>
        <w:tc>
          <w:tcPr>
            <w:tcW w:w="20" w:type="dxa"/>
            <w:vAlign w:val="bottom"/>
          </w:tcPr>
          <w:p>
            <w:pPr>
              <w:spacing w:after="0"/>
              <w:rPr>
                <w:sz w:val="12"/>
                <w:szCs w:val="12"/>
                <w:color w:val="auto"/>
              </w:rPr>
            </w:pPr>
          </w:p>
        </w:tc>
      </w:tr>
      <w:tr>
        <w:trPr>
          <w:trHeight w:val="135"/>
        </w:trPr>
        <w:tc>
          <w:tcPr>
            <w:tcW w:w="1900" w:type="dxa"/>
            <w:vAlign w:val="bottom"/>
          </w:tcPr>
          <w:p>
            <w:pPr>
              <w:spacing w:after="0"/>
              <w:rPr>
                <w:sz w:val="20"/>
                <w:szCs w:val="20"/>
                <w:color w:val="auto"/>
              </w:rPr>
            </w:pPr>
            <w:r>
              <w:rPr>
                <w:rFonts w:ascii="Arial" w:cs="Arial" w:eastAsia="Arial" w:hAnsi="Arial"/>
                <w:sz w:val="11"/>
                <w:szCs w:val="11"/>
                <w:color w:val="auto"/>
                <w:highlight w:val="white"/>
              </w:rPr>
              <w:t>Reacquired shares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(1,801,900)</w:t>
            </w:r>
          </w:p>
        </w:tc>
        <w:tc>
          <w:tcPr>
            <w:tcW w:w="460" w:type="dxa"/>
            <w:vAlign w:val="bottom"/>
          </w:tcPr>
          <w:p>
            <w:pPr>
              <w:jc w:val="right"/>
              <w:spacing w:after="0"/>
              <w:rPr>
                <w:sz w:val="20"/>
                <w:szCs w:val="20"/>
                <w:color w:val="auto"/>
              </w:rPr>
            </w:pPr>
            <w:r>
              <w:rPr>
                <w:rFonts w:ascii="Arial" w:cs="Arial" w:eastAsia="Arial" w:hAnsi="Arial"/>
                <w:sz w:val="11"/>
                <w:szCs w:val="11"/>
                <w:color w:val="auto"/>
              </w:rPr>
              <w:t>(66,469)</w:t>
            </w:r>
          </w:p>
        </w:tc>
        <w:tc>
          <w:tcPr>
            <w:tcW w:w="20" w:type="dxa"/>
            <w:vAlign w:val="bottom"/>
          </w:tcPr>
          <w:p>
            <w:pPr>
              <w:spacing w:after="0"/>
              <w:rPr>
                <w:sz w:val="11"/>
                <w:szCs w:val="11"/>
                <w:color w:val="auto"/>
              </w:rPr>
            </w:pPr>
          </w:p>
        </w:tc>
      </w:tr>
      <w:tr>
        <w:trPr>
          <w:trHeight w:val="142"/>
        </w:trPr>
        <w:tc>
          <w:tcPr>
            <w:tcW w:w="1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Repayment of loan</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387</w:t>
            </w: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900" w:type="dxa"/>
            <w:vAlign w:val="bottom"/>
          </w:tcPr>
          <w:p>
            <w:pPr>
              <w:spacing w:after="0"/>
              <w:rPr>
                <w:sz w:val="20"/>
                <w:szCs w:val="20"/>
                <w:color w:val="auto"/>
              </w:rPr>
            </w:pPr>
            <w:r>
              <w:rPr>
                <w:rFonts w:ascii="Arial" w:cs="Arial" w:eastAsia="Arial" w:hAnsi="Arial"/>
                <w:sz w:val="11"/>
                <w:szCs w:val="11"/>
                <w:color w:val="auto"/>
                <w:highlight w:val="white"/>
              </w:rPr>
              <w:t>Amortization</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2,695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3"/>
        </w:trPr>
        <w:tc>
          <w:tcPr>
            <w:tcW w:w="1900" w:type="dxa"/>
            <w:vAlign w:val="bottom"/>
            <w:tcBorders>
              <w:bottom w:val="single" w:sz="8" w:color="CCEEFF"/>
            </w:tcBorders>
            <w:shd w:val="clear" w:color="auto" w:fill="CCEEFF"/>
          </w:tcPr>
          <w:p>
            <w:pPr>
              <w:spacing w:after="0" w:line="114" w:lineRule="exact"/>
              <w:rPr>
                <w:sz w:val="20"/>
                <w:szCs w:val="20"/>
                <w:color w:val="auto"/>
              </w:rPr>
            </w:pPr>
            <w:r>
              <w:rPr>
                <w:rFonts w:ascii="Arial" w:cs="Arial" w:eastAsia="Arial" w:hAnsi="Arial"/>
                <w:sz w:val="11"/>
                <w:szCs w:val="11"/>
                <w:color w:val="auto"/>
                <w:shd w:val="clear" w:color="auto" w:fill="CCEEFF"/>
              </w:rPr>
              <w:t>Balance at Dec. 31, 2004</w:t>
            </w:r>
          </w:p>
        </w:tc>
        <w:tc>
          <w:tcPr>
            <w:tcW w:w="140" w:type="dxa"/>
            <w:vAlign w:val="bottom"/>
            <w:tcBorders>
              <w:bottom w:val="single" w:sz="8" w:color="CCEEFF"/>
              <w:right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auto"/>
              <w:right w:val="single" w:sz="8" w:color="CCEEFF"/>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14,470</w:t>
            </w:r>
          </w:p>
        </w:tc>
        <w:tc>
          <w:tcPr>
            <w:tcW w:w="80" w:type="dxa"/>
            <w:vAlign w:val="bottom"/>
            <w:tcBorders>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shd w:val="clear" w:color="auto" w:fill="CCEEFF"/>
              </w:rPr>
              <w:t>79,498</w:t>
            </w:r>
          </w:p>
        </w:tc>
        <w:tc>
          <w:tcPr>
            <w:tcW w:w="140" w:type="dxa"/>
            <w:vAlign w:val="bottom"/>
            <w:tcBorders>
              <w:bottom w:val="single" w:sz="8" w:color="CCEEFF"/>
              <w:right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auto"/>
              <w:right w:val="single" w:sz="8" w:color="CCEEFF"/>
            </w:tcBorders>
            <w:shd w:val="clear" w:color="auto" w:fill="CCEEFF"/>
          </w:tcPr>
          <w:p>
            <w:pPr>
              <w:jc w:val="right"/>
              <w:ind w:right="7"/>
              <w:spacing w:after="0" w:line="114" w:lineRule="exact"/>
              <w:rPr>
                <w:sz w:val="20"/>
                <w:szCs w:val="20"/>
                <w:color w:val="auto"/>
              </w:rPr>
            </w:pPr>
            <w:r>
              <w:rPr>
                <w:rFonts w:ascii="Arial" w:cs="Arial" w:eastAsia="Arial" w:hAnsi="Arial"/>
                <w:sz w:val="11"/>
                <w:szCs w:val="11"/>
                <w:color w:val="auto"/>
              </w:rPr>
              <w:t>(870)</w:t>
            </w:r>
          </w:p>
        </w:tc>
        <w:tc>
          <w:tcPr>
            <w:tcW w:w="100" w:type="dxa"/>
            <w:vAlign w:val="bottom"/>
            <w:tcBorders>
              <w:bottom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3"/>
              </w:rPr>
              <w:t>1,627,386</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(108,172)</w:t>
            </w: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right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85"/>
              </w:rPr>
              <w:t>(21,088,993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3"/>
              </w:rPr>
              <w:t>(701,825)</w:t>
            </w:r>
          </w:p>
        </w:tc>
        <w:tc>
          <w:tcPr>
            <w:tcW w:w="20" w:type="dxa"/>
            <w:vAlign w:val="bottom"/>
          </w:tcPr>
          <w:p>
            <w:pPr>
              <w:spacing w:after="0"/>
              <w:rPr>
                <w:sz w:val="9"/>
                <w:szCs w:val="9"/>
                <w:color w:val="auto"/>
              </w:rPr>
            </w:pPr>
          </w:p>
        </w:tc>
      </w:tr>
      <w:tr>
        <w:trPr>
          <w:trHeight w:val="130"/>
        </w:trPr>
        <w:tc>
          <w:tcPr>
            <w:tcW w:w="1900" w:type="dxa"/>
            <w:vAlign w:val="bottom"/>
          </w:tcPr>
          <w:p>
            <w:pPr>
              <w:spacing w:after="0"/>
              <w:rPr>
                <w:sz w:val="20"/>
                <w:szCs w:val="20"/>
                <w:color w:val="auto"/>
              </w:rPr>
            </w:pPr>
            <w:r>
              <w:rPr>
                <w:rFonts w:ascii="Arial" w:cs="Arial" w:eastAsia="Arial" w:hAnsi="Arial"/>
                <w:sz w:val="11"/>
                <w:szCs w:val="11"/>
                <w:color w:val="auto"/>
                <w:highlight w:val="white"/>
              </w:rPr>
              <w:t>Net Income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1"/>
                <w:szCs w:val="11"/>
                <w:color w:val="auto"/>
              </w:rPr>
              <w:t>193,066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1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Cumulative translation adjustment</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(55,596)</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1"/>
                <w:szCs w:val="11"/>
                <w:color w:val="auto"/>
                <w:highlight w:val="white"/>
              </w:rPr>
              <w:t>Accumulated losses on derivatives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1900" w:type="dxa"/>
            <w:vAlign w:val="bottom"/>
          </w:tcPr>
          <w:p>
            <w:pPr>
              <w:ind w:left="140"/>
              <w:spacing w:after="0"/>
              <w:rPr>
                <w:sz w:val="20"/>
                <w:szCs w:val="20"/>
                <w:color w:val="auto"/>
              </w:rPr>
            </w:pPr>
            <w:r>
              <w:rPr>
                <w:rFonts w:ascii="Arial" w:cs="Arial" w:eastAsia="Arial" w:hAnsi="Arial"/>
                <w:sz w:val="11"/>
                <w:szCs w:val="11"/>
                <w:color w:val="auto"/>
                <w:highlight w:val="white"/>
                <w:w w:val="95"/>
              </w:rPr>
              <w:t>qualifying as hedges; net of tax: $674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1"/>
                <w:szCs w:val="11"/>
                <w:color w:val="auto"/>
              </w:rPr>
              <w:t>3,088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19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shd w:val="clear" w:color="auto" w:fill="CCEEFF"/>
              </w:rPr>
              <w:t>Minimum pension liability adjustment;</w:t>
            </w: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190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net of tax: ($2,262)</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10,325</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1900" w:type="dxa"/>
            <w:vAlign w:val="bottom"/>
          </w:tcPr>
          <w:p>
            <w:pPr>
              <w:spacing w:after="0"/>
              <w:rPr>
                <w:sz w:val="20"/>
                <w:szCs w:val="20"/>
                <w:color w:val="auto"/>
              </w:rPr>
            </w:pPr>
            <w:r>
              <w:rPr>
                <w:rFonts w:ascii="Arial" w:cs="Arial" w:eastAsia="Arial" w:hAnsi="Arial"/>
                <w:sz w:val="11"/>
                <w:szCs w:val="11"/>
                <w:color w:val="auto"/>
                <w:highlight w:val="white"/>
              </w:rPr>
              <w:t>Cash dividends declared</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1"/>
                <w:szCs w:val="11"/>
                <w:color w:val="auto"/>
              </w:rPr>
              <w:t>(68,397)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190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shd w:val="clear" w:color="auto" w:fill="CCEEFF"/>
              </w:rPr>
              <w:t>Stock options</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shd w:val="clear" w:color="auto" w:fill="CCEEFF"/>
              </w:rPr>
              <w:t>(7,604)</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8"/>
              <w:spacing w:after="0" w:line="125" w:lineRule="exact"/>
              <w:rPr>
                <w:sz w:val="20"/>
                <w:szCs w:val="20"/>
                <w:color w:val="auto"/>
              </w:rPr>
            </w:pPr>
            <w:r>
              <w:rPr>
                <w:rFonts w:ascii="Arial" w:cs="Arial" w:eastAsia="Arial" w:hAnsi="Arial"/>
                <w:sz w:val="11"/>
                <w:szCs w:val="11"/>
                <w:color w:val="auto"/>
              </w:rPr>
              <w:t>828,644</w:t>
            </w: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34,094</w:t>
            </w:r>
          </w:p>
        </w:tc>
        <w:tc>
          <w:tcPr>
            <w:tcW w:w="20" w:type="dxa"/>
            <w:vAlign w:val="bottom"/>
          </w:tcPr>
          <w:p>
            <w:pPr>
              <w:spacing w:after="0"/>
              <w:rPr>
                <w:sz w:val="12"/>
                <w:szCs w:val="12"/>
                <w:color w:val="auto"/>
              </w:rPr>
            </w:pPr>
          </w:p>
        </w:tc>
      </w:tr>
      <w:tr>
        <w:trPr>
          <w:trHeight w:val="132"/>
        </w:trPr>
        <w:tc>
          <w:tcPr>
            <w:tcW w:w="1900" w:type="dxa"/>
            <w:vAlign w:val="bottom"/>
          </w:tcPr>
          <w:p>
            <w:pPr>
              <w:spacing w:after="0"/>
              <w:rPr>
                <w:sz w:val="20"/>
                <w:szCs w:val="20"/>
                <w:color w:val="auto"/>
              </w:rPr>
            </w:pPr>
            <w:r>
              <w:rPr>
                <w:rFonts w:ascii="Arial" w:cs="Arial" w:eastAsia="Arial" w:hAnsi="Arial"/>
                <w:sz w:val="11"/>
                <w:szCs w:val="11"/>
                <w:color w:val="auto"/>
                <w:highlight w:val="white"/>
              </w:rPr>
              <w:t>Reacquired shares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(2,587,000)</w:t>
            </w:r>
          </w:p>
        </w:tc>
        <w:tc>
          <w:tcPr>
            <w:tcW w:w="460" w:type="dxa"/>
            <w:vAlign w:val="bottom"/>
          </w:tcPr>
          <w:p>
            <w:pPr>
              <w:jc w:val="right"/>
              <w:spacing w:after="0"/>
              <w:rPr>
                <w:sz w:val="20"/>
                <w:szCs w:val="20"/>
                <w:color w:val="auto"/>
              </w:rPr>
            </w:pPr>
            <w:r>
              <w:rPr>
                <w:rFonts w:ascii="Arial" w:cs="Arial" w:eastAsia="Arial" w:hAnsi="Arial"/>
                <w:sz w:val="11"/>
                <w:szCs w:val="11"/>
                <w:color w:val="auto"/>
              </w:rPr>
              <w:t>(98,319)</w:t>
            </w:r>
          </w:p>
        </w:tc>
        <w:tc>
          <w:tcPr>
            <w:tcW w:w="20" w:type="dxa"/>
            <w:vAlign w:val="bottom"/>
          </w:tcPr>
          <w:p>
            <w:pPr>
              <w:spacing w:after="0"/>
              <w:rPr>
                <w:sz w:val="11"/>
                <w:szCs w:val="11"/>
                <w:color w:val="auto"/>
              </w:rPr>
            </w:pPr>
          </w:p>
        </w:tc>
      </w:tr>
      <w:tr>
        <w:trPr>
          <w:trHeight w:val="145"/>
        </w:trPr>
        <w:tc>
          <w:tcPr>
            <w:tcW w:w="190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shd w:val="clear" w:color="auto" w:fill="CCEEFF"/>
              </w:rPr>
              <w:t>Restricted stock award</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25" w:lineRule="exact"/>
              <w:rPr>
                <w:sz w:val="20"/>
                <w:szCs w:val="20"/>
                <w:color w:val="auto"/>
              </w:rPr>
            </w:pPr>
            <w:r>
              <w:rPr>
                <w:rFonts w:ascii="Arial" w:cs="Arial" w:eastAsia="Arial" w:hAnsi="Arial"/>
                <w:sz w:val="11"/>
                <w:szCs w:val="11"/>
                <w:color w:val="auto"/>
              </w:rPr>
              <w:t>(200,000)</w:t>
            </w: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(6,667)</w:t>
            </w:r>
          </w:p>
        </w:tc>
        <w:tc>
          <w:tcPr>
            <w:tcW w:w="20" w:type="dxa"/>
            <w:vAlign w:val="bottom"/>
          </w:tcPr>
          <w:p>
            <w:pPr>
              <w:spacing w:after="0"/>
              <w:rPr>
                <w:sz w:val="12"/>
                <w:szCs w:val="12"/>
                <w:color w:val="auto"/>
              </w:rPr>
            </w:pPr>
          </w:p>
        </w:tc>
      </w:tr>
      <w:tr>
        <w:trPr>
          <w:trHeight w:val="129"/>
        </w:trPr>
        <w:tc>
          <w:tcPr>
            <w:tcW w:w="1900" w:type="dxa"/>
            <w:vAlign w:val="bottom"/>
          </w:tcPr>
          <w:p>
            <w:pPr>
              <w:spacing w:after="0"/>
              <w:rPr>
                <w:sz w:val="20"/>
                <w:szCs w:val="20"/>
                <w:color w:val="auto"/>
              </w:rPr>
            </w:pPr>
            <w:r>
              <w:rPr>
                <w:rFonts w:ascii="Arial" w:cs="Arial" w:eastAsia="Arial" w:hAnsi="Arial"/>
                <w:sz w:val="11"/>
                <w:szCs w:val="11"/>
                <w:color w:val="auto"/>
                <w:highlight w:val="white"/>
              </w:rPr>
              <w:t>Amortization</w:t>
            </w: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w:t>
            </w: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3"/>
        </w:trPr>
        <w:tc>
          <w:tcPr>
            <w:tcW w:w="1900" w:type="dxa"/>
            <w:vAlign w:val="bottom"/>
            <w:tcBorders>
              <w:bottom w:val="single" w:sz="8" w:color="CCEEFF"/>
            </w:tcBorders>
            <w:shd w:val="clear" w:color="auto" w:fill="CCEEFF"/>
          </w:tcPr>
          <w:p>
            <w:pPr>
              <w:spacing w:after="0" w:line="114" w:lineRule="exact"/>
              <w:rPr>
                <w:sz w:val="20"/>
                <w:szCs w:val="20"/>
                <w:color w:val="auto"/>
              </w:rPr>
            </w:pPr>
            <w:r>
              <w:rPr>
                <w:rFonts w:ascii="Arial" w:cs="Arial" w:eastAsia="Arial" w:hAnsi="Arial"/>
                <w:sz w:val="11"/>
                <w:szCs w:val="11"/>
                <w:color w:val="auto"/>
                <w:shd w:val="clear" w:color="auto" w:fill="CCEEFF"/>
              </w:rPr>
              <w:t>Balance at Dec. 31, 2005</w:t>
            </w:r>
          </w:p>
        </w:tc>
        <w:tc>
          <w:tcPr>
            <w:tcW w:w="140" w:type="dxa"/>
            <w:vAlign w:val="bottom"/>
            <w:tcBorders>
              <w:bottom w:val="single" w:sz="8" w:color="CCEEFF"/>
              <w:right w:val="single" w:sz="8" w:color="CCEEFF"/>
            </w:tcBorders>
            <w:shd w:val="clear" w:color="auto" w:fill="CCEEFF"/>
          </w:tcPr>
          <w:p>
            <w:pPr>
              <w:spacing w:after="0"/>
              <w:rPr>
                <w:sz w:val="9"/>
                <w:szCs w:val="9"/>
                <w:color w:val="auto"/>
              </w:rPr>
            </w:pPr>
          </w:p>
        </w:tc>
        <w:tc>
          <w:tcPr>
            <w:tcW w:w="400" w:type="dxa"/>
            <w:vAlign w:val="bottom"/>
            <w:tcBorders>
              <w:bottom w:val="single" w:sz="8" w:color="auto"/>
              <w:right w:val="single" w:sz="8" w:color="CCEEFF"/>
            </w:tcBorders>
            <w:shd w:val="clear" w:color="auto" w:fill="CCEEFF"/>
          </w:tcPr>
          <w:p>
            <w:pPr>
              <w:jc w:val="right"/>
              <w:spacing w:after="0" w:line="114" w:lineRule="exact"/>
              <w:rPr>
                <w:sz w:val="20"/>
                <w:szCs w:val="20"/>
                <w:color w:val="auto"/>
              </w:rPr>
            </w:pPr>
            <w:r>
              <w:rPr>
                <w:rFonts w:ascii="Arial" w:cs="Arial" w:eastAsia="Arial" w:hAnsi="Arial"/>
                <w:sz w:val="11"/>
                <w:szCs w:val="11"/>
                <w:color w:val="auto"/>
                <w:shd w:val="clear" w:color="auto" w:fill="CCEEFF"/>
              </w:rPr>
              <w:t>14,470</w:t>
            </w:r>
          </w:p>
        </w:tc>
        <w:tc>
          <w:tcPr>
            <w:tcW w:w="8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shd w:val="clear" w:color="auto" w:fill="CCEEFF"/>
              </w:rPr>
              <w:t>71,894</w:t>
            </w:r>
          </w:p>
        </w:tc>
        <w:tc>
          <w:tcPr>
            <w:tcW w:w="140" w:type="dxa"/>
            <w:vAlign w:val="bottom"/>
            <w:tcBorders>
              <w:bottom w:val="single" w:sz="8" w:color="CCEEFF"/>
              <w:right w:val="single" w:sz="8" w:color="CCEEFF"/>
            </w:tcBorders>
            <w:shd w:val="clear" w:color="auto" w:fill="CCEEFF"/>
          </w:tcPr>
          <w:p>
            <w:pPr>
              <w:spacing w:after="0"/>
              <w:rPr>
                <w:sz w:val="9"/>
                <w:szCs w:val="9"/>
                <w:color w:val="auto"/>
              </w:rPr>
            </w:pPr>
          </w:p>
        </w:tc>
        <w:tc>
          <w:tcPr>
            <w:tcW w:w="400" w:type="dxa"/>
            <w:vAlign w:val="bottom"/>
            <w:tcBorders>
              <w:bottom w:val="single" w:sz="8" w:color="auto"/>
              <w:right w:val="single" w:sz="8" w:color="CCEEFF"/>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3"/>
              </w:rPr>
              <w:t>1,752,055</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(150,355)</w:t>
            </w: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right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85"/>
              </w:rPr>
              <w:t>(23,047,349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3"/>
              </w:rPr>
              <w:t>(772,717)</w:t>
            </w:r>
          </w:p>
        </w:tc>
        <w:tc>
          <w:tcPr>
            <w:tcW w:w="20" w:type="dxa"/>
            <w:vAlign w:val="bottom"/>
          </w:tcPr>
          <w:p>
            <w:pPr>
              <w:spacing w:after="0"/>
              <w:rPr>
                <w:sz w:val="9"/>
                <w:szCs w:val="9"/>
                <w:color w:val="auto"/>
              </w:rPr>
            </w:pPr>
          </w:p>
        </w:tc>
      </w:tr>
      <w:tr>
        <w:trPr>
          <w:trHeight w:val="130"/>
        </w:trPr>
        <w:tc>
          <w:tcPr>
            <w:tcW w:w="1900" w:type="dxa"/>
            <w:vAlign w:val="bottom"/>
          </w:tcPr>
          <w:p>
            <w:pPr>
              <w:spacing w:after="0"/>
              <w:rPr>
                <w:sz w:val="20"/>
                <w:szCs w:val="20"/>
                <w:color w:val="auto"/>
              </w:rPr>
            </w:pPr>
            <w:r>
              <w:rPr>
                <w:rFonts w:ascii="Arial" w:cs="Arial" w:eastAsia="Arial" w:hAnsi="Arial"/>
                <w:sz w:val="11"/>
                <w:szCs w:val="11"/>
                <w:color w:val="auto"/>
                <w:highlight w:val="white"/>
              </w:rPr>
              <w:t>Net Income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1"/>
                <w:szCs w:val="11"/>
                <w:color w:val="auto"/>
              </w:rPr>
              <w:t>226,500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19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Cumulative translation adjustment</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15,515</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1"/>
                <w:szCs w:val="11"/>
                <w:color w:val="auto"/>
                <w:highlight w:val="white"/>
              </w:rPr>
              <w:t>Accumulated losses on derivatives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1900" w:type="dxa"/>
            <w:vAlign w:val="bottom"/>
          </w:tcPr>
          <w:p>
            <w:pPr>
              <w:ind w:left="140"/>
              <w:spacing w:after="0"/>
              <w:rPr>
                <w:sz w:val="20"/>
                <w:szCs w:val="20"/>
                <w:color w:val="auto"/>
              </w:rPr>
            </w:pPr>
            <w:r>
              <w:rPr>
                <w:rFonts w:ascii="Arial" w:cs="Arial" w:eastAsia="Arial" w:hAnsi="Arial"/>
                <w:sz w:val="11"/>
                <w:szCs w:val="11"/>
                <w:color w:val="auto"/>
                <w:highlight w:val="white"/>
              </w:rPr>
              <w:t>qualifying as hedges; net of tax: $0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19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93"/>
                <w:shd w:val="clear" w:color="auto" w:fill="CCEEFF"/>
              </w:rPr>
              <w:t>Minimum pension liability adjustment; net</w:t>
            </w: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190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of tax: $42,469</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92,831</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1"/>
                <w:szCs w:val="11"/>
                <w:color w:val="auto"/>
                <w:highlight w:val="white"/>
                <w:w w:val="98"/>
              </w:rPr>
              <w:t>Adoption of FAS 158 Minimum pension</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9"/>
        </w:trPr>
        <w:tc>
          <w:tcPr>
            <w:tcW w:w="19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highlight w:val="white"/>
                <w:w w:val="96"/>
              </w:rPr>
              <w:t>liability adjustment; net of tax: $4,276</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1"/>
                <w:szCs w:val="11"/>
                <w:color w:val="auto"/>
              </w:rPr>
              <w:t>7,549)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-2854960</wp:posOffset>
            </wp:positionV>
            <wp:extent cx="3848735" cy="28251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48735" cy="2825115"/>
                    </a:xfrm>
                    <a:prstGeom prst="rect">
                      <a:avLst/>
                    </a:prstGeom>
                    <a:noFill/>
                  </pic:spPr>
                </pic:pic>
              </a:graphicData>
            </a:graphic>
          </wp:anchor>
        </w:drawing>
      </w:r>
    </w:p>
    <w:p>
      <w:pPr>
        <w:sectPr>
          <w:pgSz w:w="11900" w:h="16900" w:orient="portrait"/>
          <w:cols w:equalWidth="0" w:num="1">
            <w:col w:w="10239"/>
          </w:cols>
          <w:pgMar w:left="220" w:top="279" w:right="1440" w:bottom="0" w:gutter="0" w:footer="0" w:header="0"/>
          <w:type w:val="continuous"/>
        </w:sectPr>
      </w:pPr>
    </w:p>
    <w:bookmarkStart w:id="23" w:name="page24"/>
    <w:bookmarkEnd w:id="23"/>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1350645</wp:posOffset>
            </wp:positionH>
            <wp:positionV relativeFrom="page">
              <wp:posOffset>88900</wp:posOffset>
            </wp:positionV>
            <wp:extent cx="2630805" cy="2571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3080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200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Pension and postemployment liability</w:t>
            </w: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(162,553</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adjustment; net of tax: ($76,742)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000" w:type="dxa"/>
            <w:vAlign w:val="bottom"/>
            <w:vMerge w:val="restart"/>
          </w:tcPr>
          <w:p>
            <w:pPr>
              <w:spacing w:after="0"/>
              <w:rPr>
                <w:sz w:val="20"/>
                <w:szCs w:val="20"/>
                <w:color w:val="auto"/>
              </w:rPr>
            </w:pPr>
            <w:r>
              <w:rPr>
                <w:rFonts w:ascii="Arial" w:cs="Arial" w:eastAsia="Arial" w:hAnsi="Arial"/>
                <w:sz w:val="11"/>
                <w:szCs w:val="11"/>
                <w:color w:val="auto"/>
                <w:highlight w:val="white"/>
              </w:rPr>
              <w:t>Cash dividends declared</w:t>
            </w:r>
          </w:p>
        </w:tc>
        <w:tc>
          <w:tcPr>
            <w:tcW w:w="44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vMerge w:val="restart"/>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(68,956)</w:t>
            </w:r>
          </w:p>
        </w:tc>
        <w:tc>
          <w:tcPr>
            <w:tcW w:w="20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Stock options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shd w:val="clear" w:color="auto" w:fill="CCEEFF"/>
              </w:rPr>
              <w:t>598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3,346,326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20"/>
                <w:szCs w:val="20"/>
                <w:color w:val="auto"/>
              </w:rPr>
            </w:pPr>
            <w:r>
              <w:rPr>
                <w:rFonts w:ascii="Arial" w:cs="Arial" w:eastAsia="Arial" w:hAnsi="Arial"/>
                <w:sz w:val="11"/>
                <w:szCs w:val="11"/>
                <w:color w:val="auto"/>
                <w:highlight w:val="white"/>
              </w:rPr>
              <w:t>Reacquired shares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w w:val="95"/>
              </w:rPr>
              <w:t>(6,891,152)</w:t>
            </w:r>
          </w:p>
        </w:tc>
        <w:tc>
          <w:tcPr>
            <w:tcW w:w="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9"/>
              </w:rPr>
              <w:t>(270,998)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0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shd w:val="clear" w:color="auto" w:fill="CCEEFF"/>
              </w:rPr>
              <w:t>Vested restricted stock units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
              <w:spacing w:after="0" w:line="125" w:lineRule="exact"/>
              <w:rPr>
                <w:sz w:val="20"/>
                <w:szCs w:val="20"/>
                <w:color w:val="auto"/>
              </w:rPr>
            </w:pPr>
            <w:r>
              <w:rPr>
                <w:rFonts w:ascii="Arial" w:cs="Arial" w:eastAsia="Arial" w:hAnsi="Arial"/>
                <w:sz w:val="11"/>
                <w:szCs w:val="11"/>
                <w:color w:val="auto"/>
              </w:rPr>
              <w:t>29,632</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1,597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20"/>
                <w:szCs w:val="20"/>
                <w:color w:val="auto"/>
              </w:rPr>
            </w:pPr>
            <w:r>
              <w:rPr>
                <w:rFonts w:ascii="Arial" w:cs="Arial" w:eastAsia="Arial" w:hAnsi="Arial"/>
                <w:sz w:val="11"/>
                <w:szCs w:val="11"/>
                <w:color w:val="auto"/>
                <w:highlight w:val="white"/>
              </w:rPr>
              <w:t>Restricted stock award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24,143</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1"/>
                <w:szCs w:val="11"/>
                <w:color w:val="auto"/>
              </w:rPr>
              <w:t>217,905</w:t>
            </w:r>
          </w:p>
        </w:tc>
        <w:tc>
          <w:tcPr>
            <w:tcW w:w="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7,404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Balance at Dec. 31, 2006</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$14,470</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shd w:val="clear" w:color="auto" w:fill="CCEEFF"/>
              </w:rPr>
              <w:t>$96,635</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shd w:val="clear" w:color="auto" w:fill="CCEEFF"/>
          </w:tcPr>
          <w:p>
            <w:pPr>
              <w:ind w:left="100"/>
              <w:spacing w:after="0" w:line="119" w:lineRule="exact"/>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u w:val="single" w:color="auto"/>
                <w:color w:val="auto"/>
                <w:w w:val="79"/>
              </w:rPr>
              <w:t>$</w:t>
            </w:r>
            <w:r>
              <w:rPr>
                <w:rFonts w:ascii="Arial" w:cs="Arial" w:eastAsia="Arial" w:hAnsi="Arial"/>
                <w:sz w:val="11"/>
                <w:szCs w:val="11"/>
                <w:color w:val="auto"/>
                <w:w w:val="79"/>
              </w:rPr>
              <w:t>1,909,599</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u w:val="single" w:color="auto"/>
                <w:color w:val="auto"/>
                <w:w w:val="88"/>
              </w:rPr>
              <w:t>$</w:t>
            </w:r>
            <w:r>
              <w:rPr>
                <w:rFonts w:ascii="Arial" w:cs="Arial" w:eastAsia="Arial" w:hAnsi="Arial"/>
                <w:sz w:val="11"/>
                <w:szCs w:val="11"/>
                <w:color w:val="auto"/>
                <w:w w:val="88"/>
              </w:rPr>
              <w:t>(196,872</w:t>
            </w:r>
          </w:p>
        </w:tc>
        <w:tc>
          <w:tcPr>
            <w:tcW w:w="20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
                <w:szCs w:val="1"/>
                <w:color w:val="auto"/>
                <w:w w:val="4294967281"/>
              </w:rPr>
              <w:t>)</w:t>
            </w:r>
          </w:p>
        </w:tc>
        <w:tc>
          <w:tcPr>
            <w:tcW w:w="5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(26,344,638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u w:val="single" w:color="auto"/>
                <w:color w:val="auto"/>
                <w:w w:val="84"/>
              </w:rPr>
              <w:t>$</w:t>
            </w:r>
            <w:r>
              <w:rPr>
                <w:rFonts w:ascii="Arial" w:cs="Arial" w:eastAsia="Arial" w:hAnsi="Arial"/>
                <w:sz w:val="11"/>
                <w:szCs w:val="11"/>
                <w:color w:val="auto"/>
                <w:w w:val="84"/>
              </w:rPr>
              <w:t>(918,664</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1211580" cy="9398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11580" cy="939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-464185</wp:posOffset>
            </wp:positionV>
            <wp:extent cx="3848735" cy="5276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48735" cy="5276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-464185</wp:posOffset>
            </wp:positionV>
            <wp:extent cx="3848735" cy="5276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48735" cy="527685"/>
                    </a:xfrm>
                    <a:prstGeom prst="rect">
                      <a:avLst/>
                    </a:prstGeom>
                    <a:noFill/>
                  </pic:spPr>
                </pic:pic>
              </a:graphicData>
            </a:graphic>
          </wp:anchor>
        </w:drawing>
      </w:r>
    </w:p>
    <w:p>
      <w:pPr>
        <w:spacing w:after="0" w:line="228" w:lineRule="exact"/>
        <w:rPr>
          <w:sz w:val="20"/>
          <w:szCs w:val="20"/>
          <w:color w:val="auto"/>
        </w:rPr>
      </w:pPr>
    </w:p>
    <w:p>
      <w:pPr>
        <w:ind w:left="18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28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20"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377952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46" w:lineRule="exact"/>
        <w:rPr>
          <w:sz w:val="20"/>
          <w:szCs w:val="20"/>
          <w:color w:val="auto"/>
        </w:rPr>
      </w:pPr>
    </w:p>
    <w:p>
      <w:pPr>
        <w:ind w:left="660" w:right="4799" w:hanging="651"/>
        <w:spacing w:after="0" w:line="286" w:lineRule="auto"/>
        <w:tabs>
          <w:tab w:leader="none" w:pos="640" w:val="left"/>
        </w:tabs>
        <w:rPr>
          <w:sz w:val="20"/>
          <w:szCs w:val="20"/>
          <w:color w:val="auto"/>
        </w:rPr>
      </w:pPr>
      <w:r>
        <w:rPr>
          <w:rFonts w:ascii="Arial" w:cs="Arial" w:eastAsia="Arial" w:hAnsi="Arial"/>
          <w:sz w:val="13"/>
          <w:szCs w:val="13"/>
          <w:b w:val="1"/>
          <w:bCs w:val="1"/>
          <w:color w:val="auto"/>
        </w:rPr>
        <w:t>NOTE 1.</w:t>
        <w:tab/>
        <w:t>NATURE OF OPERATIONS AND SUMMARY OF SIGNIFICANT ACCOUNTING POLICIES</w:t>
      </w:r>
    </w:p>
    <w:p>
      <w:pPr>
        <w:spacing w:after="0" w:line="118" w:lineRule="exact"/>
        <w:rPr>
          <w:sz w:val="20"/>
          <w:szCs w:val="20"/>
          <w:color w:val="auto"/>
        </w:rPr>
      </w:pPr>
    </w:p>
    <w:p>
      <w:pPr>
        <w:ind w:right="4399" w:firstLine="263"/>
        <w:spacing w:after="0" w:line="288" w:lineRule="auto"/>
        <w:rPr>
          <w:sz w:val="20"/>
          <w:szCs w:val="20"/>
          <w:color w:val="auto"/>
        </w:rPr>
      </w:pPr>
      <w:r>
        <w:rPr>
          <w:rFonts w:ascii="Arial" w:cs="Arial" w:eastAsia="Arial" w:hAnsi="Arial"/>
          <w:sz w:val="12"/>
          <w:szCs w:val="12"/>
          <w:b w:val="1"/>
          <w:bCs w:val="1"/>
          <w:color w:val="auto"/>
        </w:rPr>
        <w:t xml:space="preserve">Nature of Operations </w:t>
      </w:r>
      <w:r>
        <w:rPr>
          <w:rFonts w:ascii="Arial" w:cs="Arial" w:eastAsia="Arial" w:hAnsi="Arial"/>
          <w:sz w:val="12"/>
          <w:szCs w:val="12"/>
          <w:color w:val="auto"/>
        </w:rPr>
        <w:t>The Company is a leading creator and manufacturer of flavor and fragrance</w:t>
      </w:r>
      <w:r>
        <w:rPr>
          <w:rFonts w:ascii="Arial" w:cs="Arial" w:eastAsia="Arial" w:hAnsi="Arial"/>
          <w:sz w:val="12"/>
          <w:szCs w:val="12"/>
          <w:b w:val="1"/>
          <w:bCs w:val="1"/>
          <w:color w:val="auto"/>
        </w:rPr>
        <w:t xml:space="preserve"> </w:t>
      </w:r>
      <w:r>
        <w:rPr>
          <w:rFonts w:ascii="Arial" w:cs="Arial" w:eastAsia="Arial" w:hAnsi="Arial"/>
          <w:sz w:val="12"/>
          <w:szCs w:val="12"/>
          <w:color w:val="auto"/>
        </w:rPr>
        <w:t>compounds used to impart or improve flavor or fragrance in a wide variety of consumer products. Products are sold principally to manufacturers of perfumes and cosmetics, hair and other personal care products, soaps and detergents, cleaning products, dairy, meat and other processed foods, beverages, snacks and savory foods, confectionery, sweet and baked goods, and pharmaceutical and oral care products.</w:t>
      </w:r>
    </w:p>
    <w:p>
      <w:pPr>
        <w:spacing w:after="0" w:line="42" w:lineRule="exact"/>
        <w:rPr>
          <w:sz w:val="20"/>
          <w:szCs w:val="20"/>
          <w:color w:val="auto"/>
        </w:rPr>
      </w:pPr>
    </w:p>
    <w:p>
      <w:pPr>
        <w:ind w:right="4259" w:firstLine="263"/>
        <w:spacing w:after="0" w:line="293" w:lineRule="auto"/>
        <w:rPr>
          <w:sz w:val="20"/>
          <w:szCs w:val="20"/>
          <w:color w:val="auto"/>
        </w:rPr>
      </w:pPr>
      <w:r>
        <w:rPr>
          <w:rFonts w:ascii="Arial" w:cs="Arial" w:eastAsia="Arial" w:hAnsi="Arial"/>
          <w:sz w:val="12"/>
          <w:szCs w:val="12"/>
          <w:b w:val="1"/>
          <w:bCs w:val="1"/>
          <w:color w:val="auto"/>
        </w:rPr>
        <w:t xml:space="preserve">Principles of Consolidation </w:t>
      </w:r>
      <w:r>
        <w:rPr>
          <w:rFonts w:ascii="Arial" w:cs="Arial" w:eastAsia="Arial" w:hAnsi="Arial"/>
          <w:sz w:val="12"/>
          <w:szCs w:val="12"/>
          <w:color w:val="auto"/>
        </w:rPr>
        <w:t>The Consolidated Financial Statements include the accounts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and all subsidiaries. All intercompany balances and transactions have been eliminated. To the extent a subsidiary is not wholly-owned, any minority interest is included in Other liabilities; applicable (income) expense attributable to the minority interest is included in Other (income) expense, net.</w:t>
      </w:r>
    </w:p>
    <w:p>
      <w:pPr>
        <w:spacing w:after="0" w:line="38" w:lineRule="exact"/>
        <w:rPr>
          <w:sz w:val="20"/>
          <w:szCs w:val="20"/>
          <w:color w:val="auto"/>
        </w:rPr>
      </w:pPr>
    </w:p>
    <w:p>
      <w:pPr>
        <w:ind w:right="4379" w:firstLine="263"/>
        <w:spacing w:after="0" w:line="293" w:lineRule="auto"/>
        <w:rPr>
          <w:sz w:val="20"/>
          <w:szCs w:val="20"/>
          <w:color w:val="auto"/>
        </w:rPr>
      </w:pPr>
      <w:r>
        <w:rPr>
          <w:rFonts w:ascii="Arial" w:cs="Arial" w:eastAsia="Arial" w:hAnsi="Arial"/>
          <w:sz w:val="12"/>
          <w:szCs w:val="12"/>
          <w:b w:val="1"/>
          <w:bCs w:val="1"/>
          <w:color w:val="auto"/>
        </w:rPr>
        <w:t xml:space="preserve">Use of Estimates </w:t>
      </w:r>
      <w:r>
        <w:rPr>
          <w:rFonts w:ascii="Arial" w:cs="Arial" w:eastAsia="Arial" w:hAnsi="Arial"/>
          <w:sz w:val="12"/>
          <w:szCs w:val="12"/>
          <w:color w:val="auto"/>
        </w:rPr>
        <w:t>Preparation of financial statements in conformity with accounting principles generally</w:t>
      </w:r>
      <w:r>
        <w:rPr>
          <w:rFonts w:ascii="Arial" w:cs="Arial" w:eastAsia="Arial" w:hAnsi="Arial"/>
          <w:sz w:val="12"/>
          <w:szCs w:val="12"/>
          <w:b w:val="1"/>
          <w:bCs w:val="1"/>
          <w:color w:val="auto"/>
        </w:rPr>
        <w:t xml:space="preserve"> </w:t>
      </w:r>
      <w:r>
        <w:rPr>
          <w:rFonts w:ascii="Arial" w:cs="Arial" w:eastAsia="Arial" w:hAnsi="Arial"/>
          <w:sz w:val="12"/>
          <w:szCs w:val="12"/>
          <w:color w:val="auto"/>
        </w:rPr>
        <w:t>accepted in the United States requires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38" w:lineRule="exact"/>
        <w:rPr>
          <w:sz w:val="20"/>
          <w:szCs w:val="20"/>
          <w:color w:val="auto"/>
        </w:rPr>
      </w:pPr>
    </w:p>
    <w:p>
      <w:pPr>
        <w:ind w:right="4299" w:firstLine="263"/>
        <w:spacing w:after="0" w:line="264" w:lineRule="auto"/>
        <w:rPr>
          <w:sz w:val="20"/>
          <w:szCs w:val="20"/>
          <w:color w:val="auto"/>
        </w:rPr>
      </w:pPr>
      <w:r>
        <w:rPr>
          <w:rFonts w:ascii="Arial" w:cs="Arial" w:eastAsia="Arial" w:hAnsi="Arial"/>
          <w:sz w:val="13"/>
          <w:szCs w:val="13"/>
          <w:b w:val="1"/>
          <w:bCs w:val="1"/>
          <w:color w:val="auto"/>
        </w:rPr>
        <w:t xml:space="preserve">Revenue Recognition </w:t>
      </w:r>
      <w:r>
        <w:rPr>
          <w:rFonts w:ascii="Arial" w:cs="Arial" w:eastAsia="Arial" w:hAnsi="Arial"/>
          <w:sz w:val="13"/>
          <w:szCs w:val="13"/>
          <w:color w:val="auto"/>
        </w:rPr>
        <w:t>Revenue is recognized when the earnings process is complete, generally when (i)</w:t>
      </w:r>
      <w:r>
        <w:rPr>
          <w:rFonts w:ascii="Arial" w:cs="Arial" w:eastAsia="Arial" w:hAnsi="Arial"/>
          <w:sz w:val="13"/>
          <w:szCs w:val="13"/>
          <w:b w:val="1"/>
          <w:bCs w:val="1"/>
          <w:color w:val="auto"/>
        </w:rPr>
        <w:t xml:space="preserve"> </w:t>
      </w:r>
      <w:r>
        <w:rPr>
          <w:rFonts w:ascii="Arial" w:cs="Arial" w:eastAsia="Arial" w:hAnsi="Arial"/>
          <w:sz w:val="13"/>
          <w:szCs w:val="13"/>
          <w:color w:val="auto"/>
        </w:rPr>
        <w:t>products are shipped to the customer in accordance with the terms of sale, (ii) title and risk of loss have been transferred and (iii) collectibility is reasonably assured. Accruals are made for sales returns and other allowances based on historical experience.</w:t>
      </w:r>
    </w:p>
    <w:p>
      <w:pPr>
        <w:spacing w:after="0" w:line="54" w:lineRule="exact"/>
        <w:rPr>
          <w:sz w:val="20"/>
          <w:szCs w:val="20"/>
          <w:color w:val="auto"/>
        </w:rPr>
      </w:pPr>
    </w:p>
    <w:p>
      <w:pPr>
        <w:jc w:val="both"/>
        <w:ind w:right="4299" w:firstLine="263"/>
        <w:spacing w:after="0" w:line="302" w:lineRule="auto"/>
        <w:rPr>
          <w:sz w:val="20"/>
          <w:szCs w:val="20"/>
          <w:color w:val="auto"/>
        </w:rPr>
      </w:pPr>
      <w:r>
        <w:rPr>
          <w:rFonts w:ascii="Arial" w:cs="Arial" w:eastAsia="Arial" w:hAnsi="Arial"/>
          <w:sz w:val="12"/>
          <w:szCs w:val="12"/>
          <w:b w:val="1"/>
          <w:bCs w:val="1"/>
          <w:color w:val="auto"/>
        </w:rPr>
        <w:t xml:space="preserve">Foreign Currency Translation </w:t>
      </w:r>
      <w:r>
        <w:rPr>
          <w:rFonts w:ascii="Arial" w:cs="Arial" w:eastAsia="Arial" w:hAnsi="Arial"/>
          <w:sz w:val="12"/>
          <w:szCs w:val="12"/>
          <w:color w:val="auto"/>
        </w:rPr>
        <w:t>The assets and liabilities of non-U.S. subsidiaries are translated into U.S.</w:t>
      </w:r>
      <w:r>
        <w:rPr>
          <w:rFonts w:ascii="Arial" w:cs="Arial" w:eastAsia="Arial" w:hAnsi="Arial"/>
          <w:sz w:val="12"/>
          <w:szCs w:val="12"/>
          <w:b w:val="1"/>
          <w:bCs w:val="1"/>
          <w:color w:val="auto"/>
        </w:rPr>
        <w:t xml:space="preserve"> </w:t>
      </w:r>
      <w:r>
        <w:rPr>
          <w:rFonts w:ascii="Arial" w:cs="Arial" w:eastAsia="Arial" w:hAnsi="Arial"/>
          <w:sz w:val="12"/>
          <w:szCs w:val="12"/>
          <w:color w:val="auto"/>
        </w:rPr>
        <w:t>dollars at year-end exchange rates. Income and expense items are translated at average exchange rates during the year. Cumulative translation adjustments are shown as a separate component of Shareholders’ Equity.</w:t>
      </w:r>
    </w:p>
    <w:p>
      <w:pPr>
        <w:spacing w:after="0" w:line="33" w:lineRule="exact"/>
        <w:rPr>
          <w:sz w:val="20"/>
          <w:szCs w:val="20"/>
          <w:color w:val="auto"/>
        </w:rPr>
      </w:pPr>
    </w:p>
    <w:p>
      <w:pPr>
        <w:ind w:left="260"/>
        <w:spacing w:after="0"/>
        <w:tabs>
          <w:tab w:leader="none" w:pos="1900" w:val="left"/>
        </w:tabs>
        <w:rPr>
          <w:sz w:val="20"/>
          <w:szCs w:val="20"/>
          <w:color w:val="auto"/>
        </w:rPr>
      </w:pPr>
      <w:r>
        <w:rPr>
          <w:rFonts w:ascii="Arial" w:cs="Arial" w:eastAsia="Arial" w:hAnsi="Arial"/>
          <w:sz w:val="13"/>
          <w:szCs w:val="13"/>
          <w:b w:val="1"/>
          <w:bCs w:val="1"/>
          <w:color w:val="auto"/>
        </w:rPr>
        <w:t>Research and Development</w:t>
      </w:r>
      <w:r>
        <w:rPr>
          <w:sz w:val="20"/>
          <w:szCs w:val="20"/>
          <w:color w:val="auto"/>
        </w:rPr>
        <w:tab/>
      </w:r>
      <w:r>
        <w:rPr>
          <w:rFonts w:ascii="Arial" w:cs="Arial" w:eastAsia="Arial" w:hAnsi="Arial"/>
          <w:sz w:val="11"/>
          <w:szCs w:val="11"/>
          <w:color w:val="auto"/>
        </w:rPr>
        <w:t>All research and development costs are expensed as incurred.</w:t>
      </w:r>
    </w:p>
    <w:p>
      <w:pPr>
        <w:spacing w:after="0" w:line="88"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3"/>
          <w:szCs w:val="13"/>
          <w:b w:val="1"/>
          <w:bCs w:val="1"/>
          <w:color w:val="auto"/>
        </w:rPr>
        <w:t>Inventories</w:t>
      </w:r>
      <w:r>
        <w:rPr>
          <w:sz w:val="20"/>
          <w:szCs w:val="20"/>
          <w:color w:val="auto"/>
        </w:rPr>
        <w:tab/>
      </w:r>
      <w:r>
        <w:rPr>
          <w:rFonts w:ascii="Arial" w:cs="Arial" w:eastAsia="Arial" w:hAnsi="Arial"/>
          <w:sz w:val="11"/>
          <w:szCs w:val="11"/>
          <w:color w:val="auto"/>
        </w:rPr>
        <w:t>Inventories are stated at the lower of cost (on a weighted average basis) or market.</w:t>
      </w:r>
    </w:p>
    <w:p>
      <w:pPr>
        <w:spacing w:after="0" w:line="88" w:lineRule="exact"/>
        <w:rPr>
          <w:sz w:val="20"/>
          <w:szCs w:val="20"/>
          <w:color w:val="auto"/>
        </w:rPr>
      </w:pPr>
    </w:p>
    <w:p>
      <w:pPr>
        <w:ind w:right="4339" w:firstLine="263"/>
        <w:spacing w:after="0" w:line="286" w:lineRule="auto"/>
        <w:rPr>
          <w:sz w:val="20"/>
          <w:szCs w:val="20"/>
          <w:color w:val="auto"/>
        </w:rPr>
      </w:pPr>
      <w:r>
        <w:rPr>
          <w:rFonts w:ascii="Arial" w:cs="Arial" w:eastAsia="Arial" w:hAnsi="Arial"/>
          <w:sz w:val="13"/>
          <w:szCs w:val="13"/>
          <w:b w:val="1"/>
          <w:bCs w:val="1"/>
          <w:color w:val="auto"/>
        </w:rPr>
        <w:t xml:space="preserve">Cash Equivalents </w:t>
      </w:r>
      <w:r>
        <w:rPr>
          <w:rFonts w:ascii="Arial" w:cs="Arial" w:eastAsia="Arial" w:hAnsi="Arial"/>
          <w:sz w:val="13"/>
          <w:szCs w:val="13"/>
          <w:color w:val="auto"/>
        </w:rPr>
        <w:t>Cash equivalents include highly liquid investments with maturities of three months or</w:t>
      </w:r>
      <w:r>
        <w:rPr>
          <w:rFonts w:ascii="Arial" w:cs="Arial" w:eastAsia="Arial" w:hAnsi="Arial"/>
          <w:sz w:val="13"/>
          <w:szCs w:val="13"/>
          <w:b w:val="1"/>
          <w:bCs w:val="1"/>
          <w:color w:val="auto"/>
        </w:rPr>
        <w:t xml:space="preserve"> </w:t>
      </w:r>
      <w:r>
        <w:rPr>
          <w:rFonts w:ascii="Arial" w:cs="Arial" w:eastAsia="Arial" w:hAnsi="Arial"/>
          <w:sz w:val="13"/>
          <w:szCs w:val="13"/>
          <w:color w:val="auto"/>
        </w:rPr>
        <w:t>less at date of purchase.</w:t>
      </w:r>
    </w:p>
    <w:p>
      <w:pPr>
        <w:spacing w:after="0" w:line="39" w:lineRule="exact"/>
        <w:rPr>
          <w:sz w:val="20"/>
          <w:szCs w:val="20"/>
          <w:color w:val="auto"/>
        </w:rPr>
      </w:pPr>
    </w:p>
    <w:p>
      <w:pPr>
        <w:ind w:right="4439" w:firstLine="263"/>
        <w:spacing w:after="0" w:line="288" w:lineRule="auto"/>
        <w:rPr>
          <w:sz w:val="20"/>
          <w:szCs w:val="20"/>
          <w:color w:val="auto"/>
        </w:rPr>
      </w:pPr>
      <w:r>
        <w:rPr>
          <w:rFonts w:ascii="Arial" w:cs="Arial" w:eastAsia="Arial" w:hAnsi="Arial"/>
          <w:sz w:val="12"/>
          <w:szCs w:val="12"/>
          <w:b w:val="1"/>
          <w:bCs w:val="1"/>
          <w:color w:val="auto"/>
        </w:rPr>
        <w:t xml:space="preserve">Property, Plant and Equipment </w:t>
      </w:r>
      <w:r>
        <w:rPr>
          <w:rFonts w:ascii="Arial" w:cs="Arial" w:eastAsia="Arial" w:hAnsi="Arial"/>
          <w:sz w:val="12"/>
          <w:szCs w:val="12"/>
          <w:color w:val="auto"/>
        </w:rPr>
        <w:t>Property, plant and equipment are recorded at cost. Depreciation is</w:t>
      </w:r>
      <w:r>
        <w:rPr>
          <w:rFonts w:ascii="Arial" w:cs="Arial" w:eastAsia="Arial" w:hAnsi="Arial"/>
          <w:sz w:val="12"/>
          <w:szCs w:val="12"/>
          <w:b w:val="1"/>
          <w:bCs w:val="1"/>
          <w:color w:val="auto"/>
        </w:rPr>
        <w:t xml:space="preserve"> </w:t>
      </w:r>
      <w:r>
        <w:rPr>
          <w:rFonts w:ascii="Arial" w:cs="Arial" w:eastAsia="Arial" w:hAnsi="Arial"/>
          <w:sz w:val="12"/>
          <w:szCs w:val="12"/>
          <w:color w:val="auto"/>
        </w:rPr>
        <w:t>calculated on a straight-line basis, principally over the following estimated useful lives: buildings and improvements, 10 to 40 years; machinery and equipment, 3 to 10 years; information technology hardware and software, 3 to 7 years; and leasehold improvements which are included in buildings and improvements, the estimated life of the improvements or the remaining term of the lease, whichever is shorter.</w:t>
      </w:r>
    </w:p>
    <w:p>
      <w:pPr>
        <w:spacing w:after="0" w:line="46" w:lineRule="exact"/>
        <w:rPr>
          <w:sz w:val="20"/>
          <w:szCs w:val="20"/>
          <w:color w:val="auto"/>
        </w:rPr>
      </w:pPr>
    </w:p>
    <w:p>
      <w:pPr>
        <w:ind w:right="4339" w:firstLine="263"/>
        <w:spacing w:after="0" w:line="260" w:lineRule="auto"/>
        <w:rPr>
          <w:sz w:val="20"/>
          <w:szCs w:val="20"/>
          <w:color w:val="auto"/>
        </w:rPr>
      </w:pPr>
      <w:r>
        <w:rPr>
          <w:rFonts w:ascii="Arial" w:cs="Arial" w:eastAsia="Arial" w:hAnsi="Arial"/>
          <w:sz w:val="13"/>
          <w:szCs w:val="13"/>
          <w:color w:val="auto"/>
        </w:rPr>
        <w:t>Long-lived assets are reviewed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56" w:lineRule="exact"/>
        <w:rPr>
          <w:sz w:val="20"/>
          <w:szCs w:val="20"/>
          <w:color w:val="auto"/>
        </w:rPr>
      </w:pPr>
    </w:p>
    <w:p>
      <w:pPr>
        <w:ind w:right="4259" w:firstLine="263"/>
        <w:spacing w:after="0" w:line="261" w:lineRule="auto"/>
        <w:rPr>
          <w:sz w:val="20"/>
          <w:szCs w:val="20"/>
          <w:color w:val="auto"/>
        </w:rPr>
      </w:pPr>
      <w:r>
        <w:rPr>
          <w:rFonts w:ascii="Arial" w:cs="Arial" w:eastAsia="Arial" w:hAnsi="Arial"/>
          <w:sz w:val="13"/>
          <w:szCs w:val="13"/>
          <w:b w:val="1"/>
          <w:bCs w:val="1"/>
          <w:color w:val="auto"/>
        </w:rPr>
        <w:t xml:space="preserve">Goodwill and Other Intangible Assets </w:t>
      </w:r>
      <w:r>
        <w:rPr>
          <w:rFonts w:ascii="Arial" w:cs="Arial" w:eastAsia="Arial" w:hAnsi="Arial"/>
          <w:sz w:val="13"/>
          <w:szCs w:val="13"/>
          <w:color w:val="auto"/>
        </w:rPr>
        <w:t>Identifiable intangible assets include patents, trademarks and</w:t>
      </w:r>
      <w:r>
        <w:rPr>
          <w:rFonts w:ascii="Arial" w:cs="Arial" w:eastAsia="Arial" w:hAnsi="Arial"/>
          <w:sz w:val="13"/>
          <w:szCs w:val="13"/>
          <w:b w:val="1"/>
          <w:bCs w:val="1"/>
          <w:color w:val="auto"/>
        </w:rPr>
        <w:t xml:space="preserve"> </w:t>
      </w:r>
      <w:r>
        <w:rPr>
          <w:rFonts w:ascii="Arial" w:cs="Arial" w:eastAsia="Arial" w:hAnsi="Arial"/>
          <w:sz w:val="13"/>
          <w:szCs w:val="13"/>
          <w:color w:val="auto"/>
        </w:rPr>
        <w:t>other intellectual property valued at acquisition primarily through independent appraisals, and are amortized on a straight-line basis over 7 to 20 years. For purposes of assessing impairment, fair values for goodwill and indefinite-lived intangibles are determined based on discounted cash flows, market multiples or appraised values, as appropriate.</w:t>
      </w:r>
    </w:p>
    <w:p>
      <w:pPr>
        <w:spacing w:after="0" w:line="190"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319" w:firstLine="263"/>
        <w:spacing w:after="0" w:line="316" w:lineRule="auto"/>
        <w:rPr>
          <w:sz w:val="20"/>
          <w:szCs w:val="20"/>
          <w:color w:val="auto"/>
        </w:rPr>
      </w:pPr>
      <w:r>
        <w:rPr>
          <w:rFonts w:ascii="Arial" w:cs="Arial" w:eastAsia="Arial" w:hAnsi="Arial"/>
          <w:sz w:val="11"/>
          <w:szCs w:val="11"/>
          <w:b w:val="1"/>
          <w:bCs w:val="1"/>
          <w:color w:val="auto"/>
        </w:rPr>
        <w:t xml:space="preserve">Income Taxes </w:t>
      </w:r>
      <w:r>
        <w:rPr>
          <w:rFonts w:ascii="Arial" w:cs="Arial" w:eastAsia="Arial" w:hAnsi="Arial"/>
          <w:sz w:val="11"/>
          <w:szCs w:val="11"/>
          <w:color w:val="auto"/>
        </w:rPr>
        <w:t>Deferred income taxes reflect the impact of temporary differences between the amount of</w:t>
      </w:r>
      <w:r>
        <w:rPr>
          <w:rFonts w:ascii="Arial" w:cs="Arial" w:eastAsia="Arial" w:hAnsi="Arial"/>
          <w:sz w:val="11"/>
          <w:szCs w:val="11"/>
          <w:b w:val="1"/>
          <w:bCs w:val="1"/>
          <w:color w:val="auto"/>
        </w:rPr>
        <w:t xml:space="preserve"> </w:t>
      </w:r>
      <w:r>
        <w:rPr>
          <w:rFonts w:ascii="Arial" w:cs="Arial" w:eastAsia="Arial" w:hAnsi="Arial"/>
          <w:sz w:val="11"/>
          <w:szCs w:val="11"/>
          <w:color w:val="auto"/>
        </w:rPr>
        <w:t>assets and liabilities recognized for financial reporting purposes and such amounts recognized for tax purposes, based on tax laws as currently enacted. Additional taxes which would result from distributions by subsidiary companies to the parent are provided to the extent anticipated. No provision is made for additional taxes on undistributed earnings that are intended to be indefinitely invested in such subsidiaries. No income tax benefit is attributed to the currency translation component of Accumulated other comprehensive income (‘‘AOCI’’).</w:t>
      </w:r>
    </w:p>
    <w:p>
      <w:pPr>
        <w:spacing w:after="0" w:line="29" w:lineRule="exact"/>
        <w:rPr>
          <w:sz w:val="20"/>
          <w:szCs w:val="20"/>
          <w:color w:val="auto"/>
        </w:rPr>
      </w:pPr>
    </w:p>
    <w:p>
      <w:pPr>
        <w:ind w:right="4259" w:firstLine="263"/>
        <w:spacing w:after="0" w:line="269" w:lineRule="auto"/>
        <w:rPr>
          <w:sz w:val="20"/>
          <w:szCs w:val="20"/>
          <w:color w:val="auto"/>
        </w:rPr>
      </w:pPr>
      <w:r>
        <w:rPr>
          <w:rFonts w:ascii="Arial" w:cs="Arial" w:eastAsia="Arial" w:hAnsi="Arial"/>
          <w:sz w:val="13"/>
          <w:szCs w:val="13"/>
          <w:b w:val="1"/>
          <w:bCs w:val="1"/>
          <w:color w:val="auto"/>
        </w:rPr>
        <w:t xml:space="preserve">Retirement Benefits </w:t>
      </w:r>
      <w:r>
        <w:rPr>
          <w:rFonts w:ascii="Arial" w:cs="Arial" w:eastAsia="Arial" w:hAnsi="Arial"/>
          <w:sz w:val="13"/>
          <w:szCs w:val="13"/>
          <w:color w:val="auto"/>
        </w:rPr>
        <w:t>Current service costs of retirement plans and postretirement health care and life</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benefits are accrued currently. Prior service costs resulting from plan improvements are amortized over periods ranging from 10 to 20 years.</w:t>
      </w:r>
    </w:p>
    <w:p>
      <w:pPr>
        <w:spacing w:after="0" w:line="51" w:lineRule="exact"/>
        <w:rPr>
          <w:sz w:val="20"/>
          <w:szCs w:val="20"/>
          <w:color w:val="auto"/>
        </w:rPr>
      </w:pPr>
    </w:p>
    <w:p>
      <w:pPr>
        <w:ind w:right="4299" w:firstLine="263"/>
        <w:spacing w:after="0" w:line="281" w:lineRule="auto"/>
        <w:rPr>
          <w:sz w:val="20"/>
          <w:szCs w:val="20"/>
          <w:color w:val="auto"/>
        </w:rPr>
      </w:pPr>
      <w:r>
        <w:rPr>
          <w:rFonts w:ascii="Arial" w:cs="Arial" w:eastAsia="Arial" w:hAnsi="Arial"/>
          <w:sz w:val="12"/>
          <w:szCs w:val="12"/>
          <w:b w:val="1"/>
          <w:bCs w:val="1"/>
          <w:color w:val="auto"/>
        </w:rPr>
        <w:t xml:space="preserve">Financial Instruments </w:t>
      </w:r>
      <w:r>
        <w:rPr>
          <w:rFonts w:ascii="Arial" w:cs="Arial" w:eastAsia="Arial" w:hAnsi="Arial"/>
          <w:sz w:val="12"/>
          <w:szCs w:val="12"/>
          <w:color w:val="auto"/>
        </w:rPr>
        <w:t>The Company enters into derivative instruments with terms that match the</w:t>
      </w:r>
      <w:r>
        <w:rPr>
          <w:rFonts w:ascii="Arial" w:cs="Arial" w:eastAsia="Arial" w:hAnsi="Arial"/>
          <w:sz w:val="12"/>
          <w:szCs w:val="12"/>
          <w:b w:val="1"/>
          <w:bCs w:val="1"/>
          <w:color w:val="auto"/>
        </w:rPr>
        <w:t xml:space="preserve"> </w:t>
      </w:r>
      <w:r>
        <w:rPr>
          <w:rFonts w:ascii="Arial" w:cs="Arial" w:eastAsia="Arial" w:hAnsi="Arial"/>
          <w:sz w:val="12"/>
          <w:szCs w:val="12"/>
          <w:color w:val="auto"/>
        </w:rPr>
        <w:t>underlying exposure being hedged. Derivative instruments that qualify for hedge accounting treatment are designated as cash flow hedges and are considered highly effective. The net gain or loss from hedge ineffectiveness is not material. The changes in value of the derivative are recorded in Accumulated other comprehensive income and recognized in earnings when the offsetting effect of the hedged item is recognized in earnings. Derivative financial instruments are also used to manage interest and foreign currency exposures. The gain or loss on the hedging instrument is recorded in earnings at the same time as the transaction being hedged is recorded in earnings. The associated asset or liability related to the open hedge instrument is recorded in Current Assets or Current Liabilities, as applicable.</w:t>
      </w:r>
    </w:p>
    <w:p>
      <w:pPr>
        <w:spacing w:after="0" w:line="49" w:lineRule="exact"/>
        <w:rPr>
          <w:sz w:val="20"/>
          <w:szCs w:val="20"/>
          <w:color w:val="auto"/>
        </w:rPr>
      </w:pPr>
    </w:p>
    <w:p>
      <w:pPr>
        <w:ind w:right="4239" w:firstLine="263"/>
        <w:spacing w:after="0" w:line="269" w:lineRule="auto"/>
        <w:rPr>
          <w:sz w:val="20"/>
          <w:szCs w:val="20"/>
          <w:color w:val="auto"/>
        </w:rPr>
      </w:pPr>
      <w:r>
        <w:rPr>
          <w:rFonts w:ascii="Arial" w:cs="Arial" w:eastAsia="Arial" w:hAnsi="Arial"/>
          <w:sz w:val="13"/>
          <w:szCs w:val="13"/>
          <w:b w:val="1"/>
          <w:bCs w:val="1"/>
          <w:color w:val="auto"/>
        </w:rPr>
        <w:t xml:space="preserve">Risks and Uncertainties </w:t>
      </w:r>
      <w:r>
        <w:rPr>
          <w:rFonts w:ascii="Arial" w:cs="Arial" w:eastAsia="Arial" w:hAnsi="Arial"/>
          <w:sz w:val="13"/>
          <w:szCs w:val="13"/>
          <w:color w:val="auto"/>
        </w:rPr>
        <w:t>The diversity of the Company’s products, customers and geographic operations</w:t>
      </w:r>
      <w:r>
        <w:rPr>
          <w:rFonts w:ascii="Arial" w:cs="Arial" w:eastAsia="Arial" w:hAnsi="Arial"/>
          <w:sz w:val="13"/>
          <w:szCs w:val="13"/>
          <w:b w:val="1"/>
          <w:bCs w:val="1"/>
          <w:color w:val="auto"/>
        </w:rPr>
        <w:t xml:space="preserve"> </w:t>
      </w:r>
      <w:r>
        <w:rPr>
          <w:rFonts w:ascii="Arial" w:cs="Arial" w:eastAsia="Arial" w:hAnsi="Arial"/>
          <w:sz w:val="13"/>
          <w:szCs w:val="13"/>
          <w:color w:val="auto"/>
        </w:rPr>
        <w:t>significantly reduces the risk that a severe impact will occur in the near term as a result of changes in its customer base, competition, sources of supply or markets.</w:t>
      </w:r>
    </w:p>
    <w:p>
      <w:pPr>
        <w:spacing w:after="0" w:line="51" w:lineRule="exact"/>
        <w:rPr>
          <w:sz w:val="20"/>
          <w:szCs w:val="20"/>
          <w:color w:val="auto"/>
        </w:rPr>
      </w:pPr>
    </w:p>
    <w:p>
      <w:pPr>
        <w:ind w:right="4359" w:firstLine="263"/>
        <w:spacing w:after="0" w:line="286" w:lineRule="auto"/>
        <w:rPr>
          <w:sz w:val="20"/>
          <w:szCs w:val="20"/>
          <w:color w:val="auto"/>
        </w:rPr>
      </w:pPr>
      <w:r>
        <w:rPr>
          <w:rFonts w:ascii="Arial" w:cs="Arial" w:eastAsia="Arial" w:hAnsi="Arial"/>
          <w:sz w:val="13"/>
          <w:szCs w:val="13"/>
          <w:b w:val="1"/>
          <w:bCs w:val="1"/>
          <w:color w:val="auto"/>
        </w:rPr>
        <w:t xml:space="preserve">Software Costs </w:t>
      </w:r>
      <w:r>
        <w:rPr>
          <w:rFonts w:ascii="Arial" w:cs="Arial" w:eastAsia="Arial" w:hAnsi="Arial"/>
          <w:sz w:val="13"/>
          <w:szCs w:val="13"/>
          <w:color w:val="auto"/>
        </w:rPr>
        <w:t>Direct internal and external development costs associated with internal-use software are</w:t>
      </w:r>
      <w:r>
        <w:rPr>
          <w:rFonts w:ascii="Arial" w:cs="Arial" w:eastAsia="Arial" w:hAnsi="Arial"/>
          <w:sz w:val="13"/>
          <w:szCs w:val="13"/>
          <w:b w:val="1"/>
          <w:bCs w:val="1"/>
          <w:color w:val="auto"/>
        </w:rPr>
        <w:t xml:space="preserve"> </w:t>
      </w:r>
      <w:r>
        <w:rPr>
          <w:rFonts w:ascii="Arial" w:cs="Arial" w:eastAsia="Arial" w:hAnsi="Arial"/>
          <w:sz w:val="13"/>
          <w:szCs w:val="13"/>
          <w:color w:val="auto"/>
        </w:rPr>
        <w:t>capitalized. All preliminary evaluation and post-implementation costs are expensed.</w:t>
      </w:r>
    </w:p>
    <w:p>
      <w:pPr>
        <w:spacing w:after="0" w:line="39" w:lineRule="exact"/>
        <w:rPr>
          <w:sz w:val="20"/>
          <w:szCs w:val="20"/>
          <w:color w:val="auto"/>
        </w:rPr>
      </w:pPr>
    </w:p>
    <w:p>
      <w:pPr>
        <w:ind w:right="4319" w:firstLine="263"/>
        <w:spacing w:after="0" w:line="286" w:lineRule="auto"/>
        <w:rPr>
          <w:sz w:val="20"/>
          <w:szCs w:val="20"/>
          <w:color w:val="auto"/>
        </w:rPr>
      </w:pPr>
      <w:r>
        <w:rPr>
          <w:rFonts w:ascii="Arial" w:cs="Arial" w:eastAsia="Arial" w:hAnsi="Arial"/>
          <w:sz w:val="13"/>
          <w:szCs w:val="13"/>
          <w:b w:val="1"/>
          <w:bCs w:val="1"/>
          <w:color w:val="auto"/>
        </w:rPr>
        <w:t xml:space="preserve">Shipping and Handling Costs </w:t>
      </w:r>
      <w:r>
        <w:rPr>
          <w:rFonts w:ascii="Arial" w:cs="Arial" w:eastAsia="Arial" w:hAnsi="Arial"/>
          <w:sz w:val="13"/>
          <w:szCs w:val="13"/>
          <w:color w:val="auto"/>
        </w:rPr>
        <w:t>Net sales include shipping and handling charges billed to customers. Cost</w:t>
      </w:r>
      <w:r>
        <w:rPr>
          <w:rFonts w:ascii="Arial" w:cs="Arial" w:eastAsia="Arial" w:hAnsi="Arial"/>
          <w:sz w:val="13"/>
          <w:szCs w:val="13"/>
          <w:b w:val="1"/>
          <w:bCs w:val="1"/>
          <w:color w:val="auto"/>
        </w:rPr>
        <w:t xml:space="preserve"> </w:t>
      </w:r>
      <w:r>
        <w:rPr>
          <w:rFonts w:ascii="Arial" w:cs="Arial" w:eastAsia="Arial" w:hAnsi="Arial"/>
          <w:sz w:val="13"/>
          <w:szCs w:val="13"/>
          <w:color w:val="auto"/>
        </w:rPr>
        <w:t>of goods sold includes all shipping and handling costs.</w:t>
      </w:r>
    </w:p>
    <w:p>
      <w:pPr>
        <w:spacing w:after="0" w:line="39" w:lineRule="exact"/>
        <w:rPr>
          <w:sz w:val="20"/>
          <w:szCs w:val="20"/>
          <w:color w:val="auto"/>
        </w:rPr>
      </w:pPr>
    </w:p>
    <w:p>
      <w:pPr>
        <w:ind w:right="4399" w:firstLine="263"/>
        <w:spacing w:after="0" w:line="381" w:lineRule="auto"/>
        <w:rPr>
          <w:sz w:val="20"/>
          <w:szCs w:val="20"/>
          <w:color w:val="auto"/>
        </w:rPr>
      </w:pPr>
      <w:r>
        <w:rPr>
          <w:rFonts w:ascii="Arial" w:cs="Arial" w:eastAsia="Arial" w:hAnsi="Arial"/>
          <w:sz w:val="11"/>
          <w:szCs w:val="11"/>
          <w:b w:val="1"/>
          <w:bCs w:val="1"/>
          <w:color w:val="auto"/>
        </w:rPr>
        <w:t xml:space="preserve">Net Income Per Share </w:t>
      </w:r>
      <w:r>
        <w:rPr>
          <w:rFonts w:ascii="Arial" w:cs="Arial" w:eastAsia="Arial" w:hAnsi="Arial"/>
          <w:sz w:val="11"/>
          <w:szCs w:val="11"/>
          <w:color w:val="auto"/>
        </w:rPr>
        <w:t>Net income per share is based on the weighted average number of shares</w:t>
      </w:r>
      <w:r>
        <w:rPr>
          <w:rFonts w:ascii="Arial" w:cs="Arial" w:eastAsia="Arial" w:hAnsi="Arial"/>
          <w:sz w:val="11"/>
          <w:szCs w:val="11"/>
          <w:b w:val="1"/>
          <w:bCs w:val="1"/>
          <w:color w:val="auto"/>
        </w:rPr>
        <w:t xml:space="preserve"> </w:t>
      </w:r>
      <w:r>
        <w:rPr>
          <w:rFonts w:ascii="Arial" w:cs="Arial" w:eastAsia="Arial" w:hAnsi="Arial"/>
          <w:sz w:val="11"/>
          <w:szCs w:val="11"/>
          <w:color w:val="auto"/>
        </w:rPr>
        <w:t>outstanding. A reconciliation of shares used in the computations of basic and diluted net income per share is as</w:t>
      </w:r>
    </w:p>
    <w:p>
      <w:pPr>
        <w:sectPr>
          <w:pgSz w:w="11900" w:h="16984" w:orient="portrait"/>
          <w:cols w:equalWidth="0" w:num="1">
            <w:col w:w="10239"/>
          </w:cols>
          <w:pgMar w:left="220" w:top="132" w:right="1440" w:bottom="0" w:gutter="0" w:footer="0" w:header="0"/>
        </w:sectPr>
      </w:pPr>
    </w:p>
    <w:bookmarkStart w:id="24" w:name="page25"/>
    <w:bookmarkEnd w:id="24"/>
    <w:p>
      <w:pPr>
        <w:spacing w:after="0" w:line="99" w:lineRule="exact"/>
        <w:rPr>
          <w:sz w:val="20"/>
          <w:szCs w:val="20"/>
          <w:color w:val="auto"/>
        </w:rPr>
      </w:pPr>
    </w:p>
    <w:p>
      <w:pPr>
        <w:ind w:left="1"/>
        <w:spacing w:after="0"/>
        <w:rPr>
          <w:sz w:val="20"/>
          <w:szCs w:val="20"/>
          <w:color w:val="auto"/>
        </w:rPr>
      </w:pPr>
      <w:r>
        <w:rPr>
          <w:rFonts w:ascii="Arial" w:cs="Arial" w:eastAsia="Arial" w:hAnsi="Arial"/>
          <w:sz w:val="13"/>
          <w:szCs w:val="13"/>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73805"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307"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6"/>
          </w:tcPr>
          <w:p>
            <w:pPr>
              <w:ind w:left="360"/>
              <w:spacing w:after="0"/>
              <w:rPr>
                <w:sz w:val="20"/>
                <w:szCs w:val="20"/>
                <w:color w:val="auto"/>
              </w:rPr>
            </w:pPr>
            <w:r>
              <w:rPr>
                <w:rFonts w:ascii="Arial" w:cs="Arial" w:eastAsia="Arial" w:hAnsi="Arial"/>
                <w:sz w:val="11"/>
                <w:szCs w:val="11"/>
                <w:b w:val="1"/>
                <w:bCs w:val="1"/>
                <w:color w:val="auto"/>
              </w:rPr>
              <w:t>Number of Shares</w:t>
            </w:r>
          </w:p>
        </w:tc>
      </w:tr>
      <w:tr>
        <w:trPr>
          <w:trHeight w:val="118"/>
        </w:trPr>
        <w:tc>
          <w:tcPr>
            <w:tcW w:w="44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(SHARES IN THOUSANDS)</w:t>
            </w:r>
          </w:p>
        </w:tc>
        <w:tc>
          <w:tcPr>
            <w:tcW w:w="400" w:type="dxa"/>
            <w:vAlign w:val="bottom"/>
            <w:tcBorders>
              <w:top w:val="single" w:sz="8" w:color="auto"/>
            </w:tcBorders>
          </w:tcPr>
          <w:p>
            <w:pPr>
              <w:jc w:val="right"/>
              <w:ind w:right="39"/>
              <w:spacing w:after="0" w:line="119" w:lineRule="exact"/>
              <w:rPr>
                <w:sz w:val="20"/>
                <w:szCs w:val="20"/>
                <w:color w:val="auto"/>
              </w:rPr>
            </w:pPr>
            <w:r>
              <w:rPr>
                <w:rFonts w:ascii="Arial" w:cs="Arial" w:eastAsia="Arial" w:hAnsi="Arial"/>
                <w:sz w:val="11"/>
                <w:szCs w:val="11"/>
                <w:b w:val="1"/>
                <w:bCs w:val="1"/>
                <w:color w:val="auto"/>
              </w:rPr>
              <w:t>2006</w:t>
            </w: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1"/>
                <w:szCs w:val="11"/>
                <w:b w:val="1"/>
                <w:bCs w:val="1"/>
                <w:color w:val="auto"/>
              </w:rPr>
              <w:t>2005</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10"/>
                <w:szCs w:val="10"/>
                <w:color w:val="auto"/>
              </w:rPr>
            </w:pPr>
          </w:p>
        </w:tc>
      </w:tr>
      <w:tr>
        <w:trPr>
          <w:trHeight w:val="158"/>
        </w:trPr>
        <w:tc>
          <w:tcPr>
            <w:tcW w:w="4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Basic</w:t>
            </w:r>
          </w:p>
        </w:tc>
        <w:tc>
          <w:tcPr>
            <w:tcW w:w="14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90,443</w:t>
            </w:r>
          </w:p>
        </w:tc>
        <w:tc>
          <w:tcPr>
            <w:tcW w:w="1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93,584</w:t>
            </w:r>
          </w:p>
        </w:tc>
        <w:tc>
          <w:tcPr>
            <w:tcW w:w="1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94,143</w:t>
            </w:r>
          </w:p>
        </w:tc>
        <w:tc>
          <w:tcPr>
            <w:tcW w:w="20" w:type="dxa"/>
            <w:vAlign w:val="bottom"/>
          </w:tcPr>
          <w:p>
            <w:pPr>
              <w:spacing w:after="0"/>
              <w:rPr>
                <w:sz w:val="13"/>
                <w:szCs w:val="13"/>
                <w:color w:val="auto"/>
              </w:rPr>
            </w:pPr>
          </w:p>
        </w:tc>
      </w:tr>
      <w:tr>
        <w:trPr>
          <w:trHeight w:val="158"/>
        </w:trPr>
        <w:tc>
          <w:tcPr>
            <w:tcW w:w="4420" w:type="dxa"/>
            <w:vAlign w:val="bottom"/>
            <w:gridSpan w:val="2"/>
          </w:tcPr>
          <w:p>
            <w:pPr>
              <w:spacing w:after="0"/>
              <w:rPr>
                <w:sz w:val="20"/>
                <w:szCs w:val="20"/>
                <w:color w:val="auto"/>
              </w:rPr>
            </w:pPr>
            <w:r>
              <w:rPr>
                <w:rFonts w:ascii="Arial" w:cs="Arial" w:eastAsia="Arial" w:hAnsi="Arial"/>
                <w:sz w:val="13"/>
                <w:szCs w:val="13"/>
                <w:color w:val="auto"/>
                <w:highlight w:val="white"/>
              </w:rPr>
              <w:t>Dilution under stock plans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w:t>
            </w:r>
          </w:p>
        </w:tc>
        <w:tc>
          <w:tcPr>
            <w:tcW w:w="18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20" w:type="dxa"/>
            <w:vAlign w:val="bottom"/>
          </w:tcPr>
          <w:p>
            <w:pPr>
              <w:spacing w:after="0"/>
              <w:rPr>
                <w:sz w:val="13"/>
                <w:szCs w:val="13"/>
                <w:color w:val="auto"/>
              </w:rPr>
            </w:pPr>
          </w:p>
        </w:tc>
      </w:tr>
      <w:tr>
        <w:trPr>
          <w:trHeight w:val="158"/>
        </w:trPr>
        <w:tc>
          <w:tcPr>
            <w:tcW w:w="42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Diluted</w:t>
            </w:r>
          </w:p>
        </w:tc>
        <w:tc>
          <w:tcPr>
            <w:tcW w:w="1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91,369</w:t>
            </w:r>
          </w:p>
        </w:tc>
        <w:tc>
          <w:tcPr>
            <w:tcW w:w="1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94,826</w:t>
            </w: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95,418</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-470535</wp:posOffset>
            </wp:positionV>
            <wp:extent cx="3785870" cy="533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785870" cy="533400"/>
                    </a:xfrm>
                    <a:prstGeom prst="rect">
                      <a:avLst/>
                    </a:prstGeom>
                    <a:noFill/>
                  </pic:spPr>
                </pic:pic>
              </a:graphicData>
            </a:graphic>
          </wp:anchor>
        </w:drawing>
      </w:r>
    </w:p>
    <w:p>
      <w:pPr>
        <w:spacing w:after="0" w:line="159" w:lineRule="exact"/>
        <w:rPr>
          <w:sz w:val="20"/>
          <w:szCs w:val="20"/>
          <w:color w:val="auto"/>
        </w:rPr>
      </w:pPr>
    </w:p>
    <w:p>
      <w:pPr>
        <w:ind w:left="1" w:right="4419" w:firstLine="263"/>
        <w:spacing w:after="0" w:line="279" w:lineRule="auto"/>
        <w:rPr>
          <w:sz w:val="20"/>
          <w:szCs w:val="20"/>
          <w:color w:val="auto"/>
        </w:rPr>
      </w:pPr>
      <w:r>
        <w:rPr>
          <w:rFonts w:ascii="Arial" w:cs="Arial" w:eastAsia="Arial" w:hAnsi="Arial"/>
          <w:sz w:val="13"/>
          <w:szCs w:val="13"/>
          <w:color w:val="auto"/>
        </w:rPr>
        <w:t>Net income used in the computation is unaffected by the assumed issuance of stock under the Company’s stock plans.</w:t>
      </w:r>
    </w:p>
    <w:p>
      <w:pPr>
        <w:spacing w:after="0" w:line="48" w:lineRule="exact"/>
        <w:rPr>
          <w:sz w:val="20"/>
          <w:szCs w:val="20"/>
          <w:color w:val="auto"/>
        </w:rPr>
      </w:pPr>
    </w:p>
    <w:p>
      <w:pPr>
        <w:ind w:left="1" w:right="4299" w:firstLine="263"/>
        <w:spacing w:after="0" w:line="266" w:lineRule="auto"/>
        <w:rPr>
          <w:sz w:val="20"/>
          <w:szCs w:val="20"/>
          <w:color w:val="auto"/>
        </w:rPr>
      </w:pPr>
      <w:r>
        <w:rPr>
          <w:rFonts w:ascii="Arial" w:cs="Arial" w:eastAsia="Arial" w:hAnsi="Arial"/>
          <w:sz w:val="13"/>
          <w:szCs w:val="13"/>
          <w:color w:val="auto"/>
        </w:rPr>
        <w:t>Options to purchase 309,000, 1,905,000, and 561,000 shares were outstanding at December 31, 2006, 2005, and 2004, respectively, but were excluded from the computation of diluted net income per share because the effect was anti-dilutive.</w:t>
      </w:r>
    </w:p>
    <w:p>
      <w:pPr>
        <w:spacing w:after="0" w:line="53" w:lineRule="exact"/>
        <w:rPr>
          <w:sz w:val="20"/>
          <w:szCs w:val="20"/>
          <w:color w:val="auto"/>
        </w:rPr>
      </w:pPr>
    </w:p>
    <w:p>
      <w:pPr>
        <w:ind w:left="261"/>
        <w:spacing w:after="0"/>
        <w:tabs>
          <w:tab w:leader="none" w:pos="1020" w:val="left"/>
        </w:tabs>
        <w:rPr>
          <w:sz w:val="20"/>
          <w:szCs w:val="20"/>
          <w:color w:val="auto"/>
        </w:rPr>
      </w:pPr>
      <w:r>
        <w:rPr>
          <w:rFonts w:ascii="Arial" w:cs="Arial" w:eastAsia="Arial" w:hAnsi="Arial"/>
          <w:sz w:val="13"/>
          <w:szCs w:val="13"/>
          <w:b w:val="1"/>
          <w:bCs w:val="1"/>
          <w:color w:val="auto"/>
        </w:rPr>
        <w:t>Stock Plans</w:t>
      </w:r>
      <w:r>
        <w:rPr>
          <w:sz w:val="20"/>
          <w:szCs w:val="20"/>
          <w:color w:val="auto"/>
        </w:rPr>
        <w:tab/>
      </w:r>
      <w:r>
        <w:rPr>
          <w:rFonts w:ascii="Arial" w:cs="Arial" w:eastAsia="Arial" w:hAnsi="Arial"/>
          <w:sz w:val="11"/>
          <w:szCs w:val="11"/>
          <w:color w:val="auto"/>
        </w:rPr>
        <w:t>The Company has stock-based compensation plans which are more fully described in Note</w:t>
      </w:r>
    </w:p>
    <w:p>
      <w:pPr>
        <w:spacing w:after="0" w:line="20" w:lineRule="exact"/>
        <w:rPr>
          <w:sz w:val="20"/>
          <w:szCs w:val="20"/>
          <w:color w:val="auto"/>
        </w:rPr>
      </w:pPr>
    </w:p>
    <w:p>
      <w:pPr>
        <w:ind w:left="1" w:right="4279" w:hanging="1"/>
        <w:spacing w:after="0" w:line="258" w:lineRule="auto"/>
        <w:tabs>
          <w:tab w:leader="none" w:pos="198"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Prior to 2006, the Company applied the recognition and measurement principles of Accounting Principles Board Opinion No. 25, Accounting for Stock Issued to Employees, (‘‘APB 25’’) under which no compensation expense for employee stock options was recognized, as all options granted had an exercise price not less than the market value of the common stock on the date of the grant.</w:t>
      </w:r>
    </w:p>
    <w:p>
      <w:pPr>
        <w:spacing w:after="0" w:line="62" w:lineRule="exact"/>
        <w:rPr>
          <w:sz w:val="20"/>
          <w:szCs w:val="20"/>
          <w:color w:val="auto"/>
        </w:rPr>
      </w:pPr>
    </w:p>
    <w:p>
      <w:pPr>
        <w:ind w:left="1" w:right="4359" w:firstLine="263"/>
        <w:spacing w:after="0" w:line="279" w:lineRule="auto"/>
        <w:rPr>
          <w:sz w:val="20"/>
          <w:szCs w:val="20"/>
          <w:color w:val="auto"/>
        </w:rPr>
      </w:pPr>
      <w:r>
        <w:rPr>
          <w:rFonts w:ascii="Arial" w:cs="Arial" w:eastAsia="Arial" w:hAnsi="Arial"/>
          <w:sz w:val="13"/>
          <w:szCs w:val="13"/>
          <w:color w:val="auto"/>
        </w:rPr>
        <w:t>Effective January 1, 2006, the Company adopted the provisions of FAS No. 123(R), Share-Based Payment (‘‘FAS 123(R)’’) using the modified prospective method, which requires measurement of</w:t>
      </w:r>
    </w:p>
    <w:p>
      <w:pPr>
        <w:spacing w:after="0" w:line="176"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4809490"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 w:right="4259"/>
        <w:spacing w:after="0" w:line="312" w:lineRule="auto"/>
        <w:rPr>
          <w:sz w:val="20"/>
          <w:szCs w:val="20"/>
          <w:color w:val="auto"/>
        </w:rPr>
      </w:pPr>
      <w:r>
        <w:rPr>
          <w:rFonts w:ascii="Arial" w:cs="Arial" w:eastAsia="Arial" w:hAnsi="Arial"/>
          <w:sz w:val="11"/>
          <w:szCs w:val="11"/>
          <w:color w:val="auto"/>
        </w:rPr>
        <w:t>compensation cost of all stock-based awards at fair value on the date of grant and recognition of expense over the expected vesting term, net of expected forfeitures. Under this method, 2006 expense includes the portion vesting in the year for (1) all share-based payments granted prior to, but not vested, as of January 1, 2006, based on the grant date fair value estimated in accordance with the original provisions of FAS 123, and (2) all share-based payments granted subsequent to January 1, 2006, based on the grant date fair value estimated in accordance with the provisions of FAS 123(R). The cost of employee stock options is recognized on a straight-line basis over their respective vesting periods, net of estimated forfeitures. Results for prior periods have not been restated.</w:t>
      </w:r>
    </w:p>
    <w:p>
      <w:pPr>
        <w:spacing w:after="0" w:line="36" w:lineRule="exact"/>
        <w:rPr>
          <w:sz w:val="20"/>
          <w:szCs w:val="20"/>
          <w:color w:val="auto"/>
        </w:rPr>
      </w:pPr>
    </w:p>
    <w:p>
      <w:pPr>
        <w:ind w:left="1" w:right="4239" w:firstLine="263"/>
        <w:spacing w:after="0" w:line="322" w:lineRule="auto"/>
        <w:rPr>
          <w:sz w:val="20"/>
          <w:szCs w:val="20"/>
          <w:color w:val="auto"/>
        </w:rPr>
      </w:pPr>
      <w:r>
        <w:rPr>
          <w:rFonts w:ascii="Arial" w:cs="Arial" w:eastAsia="Arial" w:hAnsi="Arial"/>
          <w:sz w:val="12"/>
          <w:szCs w:val="12"/>
          <w:color w:val="auto"/>
        </w:rPr>
        <w:t>The following table illustrates the effect on net income and net income per share if the Company had applied the fair value recognition provisions of FAS 123, for the years ended December 31,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350" cy="628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3804920"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04920" cy="6350"/>
                    </a:xfrm>
                    <a:prstGeom prst="rect">
                      <a:avLst/>
                    </a:prstGeom>
                    <a:noFill/>
                  </pic:spPr>
                </pic:pic>
              </a:graphicData>
            </a:graphic>
          </wp:anchor>
        </w:drawing>
      </w:r>
    </w:p>
    <w:p>
      <w:pPr>
        <w:spacing w:after="0" w:line="244" w:lineRule="exact"/>
        <w:rPr>
          <w:sz w:val="20"/>
          <w:szCs w:val="20"/>
          <w:color w:val="auto"/>
        </w:rPr>
      </w:pPr>
    </w:p>
    <w:tbl>
      <w:tblPr>
        <w:tblLayout w:type="fixed"/>
        <w:tblInd w:w="1" w:type="dxa"/>
        <w:tblCellMar>
          <w:top w:w="0" w:type="dxa"/>
          <w:left w:w="0" w:type="dxa"/>
          <w:bottom w:w="0" w:type="dxa"/>
          <w:right w:w="0" w:type="dxa"/>
        </w:tblCellMar>
      </w:tblPr>
      <w:tr>
        <w:trPr>
          <w:trHeight w:val="136"/>
        </w:trPr>
        <w:tc>
          <w:tcPr>
            <w:tcW w:w="4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 EXCEPT PER SHARE AMOUNTS)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2005</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3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Net income, as reported</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193,066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7"/>
              </w:rPr>
              <w:t>196,071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340" w:type="dxa"/>
            <w:vAlign w:val="bottom"/>
          </w:tcPr>
          <w:p>
            <w:pPr>
              <w:spacing w:after="0"/>
              <w:rPr>
                <w:sz w:val="20"/>
                <w:szCs w:val="20"/>
                <w:color w:val="auto"/>
              </w:rPr>
            </w:pPr>
            <w:r>
              <w:rPr>
                <w:rFonts w:ascii="Arial" w:cs="Arial" w:eastAsia="Arial" w:hAnsi="Arial"/>
                <w:sz w:val="13"/>
                <w:szCs w:val="13"/>
                <w:color w:val="auto"/>
                <w:highlight w:val="white"/>
              </w:rPr>
              <w:t>Deduct: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0"/>
                <w:shd w:val="clear" w:color="auto" w:fill="CCEEFF"/>
              </w:rPr>
              <w:t>Total stock-based employee compensation expense determined under fair value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60"/>
              <w:spacing w:after="0"/>
              <w:rPr>
                <w:sz w:val="20"/>
                <w:szCs w:val="20"/>
                <w:color w:val="auto"/>
              </w:rPr>
            </w:pPr>
            <w:r>
              <w:rPr>
                <w:rFonts w:ascii="Arial" w:cs="Arial" w:eastAsia="Arial" w:hAnsi="Arial"/>
                <w:sz w:val="13"/>
                <w:szCs w:val="13"/>
                <w:color w:val="auto"/>
                <w:shd w:val="clear" w:color="auto" w:fill="CCEEFF"/>
              </w:rPr>
              <w:t>method for all stock option awards, net of related tax effects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6,698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40" w:type="dxa"/>
            <w:vAlign w:val="bottom"/>
          </w:tcPr>
          <w:p>
            <w:pPr>
              <w:ind w:left="140"/>
              <w:spacing w:after="0"/>
              <w:rPr>
                <w:sz w:val="20"/>
                <w:szCs w:val="20"/>
                <w:color w:val="auto"/>
              </w:rPr>
            </w:pPr>
            <w:r>
              <w:rPr>
                <w:rFonts w:ascii="Arial" w:cs="Arial" w:eastAsia="Arial" w:hAnsi="Arial"/>
                <w:sz w:val="13"/>
                <w:szCs w:val="13"/>
                <w:color w:val="auto"/>
                <w:highlight w:val="white"/>
              </w:rPr>
              <w:t>Pro-forma net income</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186,368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182,117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Net income per share:</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40" w:type="dxa"/>
            <w:vAlign w:val="bottom"/>
          </w:tcPr>
          <w:p>
            <w:pPr>
              <w:ind w:left="140"/>
              <w:spacing w:after="0"/>
              <w:rPr>
                <w:sz w:val="20"/>
                <w:szCs w:val="20"/>
                <w:color w:val="auto"/>
              </w:rPr>
            </w:pPr>
            <w:r>
              <w:rPr>
                <w:rFonts w:ascii="Arial" w:cs="Arial" w:eastAsia="Arial" w:hAnsi="Arial"/>
                <w:sz w:val="13"/>
                <w:szCs w:val="13"/>
                <w:color w:val="auto"/>
                <w:highlight w:val="white"/>
              </w:rPr>
              <w:t>Basic – as reported</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Basic – pro-forma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40" w:type="dxa"/>
            <w:vAlign w:val="bottom"/>
          </w:tcPr>
          <w:p>
            <w:pPr>
              <w:ind w:left="140"/>
              <w:spacing w:after="0"/>
              <w:rPr>
                <w:sz w:val="20"/>
                <w:szCs w:val="20"/>
                <w:color w:val="auto"/>
              </w:rPr>
            </w:pPr>
            <w:r>
              <w:rPr>
                <w:rFonts w:ascii="Arial" w:cs="Arial" w:eastAsia="Arial" w:hAnsi="Arial"/>
                <w:sz w:val="13"/>
                <w:szCs w:val="13"/>
                <w:color w:val="auto"/>
                <w:highlight w:val="white"/>
              </w:rPr>
              <w:t>Diluted – as reported</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2.04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Diluted – pro-forma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-1123315</wp:posOffset>
            </wp:positionV>
            <wp:extent cx="3811270" cy="11868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11270" cy="1186815"/>
                    </a:xfrm>
                    <a:prstGeom prst="rect">
                      <a:avLst/>
                    </a:prstGeom>
                    <a:noFill/>
                  </pic:spPr>
                </pic:pic>
              </a:graphicData>
            </a:graphic>
          </wp:anchor>
        </w:drawing>
      </w:r>
    </w:p>
    <w:p>
      <w:pPr>
        <w:spacing w:after="0" w:line="159" w:lineRule="exact"/>
        <w:rPr>
          <w:sz w:val="20"/>
          <w:szCs w:val="20"/>
          <w:color w:val="auto"/>
        </w:rPr>
      </w:pPr>
    </w:p>
    <w:p>
      <w:pPr>
        <w:jc w:val="both"/>
        <w:ind w:left="1" w:right="4459" w:firstLine="263"/>
        <w:spacing w:after="0" w:line="266" w:lineRule="auto"/>
        <w:rPr>
          <w:sz w:val="20"/>
          <w:szCs w:val="20"/>
          <w:color w:val="auto"/>
        </w:rPr>
      </w:pPr>
      <w:r>
        <w:rPr>
          <w:rFonts w:ascii="Arial" w:cs="Arial" w:eastAsia="Arial" w:hAnsi="Arial"/>
          <w:sz w:val="13"/>
          <w:szCs w:val="13"/>
          <w:color w:val="auto"/>
        </w:rPr>
        <w:t>These pro-forma amounts may not be representative of future results because the estimated fair value of stock options is amortized to expense over the vesting period, and additional options may be granted in future years.</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New Accounting Standards</w:t>
      </w:r>
    </w:p>
    <w:p>
      <w:pPr>
        <w:spacing w:after="0" w:line="92" w:lineRule="exact"/>
        <w:rPr>
          <w:sz w:val="20"/>
          <w:szCs w:val="20"/>
          <w:color w:val="auto"/>
        </w:rPr>
      </w:pPr>
    </w:p>
    <w:p>
      <w:pPr>
        <w:ind w:left="1" w:right="4279" w:firstLine="263"/>
        <w:spacing w:after="0" w:line="257" w:lineRule="auto"/>
        <w:rPr>
          <w:sz w:val="20"/>
          <w:szCs w:val="20"/>
          <w:color w:val="auto"/>
        </w:rPr>
      </w:pPr>
      <w:r>
        <w:rPr>
          <w:rFonts w:ascii="Arial" w:cs="Arial" w:eastAsia="Arial" w:hAnsi="Arial"/>
          <w:sz w:val="13"/>
          <w:szCs w:val="13"/>
          <w:color w:val="auto"/>
        </w:rPr>
        <w:t>In June 2006, the FASB issued FIN 48 which clarifies the application of FAS 109 by prescribing the minimum threshold a tax position must meet before being recognized in the financial statements. Under FIN 48, the financial statement effect of a tax position is initially recognized when it is more likely than not the position will be sustained upon examination. A tax position that meets the ‘‘more likely than not’’ recognition threshold is initially and subsequently measured as the largest amount of benefit, determined on a cumulative probability basis, that is more likely than not to be realized upon ultimate settlement with the taxing authority. FIN 48 is effective for years beginning after December 15, 2006. The Company is currently assessing the potential impact of this interpretation but does not believe its adoption will have a material impact on the Company’s results or financial condition.</w:t>
      </w:r>
    </w:p>
    <w:p>
      <w:pPr>
        <w:spacing w:after="0" w:line="62" w:lineRule="exact"/>
        <w:rPr>
          <w:sz w:val="20"/>
          <w:szCs w:val="20"/>
          <w:color w:val="auto"/>
        </w:rPr>
      </w:pPr>
    </w:p>
    <w:p>
      <w:pPr>
        <w:ind w:left="1" w:right="4239" w:firstLine="263"/>
        <w:spacing w:after="0" w:line="262" w:lineRule="auto"/>
        <w:rPr>
          <w:sz w:val="20"/>
          <w:szCs w:val="20"/>
          <w:color w:val="auto"/>
        </w:rPr>
      </w:pPr>
      <w:r>
        <w:rPr>
          <w:rFonts w:ascii="Arial" w:cs="Arial" w:eastAsia="Arial" w:hAnsi="Arial"/>
          <w:sz w:val="13"/>
          <w:szCs w:val="13"/>
          <w:color w:val="auto"/>
        </w:rPr>
        <w:t>In September 2006, the FASB issued FAS 154. This Statement replaces Accounting Principles Board No. 20, Accounting Changes</w:t>
      </w:r>
      <w:r>
        <w:rPr>
          <w:rFonts w:ascii="Arial" w:cs="Arial" w:eastAsia="Arial" w:hAnsi="Arial"/>
          <w:sz w:val="13"/>
          <w:szCs w:val="13"/>
          <w:i w:val="1"/>
          <w:iCs w:val="1"/>
          <w:color w:val="auto"/>
        </w:rPr>
        <w:t>,</w:t>
      </w:r>
      <w:r>
        <w:rPr>
          <w:rFonts w:ascii="Arial" w:cs="Arial" w:eastAsia="Arial" w:hAnsi="Arial"/>
          <w:sz w:val="13"/>
          <w:szCs w:val="13"/>
          <w:color w:val="auto"/>
        </w:rPr>
        <w:t xml:space="preserve"> and FASB Statement No. 3, Reporting Accounting Changes in Interim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and changes the requirements for the accounting for and reporting of a change in accounting principle. FAS 154 is effective for years beginning after December 15, 2006.</w:t>
      </w:r>
    </w:p>
    <w:p>
      <w:pPr>
        <w:spacing w:after="0" w:line="59" w:lineRule="exact"/>
        <w:rPr>
          <w:sz w:val="20"/>
          <w:szCs w:val="20"/>
          <w:color w:val="auto"/>
        </w:rPr>
      </w:pPr>
    </w:p>
    <w:p>
      <w:pPr>
        <w:ind w:left="1" w:right="4319" w:firstLine="263"/>
        <w:spacing w:after="0" w:line="337" w:lineRule="auto"/>
        <w:rPr>
          <w:sz w:val="20"/>
          <w:szCs w:val="20"/>
          <w:color w:val="auto"/>
        </w:rPr>
      </w:pPr>
      <w:r>
        <w:rPr>
          <w:rFonts w:ascii="Arial" w:cs="Arial" w:eastAsia="Arial" w:hAnsi="Arial"/>
          <w:sz w:val="11"/>
          <w:szCs w:val="11"/>
          <w:color w:val="auto"/>
        </w:rPr>
        <w:t>In September 2006, the FASB issued FAS 157. This Statement defines and establishes a framework for measuring fair value, and expands disclosures regarding fair value measurements. FAS 157 is effective for years beginning after December 15, 2007. The Company is currently evaluating the potential impact of this standard.</w:t>
      </w:r>
    </w:p>
    <w:p>
      <w:pPr>
        <w:spacing w:after="0" w:line="21" w:lineRule="exact"/>
        <w:rPr>
          <w:sz w:val="20"/>
          <w:szCs w:val="20"/>
          <w:color w:val="auto"/>
        </w:rPr>
      </w:pPr>
    </w:p>
    <w:p>
      <w:pPr>
        <w:jc w:val="both"/>
        <w:ind w:left="1" w:right="4339" w:firstLine="263"/>
        <w:spacing w:after="0" w:line="279" w:lineRule="auto"/>
        <w:rPr>
          <w:sz w:val="20"/>
          <w:szCs w:val="20"/>
          <w:color w:val="auto"/>
        </w:rPr>
      </w:pPr>
      <w:r>
        <w:rPr>
          <w:rFonts w:ascii="Arial" w:cs="Arial" w:eastAsia="Arial" w:hAnsi="Arial"/>
          <w:sz w:val="13"/>
          <w:szCs w:val="13"/>
          <w:color w:val="auto"/>
        </w:rPr>
        <w:t>In September 2006, the FASB issued FAS 158. This Statement requires an employer to recognize the over-or under-funded status of a defined benefit postretirement plan as an asset or liability in its</w:t>
      </w:r>
    </w:p>
    <w:p>
      <w:pPr>
        <w:spacing w:after="0" w:line="176" w:lineRule="exact"/>
        <w:rPr>
          <w:sz w:val="20"/>
          <w:szCs w:val="20"/>
          <w:color w:val="auto"/>
        </w:rPr>
      </w:pPr>
    </w:p>
    <w:p>
      <w:pPr>
        <w:ind w:left="2941"/>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4809490"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 w:right="4339"/>
        <w:spacing w:after="0" w:line="291" w:lineRule="auto"/>
        <w:rPr>
          <w:sz w:val="20"/>
          <w:szCs w:val="20"/>
          <w:color w:val="auto"/>
        </w:rPr>
      </w:pPr>
      <w:r>
        <w:rPr>
          <w:rFonts w:ascii="Arial" w:cs="Arial" w:eastAsia="Arial" w:hAnsi="Arial"/>
          <w:sz w:val="12"/>
          <w:szCs w:val="12"/>
          <w:color w:val="auto"/>
        </w:rPr>
        <w:t>statement of financial position and to recognize changes in that funded status in the year in which the changes occur through AOCI. FAS 158 also requires an employer to measure the funded status of a plan at its year-end. FAS 158 is effective for years ending after December 15, 2006 and the Company has implemented this standard using the prospective application approach. Further details are included in Note 14.</w:t>
      </w:r>
    </w:p>
    <w:p>
      <w:pPr>
        <w:spacing w:after="0" w:line="43" w:lineRule="exact"/>
        <w:rPr>
          <w:sz w:val="20"/>
          <w:szCs w:val="20"/>
          <w:color w:val="auto"/>
        </w:rPr>
      </w:pPr>
    </w:p>
    <w:p>
      <w:pPr>
        <w:ind w:left="1" w:right="4239" w:firstLine="263"/>
        <w:spacing w:after="0" w:line="279" w:lineRule="auto"/>
        <w:rPr>
          <w:sz w:val="20"/>
          <w:szCs w:val="20"/>
          <w:color w:val="auto"/>
        </w:rPr>
      </w:pPr>
      <w:r>
        <w:rPr>
          <w:rFonts w:ascii="Arial" w:cs="Arial" w:eastAsia="Arial" w:hAnsi="Arial"/>
          <w:sz w:val="13"/>
          <w:szCs w:val="13"/>
          <w:color w:val="auto"/>
        </w:rPr>
        <w:t>In September 2006, the SEC issued SAB 108 effective at the end of the Company’s 2006 operating year. The adoption of SAB 108 had no impact on the Company’s Consolidated Financial Statements.</w:t>
      </w:r>
    </w:p>
    <w:p>
      <w:pPr>
        <w:spacing w:after="0" w:line="44" w:lineRule="exact"/>
        <w:rPr>
          <w:sz w:val="20"/>
          <w:szCs w:val="20"/>
          <w:color w:val="auto"/>
        </w:rPr>
      </w:pPr>
    </w:p>
    <w:p>
      <w:pPr>
        <w:ind w:left="1" w:right="4579" w:firstLine="263"/>
        <w:spacing w:after="0" w:line="286" w:lineRule="auto"/>
        <w:rPr>
          <w:sz w:val="20"/>
          <w:szCs w:val="20"/>
          <w:color w:val="auto"/>
        </w:rPr>
      </w:pPr>
      <w:r>
        <w:rPr>
          <w:rFonts w:ascii="Arial" w:cs="Arial" w:eastAsia="Arial" w:hAnsi="Arial"/>
          <w:sz w:val="13"/>
          <w:szCs w:val="13"/>
          <w:b w:val="1"/>
          <w:bCs w:val="1"/>
          <w:color w:val="auto"/>
        </w:rPr>
        <w:t xml:space="preserve">Reclassifications </w:t>
      </w:r>
      <w:r>
        <w:rPr>
          <w:rFonts w:ascii="Arial" w:cs="Arial" w:eastAsia="Arial" w:hAnsi="Arial"/>
          <w:sz w:val="13"/>
          <w:szCs w:val="13"/>
          <w:color w:val="auto"/>
        </w:rPr>
        <w:t>Certain reclassifications have been made to the prior years’ financial statements to</w:t>
      </w:r>
      <w:r>
        <w:rPr>
          <w:rFonts w:ascii="Arial" w:cs="Arial" w:eastAsia="Arial" w:hAnsi="Arial"/>
          <w:sz w:val="13"/>
          <w:szCs w:val="13"/>
          <w:b w:val="1"/>
          <w:bCs w:val="1"/>
          <w:color w:val="auto"/>
        </w:rPr>
        <w:t xml:space="preserve"> </w:t>
      </w:r>
      <w:r>
        <w:rPr>
          <w:rFonts w:ascii="Arial" w:cs="Arial" w:eastAsia="Arial" w:hAnsi="Arial"/>
          <w:sz w:val="13"/>
          <w:szCs w:val="13"/>
          <w:color w:val="auto"/>
        </w:rPr>
        <w:t>conform to the 2006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3779520"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08"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13"/>
          <w:szCs w:val="13"/>
          <w:b w:val="1"/>
          <w:bCs w:val="1"/>
          <w:color w:val="auto"/>
        </w:rPr>
        <w:t>NOTE 2.</w:t>
        <w:tab/>
        <w:t>RESTRUCTURING AND OTHER CHARGES</w:t>
      </w:r>
    </w:p>
    <w:p>
      <w:pPr>
        <w:spacing w:after="0" w:line="171" w:lineRule="exact"/>
        <w:rPr>
          <w:sz w:val="20"/>
          <w:szCs w:val="20"/>
          <w:color w:val="auto"/>
        </w:rPr>
      </w:pPr>
    </w:p>
    <w:p>
      <w:pPr>
        <w:ind w:left="1" w:right="4319" w:firstLine="263"/>
        <w:spacing w:after="0" w:line="291" w:lineRule="auto"/>
        <w:rPr>
          <w:sz w:val="20"/>
          <w:szCs w:val="20"/>
          <w:color w:val="auto"/>
        </w:rPr>
      </w:pPr>
      <w:r>
        <w:rPr>
          <w:rFonts w:ascii="Arial" w:cs="Arial" w:eastAsia="Arial" w:hAnsi="Arial"/>
          <w:sz w:val="12"/>
          <w:szCs w:val="12"/>
          <w:color w:val="auto"/>
        </w:rPr>
        <w:t>With respect to restructuring and other charges, (i) separation costs for the employees relate primarily to severance, outplacement and other benefit costs; (ii) asset write-down charges relate to establishment of the new carrying value for assets held for sale or disposal; and (iii) other costs include lease termination costs and other reorganization expenses incurred to effect either employee separation or location closure.</w:t>
      </w:r>
    </w:p>
    <w:p>
      <w:pPr>
        <w:spacing w:after="0" w:line="43" w:lineRule="exact"/>
        <w:rPr>
          <w:sz w:val="20"/>
          <w:szCs w:val="20"/>
          <w:color w:val="auto"/>
        </w:rPr>
      </w:pPr>
    </w:p>
    <w:p>
      <w:pPr>
        <w:ind w:left="1" w:right="4539" w:firstLine="263"/>
        <w:spacing w:after="0" w:line="322" w:lineRule="auto"/>
        <w:rPr>
          <w:sz w:val="20"/>
          <w:szCs w:val="20"/>
          <w:color w:val="auto"/>
        </w:rPr>
      </w:pPr>
      <w:r>
        <w:rPr>
          <w:rFonts w:ascii="Arial" w:cs="Arial" w:eastAsia="Arial" w:hAnsi="Arial"/>
          <w:sz w:val="12"/>
          <w:szCs w:val="12"/>
          <w:color w:val="auto"/>
        </w:rPr>
        <w:t>In 2004, the Company disposed of its European fruit preparations business, closed its Canadian manufacturing facility and committed to the closure of its manufacturing facility in Dijon, France; the Dijon</w:t>
      </w:r>
    </w:p>
    <w:p>
      <w:pPr>
        <w:sectPr>
          <w:pgSz w:w="11900" w:h="16937" w:orient="portrait"/>
          <w:cols w:equalWidth="0" w:num="1">
            <w:col w:w="10240"/>
          </w:cols>
          <w:pgMar w:left="219" w:top="131" w:right="1440" w:bottom="0" w:gutter="0" w:footer="0" w:header="0"/>
        </w:sectPr>
      </w:pPr>
    </w:p>
    <w:bookmarkStart w:id="25" w:name="page26"/>
    <w:bookmarkEnd w:id="25"/>
    <w:p>
      <w:pPr>
        <w:ind w:right="4239"/>
        <w:spacing w:after="0" w:line="266" w:lineRule="auto"/>
        <w:rPr>
          <w:sz w:val="20"/>
          <w:szCs w:val="20"/>
          <w:color w:val="auto"/>
        </w:rPr>
      </w:pPr>
      <w:r>
        <w:rPr>
          <w:rFonts w:ascii="Arial" w:cs="Arial" w:eastAsia="Arial" w:hAnsi="Arial"/>
          <w:sz w:val="13"/>
          <w:szCs w:val="13"/>
          <w:color w:val="auto"/>
        </w:rPr>
        <w:t>facility closed in 2005. As a result, the Company recognized pre-tax charges of $32 million in 2004, of which $26 million related to employee terminations and $6 million to location closures and asset write-downs, and other related reorganization actions.</w:t>
      </w:r>
    </w:p>
    <w:p>
      <w:pPr>
        <w:spacing w:after="0" w:line="57" w:lineRule="exact"/>
        <w:rPr>
          <w:sz w:val="20"/>
          <w:szCs w:val="20"/>
          <w:color w:val="auto"/>
        </w:rPr>
      </w:pPr>
    </w:p>
    <w:p>
      <w:pPr>
        <w:ind w:right="4239" w:firstLine="263"/>
        <w:spacing w:after="0" w:line="260" w:lineRule="auto"/>
        <w:rPr>
          <w:sz w:val="20"/>
          <w:szCs w:val="20"/>
          <w:color w:val="auto"/>
        </w:rPr>
      </w:pPr>
      <w:r>
        <w:rPr>
          <w:rFonts w:ascii="Arial" w:cs="Arial" w:eastAsia="Arial" w:hAnsi="Arial"/>
          <w:sz w:val="13"/>
          <w:szCs w:val="13"/>
          <w:color w:val="auto"/>
        </w:rPr>
        <w:t>In 2005, the Company undertook to eliminate 300 positions in manufacturing, selling, research and administration functions, principally in its European and North American operating regions. The majority of affected positions involved employee separation while the balance related to open positions that will not be filled. In connection with this plan, the Company recognized $23 million in 2005 and $3 million in 2006; this plan is essentially complete. Movements in related accruals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350" cy="628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3785870"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785870" cy="635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4627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94627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shd w:val="clear" w:color="auto" w:fill="CCEEFF"/>
        </w:rPr>
        <w:t>Balance January 1, 2004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highlight w:val="white"/>
        </w:rPr>
        <w:t>Additional charges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Cash and other costs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highlight w:val="white"/>
        </w:rPr>
        <w:t>Balance December 31, 2004</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Additional charges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highlight w:val="white"/>
        </w:rPr>
        <w:t>Cash and other costs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shd w:val="clear" w:color="auto" w:fill="CCEEFF"/>
        </w:rPr>
        <w:t>Balance December 31, 2005</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highlight w:val="white"/>
        </w:rPr>
        <w:t>Additional charges (credits)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Cash and other costs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highlight w:val="white"/>
        </w:rPr>
        <w:t>Balance December 31, 2006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9"/>
              </w:rPr>
              <w:t>Asset-Related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9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8"/>
              </w:rPr>
              <w:t>Employee-Related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and Other</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Total</w:t>
            </w:r>
          </w:p>
        </w:tc>
      </w:tr>
      <w:tr>
        <w:trPr>
          <w:trHeight w:val="149"/>
        </w:trPr>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19,609</w:t>
            </w: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1,519</w:t>
            </w: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21,128</w:t>
            </w:r>
          </w:p>
        </w:tc>
        <w:tc>
          <w:tcPr>
            <w:tcW w:w="40" w:type="dxa"/>
            <w:vAlign w:val="bottom"/>
          </w:tcPr>
          <w:p>
            <w:pPr>
              <w:spacing w:after="0"/>
              <w:rPr>
                <w:sz w:val="12"/>
                <w:szCs w:val="12"/>
                <w:color w:val="auto"/>
              </w:rPr>
            </w:pPr>
          </w:p>
        </w:tc>
      </w:tr>
      <w:tr>
        <w:trPr>
          <w:trHeight w:val="165"/>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25,828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22,331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48,159</w:t>
            </w: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(17,219)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(8,942)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4"/>
              </w:rPr>
              <w:t>(26,161)</w:t>
            </w:r>
          </w:p>
        </w:tc>
      </w:tr>
      <w:tr>
        <w:trPr>
          <w:trHeight w:val="150"/>
        </w:trPr>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28,218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43,126</w:t>
            </w:r>
          </w:p>
        </w:tc>
        <w:tc>
          <w:tcPr>
            <w:tcW w:w="40" w:type="dxa"/>
            <w:vAlign w:val="bottom"/>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21,979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23,319</w:t>
            </w: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(20,681)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(11,315)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4"/>
              </w:rPr>
              <w:t>(31,996)</w:t>
            </w:r>
          </w:p>
        </w:tc>
      </w:tr>
      <w:tr>
        <w:trPr>
          <w:trHeight w:val="150"/>
        </w:trPr>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29,516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34,449</w:t>
            </w:r>
          </w:p>
        </w:tc>
        <w:tc>
          <w:tcPr>
            <w:tcW w:w="40" w:type="dxa"/>
            <w:vAlign w:val="bottom"/>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(1,160)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2,680</w:t>
            </w:r>
          </w:p>
        </w:tc>
        <w:tc>
          <w:tcPr>
            <w:tcW w:w="40" w:type="dxa"/>
            <w:vAlign w:val="bottom"/>
          </w:tcPr>
          <w:p>
            <w:pPr>
              <w:spacing w:after="0"/>
              <w:rPr>
                <w:sz w:val="14"/>
                <w:szCs w:val="14"/>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4"/>
              </w:rPr>
              <w:t>(20,495)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(1,346)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4"/>
              </w:rPr>
              <w:t>(21,841)</w:t>
            </w:r>
          </w:p>
        </w:tc>
      </w:tr>
      <w:tr>
        <w:trPr>
          <w:trHeight w:val="159"/>
        </w:trPr>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12,861</w:t>
            </w:r>
          </w:p>
        </w:tc>
        <w:tc>
          <w:tcPr>
            <w:tcW w:w="20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2,427</w:t>
            </w:r>
          </w:p>
        </w:tc>
        <w:tc>
          <w:tcPr>
            <w:tcW w:w="10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15,288</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-1173480</wp:posOffset>
            </wp:positionV>
            <wp:extent cx="6350"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-1173480</wp:posOffset>
            </wp:positionV>
            <wp:extent cx="6350"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-1173480</wp:posOffset>
            </wp:positionV>
            <wp:extent cx="6350"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-1173480</wp:posOffset>
            </wp:positionV>
            <wp:extent cx="635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-1173480</wp:posOffset>
            </wp:positionV>
            <wp:extent cx="6350"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-1173480</wp:posOffset>
            </wp:positionV>
            <wp:extent cx="6350"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-1079500</wp:posOffset>
            </wp:positionV>
            <wp:extent cx="3792220" cy="11430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792220" cy="114300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2540" w:space="720"/>
            <w:col w:w="6979"/>
          </w:cols>
          <w:pgMar w:left="220" w:top="131" w:right="1440" w:bottom="0" w:gutter="0" w:footer="0" w:header="0"/>
          <w:type w:val="continuous"/>
        </w:sectPr>
      </w:pPr>
    </w:p>
    <w:p>
      <w:pPr>
        <w:ind w:right="4359" w:firstLine="263"/>
        <w:spacing w:after="0" w:line="287" w:lineRule="auto"/>
        <w:rPr>
          <w:sz w:val="20"/>
          <w:szCs w:val="20"/>
          <w:color w:val="auto"/>
        </w:rPr>
      </w:pPr>
      <w:r>
        <w:rPr>
          <w:rFonts w:ascii="Arial" w:cs="Arial" w:eastAsia="Arial" w:hAnsi="Arial"/>
          <w:sz w:val="12"/>
          <w:szCs w:val="12"/>
          <w:color w:val="auto"/>
        </w:rPr>
        <w:t>The 2004 asset-related charges exclude gains of $16 million arising on the sale of the fruit business and Canadian facility; such gains were considered in determining Restructuring and other charges of $32 million reported in 2004. The 2006 asset-related credit resulted from a gain realized on disposition of the Dijon facility. The employee-related liabilities are expected to be utilized by 2008 as obligations are satisfied; asset-related charges will be utilized in 2007 on final decommissioning and disposal of affected assets.</w:t>
      </w:r>
    </w:p>
    <w:p>
      <w:pPr>
        <w:spacing w:after="0" w:line="17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3779520"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20"/>
                <w:szCs w:val="20"/>
                <w:color w:val="auto"/>
              </w:rPr>
            </w:pPr>
            <w:r>
              <w:rPr>
                <w:rFonts w:ascii="Arial" w:cs="Arial" w:eastAsia="Arial" w:hAnsi="Arial"/>
                <w:sz w:val="13"/>
                <w:szCs w:val="13"/>
                <w:b w:val="1"/>
                <w:bCs w:val="1"/>
                <w:color w:val="auto"/>
              </w:rPr>
              <w:t>NOTE 3.</w:t>
            </w:r>
          </w:p>
        </w:tc>
        <w:tc>
          <w:tcPr>
            <w:tcW w:w="3640" w:type="dxa"/>
            <w:vAlign w:val="bottom"/>
            <w:gridSpan w:val="2"/>
          </w:tcPr>
          <w:p>
            <w:pPr>
              <w:ind w:left="80"/>
              <w:spacing w:after="0"/>
              <w:rPr>
                <w:sz w:val="20"/>
                <w:szCs w:val="20"/>
                <w:color w:val="auto"/>
              </w:rPr>
            </w:pPr>
            <w:r>
              <w:rPr>
                <w:rFonts w:ascii="Arial" w:cs="Arial" w:eastAsia="Arial" w:hAnsi="Arial"/>
                <w:sz w:val="13"/>
                <w:szCs w:val="13"/>
                <w:b w:val="1"/>
                <w:bCs w:val="1"/>
                <w:color w:val="auto"/>
              </w:rPr>
              <w:t>INVENTORIES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47"/>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4220" w:type="dxa"/>
            <w:vAlign w:val="bottom"/>
            <w:tcBorders>
              <w:bottom w:val="single" w:sz="8" w:color="auto"/>
            </w:tcBorders>
            <w:gridSpan w:val="3"/>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line="119" w:lineRule="exact"/>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w w:val="97"/>
              </w:rPr>
              <w:t>2005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Raw materials</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7"/>
              </w:rPr>
              <w:t>213,675</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9"/>
              </w:rPr>
              <w:t>197,268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4220" w:type="dxa"/>
            <w:vAlign w:val="bottom"/>
            <w:gridSpan w:val="3"/>
          </w:tcPr>
          <w:p>
            <w:pPr>
              <w:spacing w:after="0"/>
              <w:rPr>
                <w:sz w:val="20"/>
                <w:szCs w:val="20"/>
                <w:color w:val="auto"/>
              </w:rPr>
            </w:pPr>
            <w:r>
              <w:rPr>
                <w:rFonts w:ascii="Arial" w:cs="Arial" w:eastAsia="Arial" w:hAnsi="Arial"/>
                <w:sz w:val="13"/>
                <w:szCs w:val="13"/>
                <w:color w:val="auto"/>
                <w:highlight w:val="white"/>
              </w:rPr>
              <w:t>Work in process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12,686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Finished goods</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220,245</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221,660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580" w:type="dxa"/>
            <w:vAlign w:val="bottom"/>
          </w:tcPr>
          <w:p>
            <w:pPr>
              <w:ind w:left="140"/>
              <w:spacing w:after="0"/>
              <w:rPr>
                <w:sz w:val="20"/>
                <w:szCs w:val="20"/>
                <w:color w:val="auto"/>
              </w:rPr>
            </w:pPr>
            <w:r>
              <w:rPr>
                <w:rFonts w:ascii="Arial" w:cs="Arial" w:eastAsia="Arial" w:hAnsi="Arial"/>
                <w:sz w:val="13"/>
                <w:szCs w:val="13"/>
                <w:color w:val="auto"/>
                <w:highlight w:val="white"/>
              </w:rPr>
              <w:t>Total</w:t>
            </w:r>
          </w:p>
        </w:tc>
        <w:tc>
          <w:tcPr>
            <w:tcW w:w="3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446,606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430,794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4"/>
        </w:trPr>
        <w:tc>
          <w:tcPr>
            <w:tcW w:w="580" w:type="dxa"/>
            <w:vAlign w:val="bottom"/>
          </w:tcPr>
          <w:p>
            <w:pPr>
              <w:spacing w:after="0"/>
              <w:rPr>
                <w:sz w:val="20"/>
                <w:szCs w:val="20"/>
                <w:color w:val="auto"/>
              </w:rPr>
            </w:pPr>
            <w:r>
              <w:rPr>
                <w:rFonts w:ascii="Arial" w:cs="Arial" w:eastAsia="Arial" w:hAnsi="Arial"/>
                <w:sz w:val="13"/>
                <w:szCs w:val="13"/>
                <w:b w:val="1"/>
                <w:bCs w:val="1"/>
                <w:color w:val="auto"/>
              </w:rPr>
              <w:t>NOTE 4.</w:t>
            </w:r>
          </w:p>
        </w:tc>
        <w:tc>
          <w:tcPr>
            <w:tcW w:w="36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PROPERTY, PLANT AND EQUIPMENT, NET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80" w:type="dxa"/>
            <w:vAlign w:val="bottom"/>
          </w:tcPr>
          <w:p>
            <w:pPr>
              <w:spacing w:after="0" w:line="119" w:lineRule="exact"/>
              <w:rPr>
                <w:sz w:val="20"/>
                <w:szCs w:val="20"/>
                <w:color w:val="auto"/>
              </w:rPr>
            </w:pPr>
            <w:r>
              <w:rPr>
                <w:rFonts w:ascii="Arial" w:cs="Arial" w:eastAsia="Arial" w:hAnsi="Arial"/>
                <w:sz w:val="11"/>
                <w:szCs w:val="11"/>
                <w:b w:val="1"/>
                <w:bCs w:val="1"/>
                <w:color w:val="auto"/>
                <w:w w:val="95"/>
              </w:rPr>
              <w:t>Asset Type</w:t>
            </w:r>
          </w:p>
        </w:tc>
        <w:tc>
          <w:tcPr>
            <w:tcW w:w="3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6"/>
          </w:tcPr>
          <w:p>
            <w:pPr>
              <w:jc w:val="right"/>
              <w:spacing w:after="0" w:line="119" w:lineRule="exact"/>
              <w:rPr>
                <w:sz w:val="20"/>
                <w:szCs w:val="20"/>
                <w:color w:val="auto"/>
              </w:rPr>
            </w:pPr>
            <w:r>
              <w:rPr>
                <w:rFonts w:ascii="Arial" w:cs="Arial" w:eastAsia="Arial" w:hAnsi="Arial"/>
                <w:sz w:val="11"/>
                <w:szCs w:val="11"/>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42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58"/>
              <w:spacing w:after="0" w:line="119" w:lineRule="exact"/>
              <w:rPr>
                <w:sz w:val="20"/>
                <w:szCs w:val="20"/>
                <w:color w:val="auto"/>
              </w:rPr>
            </w:pPr>
            <w:r>
              <w:rPr>
                <w:rFonts w:ascii="Arial" w:cs="Arial" w:eastAsia="Arial" w:hAnsi="Arial"/>
                <w:sz w:val="11"/>
                <w:szCs w:val="11"/>
                <w:b w:val="1"/>
                <w:bCs w:val="1"/>
                <w:color w:val="auto"/>
                <w:w w:val="97"/>
              </w:rPr>
              <w:t>2006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36"/>
              <w:spacing w:after="0" w:line="119" w:lineRule="exact"/>
              <w:rPr>
                <w:sz w:val="20"/>
                <w:szCs w:val="20"/>
                <w:color w:val="auto"/>
              </w:rPr>
            </w:pPr>
            <w:r>
              <w:rPr>
                <w:rFonts w:ascii="Arial" w:cs="Arial" w:eastAsia="Arial" w:hAnsi="Arial"/>
                <w:sz w:val="11"/>
                <w:szCs w:val="11"/>
                <w:b w:val="1"/>
                <w:bCs w:val="1"/>
                <w:color w:val="auto"/>
                <w:w w:val="89"/>
              </w:rPr>
              <w:t>2005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5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Land</w:t>
            </w:r>
          </w:p>
        </w:tc>
        <w:tc>
          <w:tcPr>
            <w:tcW w:w="36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24,859</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30,220</w:t>
            </w:r>
          </w:p>
        </w:tc>
        <w:tc>
          <w:tcPr>
            <w:tcW w:w="20" w:type="dxa"/>
            <w:vAlign w:val="bottom"/>
          </w:tcPr>
          <w:p>
            <w:pPr>
              <w:spacing w:after="0"/>
              <w:rPr>
                <w:sz w:val="13"/>
                <w:szCs w:val="13"/>
                <w:color w:val="auto"/>
              </w:rPr>
            </w:pPr>
          </w:p>
        </w:tc>
      </w:tr>
      <w:tr>
        <w:trPr>
          <w:trHeight w:val="165"/>
        </w:trPr>
        <w:tc>
          <w:tcPr>
            <w:tcW w:w="4220" w:type="dxa"/>
            <w:vAlign w:val="bottom"/>
            <w:gridSpan w:val="3"/>
          </w:tcPr>
          <w:p>
            <w:pPr>
              <w:spacing w:after="0"/>
              <w:rPr>
                <w:sz w:val="20"/>
                <w:szCs w:val="20"/>
                <w:color w:val="auto"/>
              </w:rPr>
            </w:pPr>
            <w:r>
              <w:rPr>
                <w:rFonts w:ascii="Arial" w:cs="Arial" w:eastAsia="Arial" w:hAnsi="Arial"/>
                <w:sz w:val="13"/>
                <w:szCs w:val="13"/>
                <w:color w:val="auto"/>
                <w:highlight w:val="white"/>
              </w:rPr>
              <w:t>Buildings and improvements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225,231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226,202</w:t>
            </w:r>
          </w:p>
        </w:tc>
        <w:tc>
          <w:tcPr>
            <w:tcW w:w="20" w:type="dxa"/>
            <w:vAlign w:val="bottom"/>
          </w:tcPr>
          <w:p>
            <w:pPr>
              <w:spacing w:after="0"/>
              <w:rPr>
                <w:sz w:val="14"/>
                <w:szCs w:val="14"/>
                <w:color w:val="auto"/>
              </w:rPr>
            </w:pPr>
          </w:p>
        </w:tc>
      </w:tr>
      <w:tr>
        <w:trPr>
          <w:trHeight w:val="171"/>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Machinery and equipment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556,427</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7"/>
              </w:rPr>
              <w:t>494,506</w:t>
            </w:r>
          </w:p>
        </w:tc>
        <w:tc>
          <w:tcPr>
            <w:tcW w:w="20" w:type="dxa"/>
            <w:vAlign w:val="bottom"/>
          </w:tcPr>
          <w:p>
            <w:pPr>
              <w:spacing w:after="0"/>
              <w:rPr>
                <w:sz w:val="14"/>
                <w:szCs w:val="14"/>
                <w:color w:val="auto"/>
              </w:rPr>
            </w:pPr>
          </w:p>
        </w:tc>
      </w:tr>
      <w:tr>
        <w:trPr>
          <w:trHeight w:val="165"/>
        </w:trPr>
        <w:tc>
          <w:tcPr>
            <w:tcW w:w="4220" w:type="dxa"/>
            <w:vAlign w:val="bottom"/>
            <w:gridSpan w:val="3"/>
          </w:tcPr>
          <w:p>
            <w:pPr>
              <w:spacing w:after="0"/>
              <w:rPr>
                <w:sz w:val="20"/>
                <w:szCs w:val="20"/>
                <w:color w:val="auto"/>
              </w:rPr>
            </w:pPr>
            <w:r>
              <w:rPr>
                <w:rFonts w:ascii="Arial" w:cs="Arial" w:eastAsia="Arial" w:hAnsi="Arial"/>
                <w:sz w:val="13"/>
                <w:szCs w:val="13"/>
                <w:color w:val="auto"/>
                <w:highlight w:val="white"/>
              </w:rPr>
              <w:t>Information technology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203,890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7"/>
              </w:rPr>
              <w:t>195,367</w:t>
            </w:r>
          </w:p>
        </w:tc>
        <w:tc>
          <w:tcPr>
            <w:tcW w:w="20" w:type="dxa"/>
            <w:vAlign w:val="bottom"/>
          </w:tcPr>
          <w:p>
            <w:pPr>
              <w:spacing w:after="0"/>
              <w:rPr>
                <w:sz w:val="14"/>
                <w:szCs w:val="14"/>
                <w:color w:val="auto"/>
              </w:rPr>
            </w:pPr>
          </w:p>
        </w:tc>
      </w:tr>
      <w:tr>
        <w:trPr>
          <w:trHeight w:val="156"/>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Construction in progress</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64,365</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79,412</w:t>
            </w:r>
          </w:p>
        </w:tc>
        <w:tc>
          <w:tcPr>
            <w:tcW w:w="20" w:type="dxa"/>
            <w:vAlign w:val="bottom"/>
          </w:tcPr>
          <w:p>
            <w:pPr>
              <w:spacing w:after="0"/>
              <w:rPr>
                <w:sz w:val="13"/>
                <w:szCs w:val="13"/>
                <w:color w:val="auto"/>
              </w:rPr>
            </w:pPr>
          </w:p>
        </w:tc>
      </w:tr>
      <w:tr>
        <w:trPr>
          <w:trHeight w:val="163"/>
        </w:trPr>
        <w:tc>
          <w:tcPr>
            <w:tcW w:w="580" w:type="dxa"/>
            <w:vAlign w:val="bottom"/>
            <w:tcBorders>
              <w:top w:val="single" w:sz="8" w:color="CCEEFF"/>
            </w:tcBorders>
          </w:tcPr>
          <w:p>
            <w:pPr>
              <w:ind w:left="140"/>
              <w:spacing w:after="0"/>
              <w:rPr>
                <w:sz w:val="20"/>
                <w:szCs w:val="20"/>
                <w:color w:val="auto"/>
              </w:rPr>
            </w:pPr>
            <w:r>
              <w:rPr>
                <w:rFonts w:ascii="Arial" w:cs="Arial" w:eastAsia="Arial" w:hAnsi="Arial"/>
                <w:sz w:val="13"/>
                <w:szCs w:val="13"/>
                <w:color w:val="auto"/>
                <w:highlight w:val="white"/>
              </w:rPr>
              <w:t>Total</w:t>
            </w:r>
          </w:p>
        </w:tc>
        <w:tc>
          <w:tcPr>
            <w:tcW w:w="36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1,074,772</w:t>
            </w:r>
          </w:p>
        </w:tc>
        <w:tc>
          <w:tcPr>
            <w:tcW w:w="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1,025,707</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-2159000</wp:posOffset>
            </wp:positionV>
            <wp:extent cx="3811270" cy="23793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811270" cy="2379345"/>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Asset Type</w:t>
      </w:r>
    </w:p>
    <w:p>
      <w:pPr>
        <w:spacing w:after="0" w:line="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4459"/>
        <w:spacing w:after="0"/>
        <w:rPr>
          <w:sz w:val="20"/>
          <w:szCs w:val="20"/>
          <w:color w:val="auto"/>
        </w:rPr>
      </w:pPr>
      <w:r>
        <w:rPr>
          <w:rFonts w:ascii="Arial" w:cs="Arial" w:eastAsia="Arial" w:hAnsi="Arial"/>
          <w:sz w:val="9"/>
          <w:szCs w:val="9"/>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20320</wp:posOffset>
            </wp:positionV>
            <wp:extent cx="1017270"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017270" cy="635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-22860</wp:posOffset>
            </wp:positionV>
            <wp:extent cx="6350"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-22860</wp:posOffset>
            </wp:positionV>
            <wp:extent cx="6350"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5" w:lineRule="exact"/>
        <w:rPr>
          <w:sz w:val="20"/>
          <w:szCs w:val="20"/>
          <w:color w:val="auto"/>
        </w:rPr>
      </w:pPr>
    </w:p>
    <w:p>
      <w:pPr>
        <w:jc w:val="center"/>
        <w:ind w:right="4459"/>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wp:posOffset>
            </wp:positionV>
            <wp:extent cx="1017270"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017270" cy="6350"/>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-37465</wp:posOffset>
            </wp:positionV>
            <wp:extent cx="6350"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-37465</wp:posOffset>
            </wp:positionV>
            <wp:extent cx="6350"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20"/>
        <w:spacing w:after="0"/>
        <w:tabs>
          <w:tab w:leader="none" w:pos="940" w:val="left"/>
        </w:tabs>
        <w:rPr>
          <w:sz w:val="20"/>
          <w:szCs w:val="20"/>
          <w:color w:val="auto"/>
        </w:rPr>
      </w:pPr>
      <w:r>
        <w:rPr>
          <w:rFonts w:ascii="Arial" w:cs="Arial" w:eastAsia="Arial" w:hAnsi="Arial"/>
          <w:sz w:val="9"/>
          <w:szCs w:val="9"/>
          <w:b w:val="1"/>
          <w:bCs w:val="1"/>
          <w:color w:val="auto"/>
        </w:rPr>
        <w:t>2006</w:t>
      </w:r>
      <w:r>
        <w:rPr>
          <w:sz w:val="20"/>
          <w:szCs w:val="20"/>
          <w:color w:val="auto"/>
        </w:rPr>
        <w:tab/>
      </w:r>
      <w:r>
        <w:rPr>
          <w:rFonts w:ascii="Arial" w:cs="Arial" w:eastAsia="Arial" w:hAnsi="Arial"/>
          <w:sz w:val="9"/>
          <w:szCs w:val="9"/>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-22860</wp:posOffset>
            </wp:positionV>
            <wp:extent cx="635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-22860</wp:posOffset>
            </wp:positionV>
            <wp:extent cx="6350"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-22860</wp:posOffset>
            </wp:positionV>
            <wp:extent cx="6350"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-22860</wp:posOffset>
            </wp:positionV>
            <wp:extent cx="6350"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860" w:space="720"/>
            <w:col w:w="5659"/>
          </w:cols>
          <w:pgMar w:left="220" w:top="131" w:right="1440" w:bottom="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91"/>
                <w:shd w:val="clear" w:color="auto" w:fill="CCEEFF"/>
              </w:rPr>
              <w:t>Buildings and improvements</w:t>
            </w:r>
          </w:p>
        </w:tc>
        <w:tc>
          <w:tcPr>
            <w:tcW w:w="2660" w:type="dxa"/>
            <w:vAlign w:val="bottom"/>
            <w:tcBorders>
              <w:top w:val="single" w:sz="8" w:color="auto"/>
            </w:tcBorders>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92,525</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97,237</w:t>
            </w:r>
          </w:p>
        </w:tc>
        <w:tc>
          <w:tcPr>
            <w:tcW w:w="1580" w:type="dxa"/>
            <w:vAlign w:val="bottom"/>
            <w:tcBorders>
              <w:left w:val="single" w:sz="8" w:color="CCEEFF"/>
            </w:tcBorders>
          </w:tcPr>
          <w:p>
            <w:pPr>
              <w:spacing w:after="0"/>
              <w:rPr>
                <w:sz w:val="13"/>
                <w:szCs w:val="13"/>
                <w:color w:val="auto"/>
              </w:rPr>
            </w:pPr>
          </w:p>
        </w:tc>
      </w:tr>
      <w:tr>
        <w:trPr>
          <w:trHeight w:val="167"/>
        </w:trPr>
        <w:tc>
          <w:tcPr>
            <w:tcW w:w="1520" w:type="dxa"/>
            <w:vAlign w:val="bottom"/>
          </w:tcPr>
          <w:p>
            <w:pPr>
              <w:spacing w:after="0"/>
              <w:rPr>
                <w:sz w:val="20"/>
                <w:szCs w:val="20"/>
                <w:color w:val="auto"/>
              </w:rPr>
            </w:pPr>
            <w:r>
              <w:rPr>
                <w:rFonts w:ascii="Arial" w:cs="Arial" w:eastAsia="Arial" w:hAnsi="Arial"/>
                <w:sz w:val="13"/>
                <w:szCs w:val="13"/>
                <w:color w:val="auto"/>
                <w:highlight w:val="white"/>
              </w:rPr>
              <w:t>Machinery and equipment</w:t>
            </w: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341,838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9"/>
              </w:rPr>
              <w:t>304,981</w:t>
            </w:r>
          </w:p>
        </w:tc>
        <w:tc>
          <w:tcPr>
            <w:tcW w:w="1580" w:type="dxa"/>
            <w:vAlign w:val="bottom"/>
          </w:tcPr>
          <w:p>
            <w:pPr>
              <w:spacing w:after="0"/>
              <w:rPr>
                <w:sz w:val="14"/>
                <w:szCs w:val="14"/>
                <w:color w:val="auto"/>
              </w:rPr>
            </w:pPr>
          </w:p>
        </w:tc>
      </w:tr>
      <w:tr>
        <w:trPr>
          <w:trHeight w:val="155"/>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Information technology</w:t>
            </w:r>
          </w:p>
        </w:tc>
        <w:tc>
          <w:tcPr>
            <w:tcW w:w="2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145,285</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124,344</w:t>
            </w:r>
          </w:p>
        </w:tc>
        <w:tc>
          <w:tcPr>
            <w:tcW w:w="1580" w:type="dxa"/>
            <w:vAlign w:val="bottom"/>
            <w:tcBorders>
              <w:left w:val="single" w:sz="8" w:color="CCEEFF"/>
            </w:tcBorders>
          </w:tcPr>
          <w:p>
            <w:pPr>
              <w:spacing w:after="0"/>
              <w:rPr>
                <w:sz w:val="13"/>
                <w:szCs w:val="13"/>
                <w:color w:val="auto"/>
              </w:rPr>
            </w:pPr>
          </w:p>
        </w:tc>
      </w:tr>
      <w:tr>
        <w:trPr>
          <w:trHeight w:val="163"/>
        </w:trPr>
        <w:tc>
          <w:tcPr>
            <w:tcW w:w="1520" w:type="dxa"/>
            <w:vAlign w:val="bottom"/>
          </w:tcPr>
          <w:p>
            <w:pPr>
              <w:ind w:left="140"/>
              <w:spacing w:after="0"/>
              <w:rPr>
                <w:sz w:val="20"/>
                <w:szCs w:val="20"/>
                <w:color w:val="auto"/>
              </w:rPr>
            </w:pPr>
            <w:r>
              <w:rPr>
                <w:rFonts w:ascii="Arial" w:cs="Arial" w:eastAsia="Arial" w:hAnsi="Arial"/>
                <w:sz w:val="13"/>
                <w:szCs w:val="13"/>
                <w:color w:val="auto"/>
                <w:highlight w:val="white"/>
              </w:rPr>
              <w:t>Total</w:t>
            </w:r>
          </w:p>
        </w:tc>
        <w:tc>
          <w:tcPr>
            <w:tcW w:w="2840" w:type="dxa"/>
            <w:vAlign w:val="bottom"/>
            <w:gridSpan w:val="3"/>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579,648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526,562</w:t>
            </w:r>
          </w:p>
        </w:tc>
        <w:tc>
          <w:tcPr>
            <w:tcW w:w="1580" w:type="dxa"/>
            <w:vAlign w:val="bottom"/>
          </w:tcPr>
          <w:p>
            <w:pPr>
              <w:spacing w:after="0"/>
              <w:rPr>
                <w:sz w:val="14"/>
                <w:szCs w:val="14"/>
                <w:color w:val="auto"/>
              </w:rPr>
            </w:pPr>
          </w:p>
        </w:tc>
      </w:tr>
      <w:tr>
        <w:trPr>
          <w:trHeight w:val="475"/>
        </w:trPr>
        <w:tc>
          <w:tcPr>
            <w:tcW w:w="1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1"/>
                <w:szCs w:val="11"/>
                <w:b w:val="1"/>
                <w:bCs w:val="1"/>
                <w:color w:val="auto"/>
              </w:rPr>
              <w:t>Net</w:t>
            </w:r>
          </w:p>
        </w:tc>
        <w:tc>
          <w:tcPr>
            <w:tcW w:w="4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1520" w:type="dxa"/>
            <w:vAlign w:val="bottom"/>
          </w:tcPr>
          <w:p>
            <w:pPr>
              <w:spacing w:after="0" w:line="119" w:lineRule="exact"/>
              <w:rPr>
                <w:sz w:val="20"/>
                <w:szCs w:val="20"/>
                <w:color w:val="auto"/>
              </w:rPr>
            </w:pPr>
            <w:r>
              <w:rPr>
                <w:rFonts w:ascii="Arial" w:cs="Arial" w:eastAsia="Arial" w:hAnsi="Arial"/>
                <w:sz w:val="11"/>
                <w:szCs w:val="11"/>
                <w:b w:val="1"/>
                <w:bCs w:val="1"/>
                <w:color w:val="auto"/>
              </w:rPr>
              <w:t>Asset Type</w:t>
            </w: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6"/>
          </w:tcPr>
          <w:p>
            <w:pPr>
              <w:jc w:val="right"/>
              <w:ind w:right="375"/>
              <w:spacing w:after="0" w:line="119" w:lineRule="exact"/>
              <w:rPr>
                <w:sz w:val="20"/>
                <w:szCs w:val="20"/>
                <w:color w:val="auto"/>
              </w:rPr>
            </w:pPr>
            <w:r>
              <w:rPr>
                <w:rFonts w:ascii="Arial" w:cs="Arial" w:eastAsia="Arial" w:hAnsi="Arial"/>
                <w:sz w:val="11"/>
                <w:szCs w:val="11"/>
                <w:b w:val="1"/>
                <w:bCs w:val="1"/>
                <w:color w:val="auto"/>
              </w:rPr>
              <w:t>December 31,</w:t>
            </w:r>
          </w:p>
        </w:tc>
        <w:tc>
          <w:tcPr>
            <w:tcW w:w="1580" w:type="dxa"/>
            <w:vAlign w:val="bottom"/>
          </w:tcPr>
          <w:p>
            <w:pPr>
              <w:spacing w:after="0"/>
              <w:rPr>
                <w:sz w:val="10"/>
                <w:szCs w:val="10"/>
                <w:color w:val="auto"/>
              </w:rPr>
            </w:pPr>
          </w:p>
        </w:tc>
      </w:tr>
      <w:tr>
        <w:trPr>
          <w:trHeight w:val="118"/>
        </w:trPr>
        <w:tc>
          <w:tcPr>
            <w:tcW w:w="1520" w:type="dxa"/>
            <w:vAlign w:val="bottom"/>
            <w:tcBorders>
              <w:bottom w:val="single" w:sz="8" w:color="auto"/>
            </w:tcBorders>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2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2006</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line="119" w:lineRule="exact"/>
              <w:rPr>
                <w:sz w:val="20"/>
                <w:szCs w:val="20"/>
                <w:color w:val="auto"/>
              </w:rPr>
            </w:pPr>
            <w:r>
              <w:rPr>
                <w:rFonts w:ascii="Arial" w:cs="Arial" w:eastAsia="Arial" w:hAnsi="Arial"/>
                <w:sz w:val="11"/>
                <w:szCs w:val="11"/>
                <w:b w:val="1"/>
                <w:bCs w:val="1"/>
                <w:color w:val="auto"/>
              </w:rPr>
              <w:t>2005</w:t>
            </w:r>
          </w:p>
        </w:tc>
        <w:tc>
          <w:tcPr>
            <w:tcW w:w="1580" w:type="dxa"/>
            <w:vAlign w:val="bottom"/>
          </w:tcPr>
          <w:p>
            <w:pPr>
              <w:spacing w:after="0"/>
              <w:rPr>
                <w:sz w:val="10"/>
                <w:szCs w:val="10"/>
                <w:color w:val="auto"/>
              </w:rPr>
            </w:pPr>
          </w:p>
        </w:tc>
      </w:tr>
      <w:tr>
        <w:trPr>
          <w:trHeight w:val="158"/>
        </w:trPr>
        <w:tc>
          <w:tcPr>
            <w:tcW w:w="15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Land</w:t>
            </w:r>
          </w:p>
        </w:tc>
        <w:tc>
          <w:tcPr>
            <w:tcW w:w="2700" w:type="dxa"/>
            <w:vAlign w:val="bottom"/>
            <w:gridSpan w:val="2"/>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24,859</w:t>
            </w:r>
          </w:p>
        </w:tc>
        <w:tc>
          <w:tcPr>
            <w:tcW w:w="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30,220</w:t>
            </w:r>
          </w:p>
        </w:tc>
        <w:tc>
          <w:tcPr>
            <w:tcW w:w="1580" w:type="dxa"/>
            <w:vAlign w:val="bottom"/>
          </w:tcPr>
          <w:p>
            <w:pPr>
              <w:spacing w:after="0"/>
              <w:rPr>
                <w:sz w:val="13"/>
                <w:szCs w:val="13"/>
                <w:color w:val="auto"/>
              </w:rPr>
            </w:pPr>
          </w:p>
        </w:tc>
      </w:tr>
      <w:tr>
        <w:trPr>
          <w:trHeight w:val="167"/>
        </w:trPr>
        <w:tc>
          <w:tcPr>
            <w:tcW w:w="1520" w:type="dxa"/>
            <w:vAlign w:val="bottom"/>
          </w:tcPr>
          <w:p>
            <w:pPr>
              <w:spacing w:after="0"/>
              <w:rPr>
                <w:sz w:val="20"/>
                <w:szCs w:val="20"/>
                <w:color w:val="auto"/>
              </w:rPr>
            </w:pPr>
            <w:r>
              <w:rPr>
                <w:rFonts w:ascii="Arial" w:cs="Arial" w:eastAsia="Arial" w:hAnsi="Arial"/>
                <w:sz w:val="13"/>
                <w:szCs w:val="13"/>
                <w:color w:val="auto"/>
                <w:highlight w:val="white"/>
                <w:w w:val="91"/>
              </w:rPr>
              <w:t>Buildings and improvements</w:t>
            </w: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132,706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128,965</w:t>
            </w:r>
          </w:p>
        </w:tc>
        <w:tc>
          <w:tcPr>
            <w:tcW w:w="1580" w:type="dxa"/>
            <w:vAlign w:val="bottom"/>
          </w:tcPr>
          <w:p>
            <w:pPr>
              <w:spacing w:after="0"/>
              <w:rPr>
                <w:sz w:val="14"/>
                <w:szCs w:val="14"/>
                <w:color w:val="auto"/>
              </w:rPr>
            </w:pPr>
          </w:p>
        </w:tc>
      </w:tr>
      <w:tr>
        <w:trPr>
          <w:trHeight w:val="169"/>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Machinery and equipment</w:t>
            </w:r>
          </w:p>
        </w:tc>
        <w:tc>
          <w:tcPr>
            <w:tcW w:w="2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214,589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189,525</w:t>
            </w:r>
          </w:p>
        </w:tc>
        <w:tc>
          <w:tcPr>
            <w:tcW w:w="1580" w:type="dxa"/>
            <w:vAlign w:val="bottom"/>
          </w:tcPr>
          <w:p>
            <w:pPr>
              <w:spacing w:after="0"/>
              <w:rPr>
                <w:sz w:val="14"/>
                <w:szCs w:val="14"/>
                <w:color w:val="auto"/>
              </w:rPr>
            </w:pPr>
          </w:p>
        </w:tc>
      </w:tr>
      <w:tr>
        <w:trPr>
          <w:trHeight w:val="165"/>
        </w:trPr>
        <w:tc>
          <w:tcPr>
            <w:tcW w:w="1520" w:type="dxa"/>
            <w:vAlign w:val="bottom"/>
          </w:tcPr>
          <w:p>
            <w:pPr>
              <w:spacing w:after="0"/>
              <w:rPr>
                <w:sz w:val="20"/>
                <w:szCs w:val="20"/>
                <w:color w:val="auto"/>
              </w:rPr>
            </w:pPr>
            <w:r>
              <w:rPr>
                <w:rFonts w:ascii="Arial" w:cs="Arial" w:eastAsia="Arial" w:hAnsi="Arial"/>
                <w:sz w:val="13"/>
                <w:szCs w:val="13"/>
                <w:color w:val="auto"/>
                <w:highlight w:val="white"/>
              </w:rPr>
              <w:t>Information technology</w:t>
            </w: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58,605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71,023</w:t>
            </w:r>
          </w:p>
        </w:tc>
        <w:tc>
          <w:tcPr>
            <w:tcW w:w="1580" w:type="dxa"/>
            <w:vAlign w:val="bottom"/>
          </w:tcPr>
          <w:p>
            <w:pPr>
              <w:spacing w:after="0"/>
              <w:rPr>
                <w:sz w:val="14"/>
                <w:szCs w:val="14"/>
                <w:color w:val="auto"/>
              </w:rPr>
            </w:pPr>
          </w:p>
        </w:tc>
      </w:tr>
      <w:tr>
        <w:trPr>
          <w:trHeight w:val="156"/>
        </w:trPr>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Construction in progress</w:t>
            </w:r>
          </w:p>
        </w:tc>
        <w:tc>
          <w:tcPr>
            <w:tcW w:w="2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64,365</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79,412</w:t>
            </w:r>
          </w:p>
        </w:tc>
        <w:tc>
          <w:tcPr>
            <w:tcW w:w="1580" w:type="dxa"/>
            <w:vAlign w:val="bottom"/>
          </w:tcPr>
          <w:p>
            <w:pPr>
              <w:spacing w:after="0"/>
              <w:rPr>
                <w:sz w:val="13"/>
                <w:szCs w:val="13"/>
                <w:color w:val="auto"/>
              </w:rPr>
            </w:pPr>
          </w:p>
        </w:tc>
      </w:tr>
      <w:tr>
        <w:trPr>
          <w:trHeight w:val="163"/>
        </w:trPr>
        <w:tc>
          <w:tcPr>
            <w:tcW w:w="1520" w:type="dxa"/>
            <w:vAlign w:val="bottom"/>
          </w:tcPr>
          <w:p>
            <w:pPr>
              <w:ind w:left="140"/>
              <w:spacing w:after="0"/>
              <w:rPr>
                <w:sz w:val="20"/>
                <w:szCs w:val="20"/>
                <w:color w:val="auto"/>
              </w:rPr>
            </w:pPr>
            <w:r>
              <w:rPr>
                <w:rFonts w:ascii="Arial" w:cs="Arial" w:eastAsia="Arial" w:hAnsi="Arial"/>
                <w:sz w:val="13"/>
                <w:szCs w:val="13"/>
                <w:color w:val="auto"/>
                <w:highlight w:val="white"/>
              </w:rPr>
              <w:t>Total</w:t>
            </w:r>
          </w:p>
        </w:tc>
        <w:tc>
          <w:tcPr>
            <w:tcW w:w="302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495,124</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499,145</w:t>
            </w:r>
          </w:p>
        </w:tc>
        <w:tc>
          <w:tcPr>
            <w:tcW w:w="1580" w:type="dxa"/>
            <w:vAlign w:val="bottom"/>
          </w:tcPr>
          <w:p>
            <w:pPr>
              <w:spacing w:after="0"/>
              <w:rPr>
                <w:sz w:val="14"/>
                <w:szCs w:val="14"/>
                <w:color w:val="auto"/>
              </w:rPr>
            </w:pPr>
          </w:p>
        </w:tc>
      </w:tr>
      <w:tr>
        <w:trPr>
          <w:trHeight w:val="394"/>
        </w:trPr>
        <w:tc>
          <w:tcPr>
            <w:tcW w:w="1520" w:type="dxa"/>
            <w:vAlign w:val="bottom"/>
          </w:tcPr>
          <w:p>
            <w:pPr>
              <w:spacing w:after="0"/>
              <w:rPr>
                <w:sz w:val="24"/>
                <w:szCs w:val="24"/>
                <w:color w:val="auto"/>
              </w:rPr>
            </w:pPr>
          </w:p>
        </w:tc>
        <w:tc>
          <w:tcPr>
            <w:tcW w:w="2660" w:type="dxa"/>
            <w:vAlign w:val="bottom"/>
          </w:tcPr>
          <w:p>
            <w:pPr>
              <w:jc w:val="right"/>
              <w:ind w:right="1034"/>
              <w:spacing w:after="0"/>
              <w:rPr>
                <w:sz w:val="20"/>
                <w:szCs w:val="20"/>
                <w:color w:val="auto"/>
              </w:rPr>
            </w:pPr>
            <w:r>
              <w:rPr>
                <w:rFonts w:ascii="Arial" w:cs="Arial" w:eastAsia="Arial" w:hAnsi="Arial"/>
                <w:sz w:val="13"/>
                <w:szCs w:val="13"/>
                <w:color w:val="auto"/>
              </w:rPr>
              <w:t>50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387"/>
        </w:trPr>
        <w:tc>
          <w:tcPr>
            <w:tcW w:w="15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-2040255</wp:posOffset>
            </wp:positionV>
            <wp:extent cx="4809490" cy="22104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809490" cy="2210435"/>
                    </a:xfrm>
                    <a:prstGeom prst="rect">
                      <a:avLst/>
                    </a:prstGeom>
                    <a:noFill/>
                  </pic:spPr>
                </pic:pic>
              </a:graphicData>
            </a:graphic>
          </wp:anchor>
        </w:drawing>
      </w:r>
    </w:p>
    <w:p>
      <w:pPr>
        <w:spacing w:after="0" w:line="392"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NOTE 5.</w:t>
        <w:tab/>
        <w:t>GOODWILL AND OTHER INTANGIBLE ASSETS, NET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Goodwill by operating segment for 2006 and 2005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92220"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792220"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6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r>
      <w:tr>
        <w:trPr>
          <w:trHeight w:val="158"/>
        </w:trPr>
        <w:tc>
          <w:tcPr>
            <w:tcW w:w="5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North America</w:t>
            </w: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218,575</w:t>
            </w:r>
          </w:p>
        </w:tc>
        <w:tc>
          <w:tcPr>
            <w:tcW w:w="20" w:type="dxa"/>
            <w:vAlign w:val="bottom"/>
          </w:tcPr>
          <w:p>
            <w:pPr>
              <w:spacing w:after="0"/>
              <w:rPr>
                <w:sz w:val="13"/>
                <w:szCs w:val="13"/>
                <w:color w:val="auto"/>
              </w:rPr>
            </w:pPr>
          </w:p>
        </w:tc>
      </w:tr>
      <w:tr>
        <w:trPr>
          <w:trHeight w:val="165"/>
        </w:trPr>
        <w:tc>
          <w:tcPr>
            <w:tcW w:w="5160" w:type="dxa"/>
            <w:vAlign w:val="bottom"/>
          </w:tcPr>
          <w:p>
            <w:pPr>
              <w:spacing w:after="0"/>
              <w:rPr>
                <w:sz w:val="20"/>
                <w:szCs w:val="20"/>
                <w:color w:val="auto"/>
              </w:rPr>
            </w:pPr>
            <w:r>
              <w:rPr>
                <w:rFonts w:ascii="Arial" w:cs="Arial" w:eastAsia="Arial" w:hAnsi="Arial"/>
                <w:sz w:val="13"/>
                <w:szCs w:val="13"/>
                <w:color w:val="auto"/>
                <w:highlight w:val="white"/>
              </w:rPr>
              <w:t>Europe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258,607</w:t>
            </w:r>
          </w:p>
        </w:tc>
        <w:tc>
          <w:tcPr>
            <w:tcW w:w="20" w:type="dxa"/>
            <w:vAlign w:val="bottom"/>
          </w:tcPr>
          <w:p>
            <w:pPr>
              <w:spacing w:after="0"/>
              <w:rPr>
                <w:sz w:val="14"/>
                <w:szCs w:val="14"/>
                <w:color w:val="auto"/>
              </w:rPr>
            </w:pPr>
          </w:p>
        </w:tc>
      </w:tr>
      <w:tr>
        <w:trPr>
          <w:trHeight w:val="171"/>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29,209</w:t>
            </w:r>
          </w:p>
        </w:tc>
        <w:tc>
          <w:tcPr>
            <w:tcW w:w="20" w:type="dxa"/>
            <w:vAlign w:val="bottom"/>
          </w:tcPr>
          <w:p>
            <w:pPr>
              <w:spacing w:after="0"/>
              <w:rPr>
                <w:sz w:val="14"/>
                <w:szCs w:val="14"/>
                <w:color w:val="auto"/>
              </w:rPr>
            </w:pPr>
          </w:p>
        </w:tc>
      </w:tr>
      <w:tr>
        <w:trPr>
          <w:trHeight w:val="165"/>
        </w:trPr>
        <w:tc>
          <w:tcPr>
            <w:tcW w:w="5160" w:type="dxa"/>
            <w:vAlign w:val="bottom"/>
          </w:tcPr>
          <w:p>
            <w:pPr>
              <w:spacing w:after="0"/>
              <w:rPr>
                <w:sz w:val="20"/>
                <w:szCs w:val="20"/>
                <w:color w:val="auto"/>
              </w:rPr>
            </w:pPr>
            <w:r>
              <w:rPr>
                <w:rFonts w:ascii="Arial" w:cs="Arial" w:eastAsia="Arial" w:hAnsi="Arial"/>
                <w:sz w:val="13"/>
                <w:szCs w:val="13"/>
                <w:color w:val="auto"/>
                <w:highlight w:val="white"/>
              </w:rPr>
              <w:t>Latin America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49,046</w:t>
            </w:r>
          </w:p>
        </w:tc>
        <w:tc>
          <w:tcPr>
            <w:tcW w:w="20" w:type="dxa"/>
            <w:vAlign w:val="bottom"/>
          </w:tcPr>
          <w:p>
            <w:pPr>
              <w:spacing w:after="0"/>
              <w:rPr>
                <w:sz w:val="14"/>
                <w:szCs w:val="14"/>
                <w:color w:val="auto"/>
              </w:rPr>
            </w:pPr>
          </w:p>
        </w:tc>
      </w:tr>
      <w:tr>
        <w:trPr>
          <w:trHeight w:val="15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Asia Pacific</w:t>
            </w: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110,145</w:t>
            </w:r>
          </w:p>
        </w:tc>
        <w:tc>
          <w:tcPr>
            <w:tcW w:w="20" w:type="dxa"/>
            <w:vAlign w:val="bottom"/>
          </w:tcPr>
          <w:p>
            <w:pPr>
              <w:spacing w:after="0"/>
              <w:rPr>
                <w:sz w:val="13"/>
                <w:szCs w:val="13"/>
                <w:color w:val="auto"/>
              </w:rPr>
            </w:pPr>
          </w:p>
        </w:tc>
      </w:tr>
      <w:tr>
        <w:trPr>
          <w:trHeight w:val="163"/>
        </w:trPr>
        <w:tc>
          <w:tcPr>
            <w:tcW w:w="5160" w:type="dxa"/>
            <w:vAlign w:val="bottom"/>
          </w:tcPr>
          <w:p>
            <w:pPr>
              <w:ind w:left="140"/>
              <w:spacing w:after="0"/>
              <w:rPr>
                <w:sz w:val="20"/>
                <w:szCs w:val="20"/>
                <w:color w:val="auto"/>
              </w:rPr>
            </w:pPr>
            <w:r>
              <w:rPr>
                <w:rFonts w:ascii="Arial" w:cs="Arial" w:eastAsia="Arial" w:hAnsi="Arial"/>
                <w:sz w:val="13"/>
                <w:szCs w:val="13"/>
                <w:color w:val="auto"/>
                <w:highlight w:val="white"/>
              </w:rPr>
              <w:t>Total</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665,582</w:t>
            </w:r>
          </w:p>
        </w:tc>
        <w:tc>
          <w:tcPr>
            <w:tcW w:w="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-702310</wp:posOffset>
            </wp:positionV>
            <wp:extent cx="3798570" cy="7658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798570" cy="76581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type w:val="continuous"/>
        </w:sectPr>
      </w:pPr>
    </w:p>
    <w:p>
      <w:pPr>
        <w:spacing w:after="0" w:line="17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Trademark and other intangible assets consist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6350" cy="628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3785870" cy="127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785870" cy="1270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36"/>
        </w:trPr>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Borders>
              <w:bottom w:val="single" w:sz="8" w:color="auto"/>
            </w:tcBorders>
          </w:tcPr>
          <w:p>
            <w:pPr>
              <w:spacing w:after="0"/>
              <w:rPr>
                <w:sz w:val="11"/>
                <w:szCs w:val="11"/>
                <w:color w:val="auto"/>
              </w:rPr>
            </w:pPr>
          </w:p>
        </w:tc>
      </w:tr>
      <w:tr>
        <w:trPr>
          <w:trHeight w:val="118"/>
        </w:trPr>
        <w:tc>
          <w:tcPr>
            <w:tcW w:w="44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0"/>
                <w:szCs w:val="10"/>
                <w:color w:val="auto"/>
              </w:rPr>
            </w:pPr>
          </w:p>
        </w:tc>
        <w:tc>
          <w:tcPr>
            <w:tcW w:w="460" w:type="dxa"/>
            <w:vAlign w:val="bottom"/>
          </w:tcPr>
          <w:p>
            <w:pPr>
              <w:jc w:val="right"/>
              <w:ind w:right="119"/>
              <w:spacing w:after="0" w:line="119" w:lineRule="exact"/>
              <w:rPr>
                <w:sz w:val="20"/>
                <w:szCs w:val="20"/>
                <w:color w:val="auto"/>
              </w:rPr>
            </w:pPr>
            <w:r>
              <w:rPr>
                <w:rFonts w:ascii="Arial" w:cs="Arial" w:eastAsia="Arial" w:hAnsi="Arial"/>
                <w:sz w:val="11"/>
                <w:szCs w:val="11"/>
                <w:b w:val="1"/>
                <w:bCs w:val="1"/>
                <w:color w:val="auto"/>
              </w:rPr>
              <w:t>2006</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17"/>
              <w:spacing w:after="0" w:line="119" w:lineRule="exact"/>
              <w:rPr>
                <w:sz w:val="20"/>
                <w:szCs w:val="20"/>
                <w:color w:val="auto"/>
              </w:rPr>
            </w:pPr>
            <w:r>
              <w:rPr>
                <w:rFonts w:ascii="Arial" w:cs="Arial" w:eastAsia="Arial" w:hAnsi="Arial"/>
                <w:sz w:val="11"/>
                <w:szCs w:val="11"/>
                <w:b w:val="1"/>
                <w:bCs w:val="1"/>
                <w:color w:val="auto"/>
                <w:w w:val="97"/>
              </w:rPr>
              <w:t>2005</w:t>
            </w:r>
          </w:p>
        </w:tc>
      </w:tr>
      <w:tr>
        <w:trPr>
          <w:trHeight w:val="158"/>
        </w:trPr>
        <w:tc>
          <w:tcPr>
            <w:tcW w:w="4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Gross carrying value</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165,406</w:t>
            </w: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9"/>
              </w:rPr>
              <w:t>177,498</w:t>
            </w:r>
          </w:p>
        </w:tc>
      </w:tr>
      <w:tr>
        <w:trPr>
          <w:trHeight w:val="158"/>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Accumulated amortization</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85,272</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70,429</w:t>
            </w:r>
          </w:p>
        </w:tc>
      </w:tr>
      <w:tr>
        <w:trPr>
          <w:trHeight w:val="158"/>
        </w:trPr>
        <w:tc>
          <w:tcPr>
            <w:tcW w:w="4220" w:type="dxa"/>
            <w:vAlign w:val="bottom"/>
            <w:tcBorders>
              <w:bottom w:val="single" w:sz="8" w:color="CCEEFF"/>
            </w:tcBorders>
            <w:shd w:val="clear" w:color="auto" w:fill="CCEEFF"/>
          </w:tcPr>
          <w:p>
            <w:pPr>
              <w:ind w:left="140"/>
              <w:spacing w:after="0" w:line="148" w:lineRule="exact"/>
              <w:rPr>
                <w:sz w:val="20"/>
                <w:szCs w:val="20"/>
                <w:color w:val="auto"/>
              </w:rPr>
            </w:pPr>
            <w:r>
              <w:rPr>
                <w:rFonts w:ascii="Arial" w:cs="Arial" w:eastAsia="Arial" w:hAnsi="Arial"/>
                <w:sz w:val="13"/>
                <w:szCs w:val="13"/>
                <w:color w:val="auto"/>
                <w:shd w:val="clear" w:color="auto" w:fill="CCEEFF"/>
              </w:rPr>
              <w:t>Total</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80,134</w:t>
            </w:r>
          </w:p>
        </w:tc>
        <w:tc>
          <w:tcPr>
            <w:tcW w:w="3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107,069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3792220" cy="44577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792220" cy="445770"/>
                    </a:xfrm>
                    <a:prstGeom prst="rect">
                      <a:avLst/>
                    </a:prstGeom>
                    <a:noFill/>
                  </pic:spPr>
                </pic:pic>
              </a:graphicData>
            </a:graphic>
          </wp:anchor>
        </w:drawing>
      </w:r>
    </w:p>
    <w:p>
      <w:pPr>
        <w:spacing w:after="0" w:line="159" w:lineRule="exact"/>
        <w:rPr>
          <w:sz w:val="20"/>
          <w:szCs w:val="20"/>
          <w:color w:val="auto"/>
        </w:rPr>
      </w:pPr>
    </w:p>
    <w:p>
      <w:pPr>
        <w:ind w:right="4339" w:firstLine="263"/>
        <w:spacing w:after="0" w:line="291" w:lineRule="auto"/>
        <w:rPr>
          <w:sz w:val="20"/>
          <w:szCs w:val="20"/>
          <w:color w:val="auto"/>
        </w:rPr>
      </w:pPr>
      <w:r>
        <w:rPr>
          <w:rFonts w:ascii="Arial" w:cs="Arial" w:eastAsia="Arial" w:hAnsi="Arial"/>
          <w:sz w:val="12"/>
          <w:szCs w:val="12"/>
          <w:color w:val="auto"/>
        </w:rPr>
        <w:t>Amortization expense for 2006 was $15 million; estimated annual amortization is $13 million in 2007, $6 million in 2008 to 2011, and $43 million thereafter. In 2006, 2005 and 2004, the Company performed its impairment assessments and concluded there was no impairment. In 2006, Other intangible assets were reduced by $12 million in connection with the adoption of FAS 158; see Note 14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79520"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08"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NOTE 6.</w:t>
      </w:r>
      <w:r>
        <w:rPr>
          <w:sz w:val="20"/>
          <w:szCs w:val="20"/>
          <w:color w:val="auto"/>
        </w:rPr>
        <w:tab/>
      </w:r>
      <w:r>
        <w:rPr>
          <w:rFonts w:ascii="Arial" w:cs="Arial" w:eastAsia="Arial" w:hAnsi="Arial"/>
          <w:sz w:val="12"/>
          <w:szCs w:val="12"/>
          <w:b w:val="1"/>
          <w:bCs w:val="1"/>
          <w:color w:val="auto"/>
        </w:rPr>
        <w:t>OTHER ASSETS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Other Assets consist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85870"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785870"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r>
      <w:tr>
        <w:trPr>
          <w:trHeight w:val="118"/>
        </w:trPr>
        <w:tc>
          <w:tcPr>
            <w:tcW w:w="44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0"/>
                <w:szCs w:val="10"/>
                <w:color w:val="auto"/>
              </w:rPr>
            </w:pPr>
          </w:p>
        </w:tc>
        <w:tc>
          <w:tcPr>
            <w:tcW w:w="460" w:type="dxa"/>
            <w:vAlign w:val="bottom"/>
          </w:tcPr>
          <w:p>
            <w:pPr>
              <w:jc w:val="right"/>
              <w:ind w:right="117"/>
              <w:spacing w:after="0" w:line="119" w:lineRule="exact"/>
              <w:rPr>
                <w:sz w:val="20"/>
                <w:szCs w:val="20"/>
                <w:color w:val="auto"/>
              </w:rPr>
            </w:pPr>
            <w:r>
              <w:rPr>
                <w:rFonts w:ascii="Arial" w:cs="Arial" w:eastAsia="Arial" w:hAnsi="Arial"/>
                <w:sz w:val="11"/>
                <w:szCs w:val="11"/>
                <w:b w:val="1"/>
                <w:bCs w:val="1"/>
                <w:color w:val="auto"/>
              </w:rPr>
              <w:t>2006</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16"/>
              <w:spacing w:after="0" w:line="119" w:lineRule="exact"/>
              <w:rPr>
                <w:sz w:val="20"/>
                <w:szCs w:val="20"/>
                <w:color w:val="auto"/>
              </w:rPr>
            </w:pPr>
            <w:r>
              <w:rPr>
                <w:rFonts w:ascii="Arial" w:cs="Arial" w:eastAsia="Arial" w:hAnsi="Arial"/>
                <w:sz w:val="11"/>
                <w:szCs w:val="11"/>
                <w:b w:val="1"/>
                <w:bCs w:val="1"/>
                <w:color w:val="auto"/>
                <w:w w:val="97"/>
              </w:rPr>
              <w:t>2005</w:t>
            </w:r>
          </w:p>
        </w:tc>
        <w:tc>
          <w:tcPr>
            <w:tcW w:w="1580" w:type="dxa"/>
            <w:vAlign w:val="bottom"/>
          </w:tcPr>
          <w:p>
            <w:pPr>
              <w:spacing w:after="0"/>
              <w:rPr>
                <w:sz w:val="10"/>
                <w:szCs w:val="10"/>
                <w:color w:val="auto"/>
              </w:rPr>
            </w:pPr>
          </w:p>
        </w:tc>
      </w:tr>
      <w:tr>
        <w:trPr>
          <w:trHeight w:val="158"/>
        </w:trPr>
        <w:tc>
          <w:tcPr>
            <w:tcW w:w="4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Pension assets</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33,886</w:t>
            </w: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65,190</w:t>
            </w:r>
          </w:p>
        </w:tc>
        <w:tc>
          <w:tcPr>
            <w:tcW w:w="1580" w:type="dxa"/>
            <w:vAlign w:val="bottom"/>
          </w:tcPr>
          <w:p>
            <w:pPr>
              <w:spacing w:after="0"/>
              <w:rPr>
                <w:sz w:val="13"/>
                <w:szCs w:val="13"/>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Litigation settlement insurance receivables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30,808</w:t>
            </w:r>
          </w:p>
        </w:tc>
        <w:tc>
          <w:tcPr>
            <w:tcW w:w="1580" w:type="dxa"/>
            <w:vAlign w:val="bottom"/>
          </w:tcPr>
          <w:p>
            <w:pPr>
              <w:spacing w:after="0"/>
              <w:rPr>
                <w:sz w:val="14"/>
                <w:szCs w:val="14"/>
                <w:color w:val="auto"/>
              </w:rPr>
            </w:pPr>
          </w:p>
        </w:tc>
      </w:tr>
      <w:tr>
        <w:trPr>
          <w:trHeight w:val="171"/>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Deferred tax asset – noncurrent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82,385</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53,221</w:t>
            </w:r>
          </w:p>
        </w:tc>
        <w:tc>
          <w:tcPr>
            <w:tcW w:w="1580" w:type="dxa"/>
            <w:vAlign w:val="bottom"/>
          </w:tcPr>
          <w:p>
            <w:pPr>
              <w:spacing w:after="0"/>
              <w:rPr>
                <w:sz w:val="14"/>
                <w:szCs w:val="14"/>
                <w:color w:val="auto"/>
              </w:rPr>
            </w:pPr>
          </w:p>
        </w:tc>
      </w:tr>
      <w:tr>
        <w:trPr>
          <w:trHeight w:val="158"/>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Other</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40,982</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25,907</w:t>
            </w:r>
          </w:p>
        </w:tc>
        <w:tc>
          <w:tcPr>
            <w:tcW w:w="1580" w:type="dxa"/>
            <w:vAlign w:val="bottom"/>
          </w:tcPr>
          <w:p>
            <w:pPr>
              <w:spacing w:after="0"/>
              <w:rPr>
                <w:sz w:val="13"/>
                <w:szCs w:val="13"/>
                <w:color w:val="auto"/>
              </w:rPr>
            </w:pPr>
          </w:p>
        </w:tc>
      </w:tr>
      <w:tr>
        <w:trPr>
          <w:trHeight w:val="158"/>
        </w:trPr>
        <w:tc>
          <w:tcPr>
            <w:tcW w:w="4220" w:type="dxa"/>
            <w:vAlign w:val="bottom"/>
            <w:tcBorders>
              <w:bottom w:val="single" w:sz="8" w:color="CCEEFF"/>
            </w:tcBorders>
            <w:shd w:val="clear" w:color="auto" w:fill="CCEEFF"/>
          </w:tcPr>
          <w:p>
            <w:pPr>
              <w:ind w:left="140"/>
              <w:spacing w:after="0" w:line="148" w:lineRule="exact"/>
              <w:rPr>
                <w:sz w:val="20"/>
                <w:szCs w:val="20"/>
                <w:color w:val="auto"/>
              </w:rPr>
            </w:pPr>
            <w:r>
              <w:rPr>
                <w:rFonts w:ascii="Arial" w:cs="Arial" w:eastAsia="Arial" w:hAnsi="Arial"/>
                <w:sz w:val="13"/>
                <w:szCs w:val="13"/>
                <w:color w:val="auto"/>
                <w:shd w:val="clear" w:color="auto" w:fill="CCEEFF"/>
              </w:rPr>
              <w:t>Total</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158,261</w:t>
            </w:r>
          </w:p>
        </w:tc>
        <w:tc>
          <w:tcPr>
            <w:tcW w:w="3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175,126</w:t>
            </w:r>
          </w:p>
        </w:tc>
        <w:tc>
          <w:tcPr>
            <w:tcW w:w="1580" w:type="dxa"/>
            <w:vAlign w:val="bottom"/>
          </w:tcPr>
          <w:p>
            <w:pPr>
              <w:spacing w:after="0"/>
              <w:rPr>
                <w:sz w:val="13"/>
                <w:szCs w:val="13"/>
                <w:color w:val="auto"/>
              </w:rPr>
            </w:pPr>
          </w:p>
        </w:tc>
      </w:tr>
      <w:tr>
        <w:trPr>
          <w:trHeight w:val="434"/>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NOTE 7.  OTHER CURRENT LIABILITIES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16"/>
        </w:trPr>
        <w:tc>
          <w:tcPr>
            <w:tcW w:w="4460" w:type="dxa"/>
            <w:vAlign w:val="bottom"/>
            <w:gridSpan w:val="2"/>
          </w:tcPr>
          <w:p>
            <w:pPr>
              <w:ind w:left="260"/>
              <w:spacing w:after="0"/>
              <w:rPr>
                <w:sz w:val="20"/>
                <w:szCs w:val="20"/>
                <w:color w:val="auto"/>
              </w:rPr>
            </w:pPr>
            <w:r>
              <w:rPr>
                <w:rFonts w:ascii="Arial" w:cs="Arial" w:eastAsia="Arial" w:hAnsi="Arial"/>
                <w:sz w:val="13"/>
                <w:szCs w:val="13"/>
                <w:color w:val="auto"/>
              </w:rPr>
              <w:t>Other current liabilities consist of the following amounts: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46"/>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44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0"/>
                <w:szCs w:val="10"/>
                <w:color w:val="auto"/>
              </w:rPr>
            </w:pPr>
          </w:p>
        </w:tc>
        <w:tc>
          <w:tcPr>
            <w:tcW w:w="460" w:type="dxa"/>
            <w:vAlign w:val="bottom"/>
          </w:tcPr>
          <w:p>
            <w:pPr>
              <w:jc w:val="right"/>
              <w:ind w:right="117"/>
              <w:spacing w:after="0" w:line="119" w:lineRule="exact"/>
              <w:rPr>
                <w:sz w:val="20"/>
                <w:szCs w:val="20"/>
                <w:color w:val="auto"/>
              </w:rPr>
            </w:pPr>
            <w:r>
              <w:rPr>
                <w:rFonts w:ascii="Arial" w:cs="Arial" w:eastAsia="Arial" w:hAnsi="Arial"/>
                <w:sz w:val="11"/>
                <w:szCs w:val="11"/>
                <w:b w:val="1"/>
                <w:bCs w:val="1"/>
                <w:color w:val="auto"/>
              </w:rPr>
              <w:t>2006</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116"/>
              <w:spacing w:after="0" w:line="119" w:lineRule="exact"/>
              <w:rPr>
                <w:sz w:val="20"/>
                <w:szCs w:val="20"/>
                <w:color w:val="auto"/>
              </w:rPr>
            </w:pPr>
            <w:r>
              <w:rPr>
                <w:rFonts w:ascii="Arial" w:cs="Arial" w:eastAsia="Arial" w:hAnsi="Arial"/>
                <w:sz w:val="11"/>
                <w:szCs w:val="11"/>
                <w:b w:val="1"/>
                <w:bCs w:val="1"/>
                <w:color w:val="auto"/>
                <w:w w:val="97"/>
              </w:rPr>
              <w:t>2005</w:t>
            </w:r>
          </w:p>
        </w:tc>
        <w:tc>
          <w:tcPr>
            <w:tcW w:w="1580" w:type="dxa"/>
            <w:vAlign w:val="bottom"/>
          </w:tcPr>
          <w:p>
            <w:pPr>
              <w:spacing w:after="0"/>
              <w:rPr>
                <w:sz w:val="10"/>
                <w:szCs w:val="10"/>
                <w:color w:val="auto"/>
              </w:rPr>
            </w:pPr>
          </w:p>
        </w:tc>
      </w:tr>
      <w:tr>
        <w:trPr>
          <w:trHeight w:val="158"/>
        </w:trPr>
        <w:tc>
          <w:tcPr>
            <w:tcW w:w="4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Commissions and professional fees payable</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8,567</w:t>
            </w: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11,624</w:t>
            </w:r>
          </w:p>
        </w:tc>
        <w:tc>
          <w:tcPr>
            <w:tcW w:w="1580" w:type="dxa"/>
            <w:vAlign w:val="bottom"/>
          </w:tcPr>
          <w:p>
            <w:pPr>
              <w:spacing w:after="0"/>
              <w:rPr>
                <w:sz w:val="13"/>
                <w:szCs w:val="13"/>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Rebates and incentives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11,989</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11,022</w:t>
            </w:r>
          </w:p>
        </w:tc>
        <w:tc>
          <w:tcPr>
            <w:tcW w:w="1580" w:type="dxa"/>
            <w:vAlign w:val="bottom"/>
          </w:tcPr>
          <w:p>
            <w:pPr>
              <w:spacing w:after="0"/>
              <w:rPr>
                <w:sz w:val="14"/>
                <w:szCs w:val="14"/>
                <w:color w:val="auto"/>
              </w:rPr>
            </w:pPr>
          </w:p>
        </w:tc>
      </w:tr>
      <w:tr>
        <w:trPr>
          <w:trHeight w:val="171"/>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Current pension and other retiree accruals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12,576</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18,739</w:t>
            </w:r>
          </w:p>
        </w:tc>
        <w:tc>
          <w:tcPr>
            <w:tcW w:w="1580" w:type="dxa"/>
            <w:vAlign w:val="bottom"/>
          </w:tcPr>
          <w:p>
            <w:pPr>
              <w:spacing w:after="0"/>
              <w:rPr>
                <w:sz w:val="14"/>
                <w:szCs w:val="14"/>
                <w:color w:val="auto"/>
              </w:rPr>
            </w:pPr>
          </w:p>
        </w:tc>
      </w:tr>
      <w:tr>
        <w:trPr>
          <w:trHeight w:val="167"/>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Litigation settlement insurance accruals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18,500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42,285</w:t>
            </w:r>
          </w:p>
        </w:tc>
        <w:tc>
          <w:tcPr>
            <w:tcW w:w="1580" w:type="dxa"/>
            <w:vAlign w:val="bottom"/>
          </w:tcPr>
          <w:p>
            <w:pPr>
              <w:spacing w:after="0"/>
              <w:rPr>
                <w:sz w:val="14"/>
                <w:szCs w:val="14"/>
                <w:color w:val="auto"/>
              </w:rPr>
            </w:pPr>
          </w:p>
        </w:tc>
      </w:tr>
      <w:tr>
        <w:trPr>
          <w:trHeight w:val="169"/>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Workers compensation</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8,175</w:t>
            </w:r>
          </w:p>
        </w:tc>
        <w:tc>
          <w:tcPr>
            <w:tcW w:w="1580" w:type="dxa"/>
            <w:vAlign w:val="bottom"/>
          </w:tcPr>
          <w:p>
            <w:pPr>
              <w:spacing w:after="0"/>
              <w:rPr>
                <w:sz w:val="14"/>
                <w:szCs w:val="14"/>
                <w:color w:val="auto"/>
              </w:rPr>
            </w:pPr>
          </w:p>
        </w:tc>
      </w:tr>
      <w:tr>
        <w:trPr>
          <w:trHeight w:val="165"/>
        </w:trPr>
        <w:tc>
          <w:tcPr>
            <w:tcW w:w="4460" w:type="dxa"/>
            <w:vAlign w:val="bottom"/>
            <w:gridSpan w:val="2"/>
          </w:tcPr>
          <w:p>
            <w:pPr>
              <w:spacing w:after="0"/>
              <w:rPr>
                <w:sz w:val="20"/>
                <w:szCs w:val="20"/>
                <w:color w:val="auto"/>
              </w:rPr>
            </w:pPr>
            <w:r>
              <w:rPr>
                <w:rFonts w:ascii="Arial" w:cs="Arial" w:eastAsia="Arial" w:hAnsi="Arial"/>
                <w:sz w:val="13"/>
                <w:szCs w:val="13"/>
                <w:color w:val="auto"/>
                <w:highlight w:val="white"/>
              </w:rPr>
              <w:t>Interest payable</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11,069</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7,716</w:t>
            </w:r>
          </w:p>
        </w:tc>
        <w:tc>
          <w:tcPr>
            <w:tcW w:w="1580" w:type="dxa"/>
            <w:vAlign w:val="bottom"/>
          </w:tcPr>
          <w:p>
            <w:pPr>
              <w:spacing w:after="0"/>
              <w:rPr>
                <w:sz w:val="14"/>
                <w:szCs w:val="14"/>
                <w:color w:val="auto"/>
              </w:rPr>
            </w:pPr>
          </w:p>
        </w:tc>
      </w:tr>
      <w:tr>
        <w:trPr>
          <w:trHeight w:val="15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Other</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95,163</w:t>
            </w:r>
          </w:p>
        </w:tc>
        <w:tc>
          <w:tcPr>
            <w:tcW w:w="3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73,518</w:t>
            </w:r>
          </w:p>
        </w:tc>
        <w:tc>
          <w:tcPr>
            <w:tcW w:w="1580" w:type="dxa"/>
            <w:vAlign w:val="bottom"/>
          </w:tcPr>
          <w:p>
            <w:pPr>
              <w:spacing w:after="0"/>
              <w:rPr>
                <w:sz w:val="13"/>
                <w:szCs w:val="13"/>
                <w:color w:val="auto"/>
              </w:rPr>
            </w:pPr>
          </w:p>
        </w:tc>
      </w:tr>
      <w:tr>
        <w:trPr>
          <w:trHeight w:val="163"/>
        </w:trPr>
        <w:tc>
          <w:tcPr>
            <w:tcW w:w="4460" w:type="dxa"/>
            <w:vAlign w:val="bottom"/>
            <w:gridSpan w:val="2"/>
          </w:tcPr>
          <w:p>
            <w:pPr>
              <w:ind w:left="140"/>
              <w:spacing w:after="0"/>
              <w:rPr>
                <w:sz w:val="20"/>
                <w:szCs w:val="20"/>
                <w:color w:val="auto"/>
              </w:rPr>
            </w:pPr>
            <w:r>
              <w:rPr>
                <w:rFonts w:ascii="Arial" w:cs="Arial" w:eastAsia="Arial" w:hAnsi="Arial"/>
                <w:sz w:val="13"/>
                <w:szCs w:val="13"/>
                <w:color w:val="auto"/>
                <w:highlight w:val="white"/>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167,934</w:t>
            </w:r>
          </w:p>
        </w:tc>
        <w:tc>
          <w:tcPr>
            <w:tcW w:w="3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173,079</w:t>
            </w:r>
          </w:p>
        </w:tc>
        <w:tc>
          <w:tcPr>
            <w:tcW w:w="1580" w:type="dxa"/>
            <w:vAlign w:val="bottom"/>
          </w:tcPr>
          <w:p>
            <w:pPr>
              <w:spacing w:after="0"/>
              <w:rPr>
                <w:sz w:val="14"/>
                <w:szCs w:val="14"/>
                <w:color w:val="auto"/>
              </w:rPr>
            </w:pPr>
          </w:p>
        </w:tc>
      </w:tr>
      <w:tr>
        <w:trPr>
          <w:trHeight w:val="404"/>
        </w:trPr>
        <w:tc>
          <w:tcPr>
            <w:tcW w:w="4220" w:type="dxa"/>
            <w:vAlign w:val="bottom"/>
          </w:tcPr>
          <w:p>
            <w:pPr>
              <w:ind w:left="2940"/>
              <w:spacing w:after="0"/>
              <w:rPr>
                <w:sz w:val="20"/>
                <w:szCs w:val="20"/>
                <w:color w:val="auto"/>
              </w:rPr>
            </w:pPr>
            <w:r>
              <w:rPr>
                <w:rFonts w:ascii="Arial" w:cs="Arial" w:eastAsia="Arial" w:hAnsi="Arial"/>
                <w:sz w:val="13"/>
                <w:szCs w:val="13"/>
                <w:color w:val="auto"/>
              </w:rPr>
              <w:t>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87"/>
        </w:trPr>
        <w:tc>
          <w:tcPr>
            <w:tcW w:w="4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-2919095</wp:posOffset>
            </wp:positionV>
            <wp:extent cx="4809490" cy="30892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809490" cy="3089275"/>
                    </a:xfrm>
                    <a:prstGeom prst="rect">
                      <a:avLst/>
                    </a:prstGeom>
                    <a:noFill/>
                  </pic:spPr>
                </pic:pic>
              </a:graphicData>
            </a:graphic>
          </wp:anchor>
        </w:drawing>
      </w:r>
    </w:p>
    <w:p>
      <w:pPr>
        <w:spacing w:after="0" w:line="392"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NOTE 8.</w:t>
        <w:tab/>
        <w:t>SALE AND LEASEBACK TRANSACTIONS</w:t>
      </w:r>
    </w:p>
    <w:p>
      <w:pPr>
        <w:spacing w:after="0" w:line="171" w:lineRule="exact"/>
        <w:rPr>
          <w:sz w:val="20"/>
          <w:szCs w:val="20"/>
          <w:color w:val="auto"/>
        </w:rPr>
      </w:pPr>
    </w:p>
    <w:p>
      <w:pPr>
        <w:ind w:right="4239" w:firstLine="263"/>
        <w:spacing w:after="0" w:line="258" w:lineRule="auto"/>
        <w:rPr>
          <w:sz w:val="20"/>
          <w:szCs w:val="20"/>
          <w:color w:val="auto"/>
        </w:rPr>
      </w:pPr>
      <w:r>
        <w:rPr>
          <w:rFonts w:ascii="Arial" w:cs="Arial" w:eastAsia="Arial" w:hAnsi="Arial"/>
          <w:sz w:val="13"/>
          <w:szCs w:val="13"/>
          <w:color w:val="auto"/>
        </w:rPr>
        <w:t>In connection with the disposition of certain real estate in years prior to 2004, the Company entered into long-term operating leases covering the facilities disposed of. The leases are classified as operating leases in accordance with FAS 13, ‘‘Accounting for Leases’’, and the gains realized have been deferred and are being credited to income over the initial lease term. Such deferred gains totaled $68 million and $71 million at December 31, 2006 and 2005, respectively, of which $65 million and $68 million, respectively, are reflected in the accompanying balance sheet under the caption Deferred gains, with the remainder included as a component of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779520"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27"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2"/>
          <w:szCs w:val="12"/>
          <w:b w:val="1"/>
          <w:bCs w:val="1"/>
          <w:color w:val="auto"/>
        </w:rPr>
        <w:t>BORROWINGS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Debt consists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92220"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792220"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4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140" w:type="dxa"/>
            <w:vAlign w:val="bottom"/>
          </w:tcPr>
          <w:p>
            <w:pPr>
              <w:spacing w:after="0"/>
              <w:rPr>
                <w:sz w:val="11"/>
                <w:szCs w:val="11"/>
                <w:color w:val="auto"/>
              </w:rPr>
            </w:pPr>
          </w:p>
        </w:tc>
        <w:tc>
          <w:tcPr>
            <w:tcW w:w="460" w:type="dxa"/>
            <w:vAlign w:val="bottom"/>
            <w:gridSpan w:val="2"/>
          </w:tcPr>
          <w:p>
            <w:pPr>
              <w:ind w:left="40"/>
              <w:spacing w:after="0"/>
              <w:rPr>
                <w:sz w:val="20"/>
                <w:szCs w:val="20"/>
                <w:color w:val="auto"/>
              </w:rPr>
            </w:pPr>
            <w:r>
              <w:rPr>
                <w:rFonts w:ascii="Arial" w:cs="Arial" w:eastAsia="Arial" w:hAnsi="Arial"/>
                <w:sz w:val="11"/>
                <w:szCs w:val="11"/>
                <w:b w:val="1"/>
                <w:bCs w:val="1"/>
                <w:color w:val="auto"/>
              </w:rPr>
              <w:t>Rate</w:t>
            </w:r>
          </w:p>
        </w:tc>
        <w:tc>
          <w:tcPr>
            <w:tcW w:w="80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w w:val="88"/>
              </w:rPr>
              <w:t>Maturities</w:t>
            </w:r>
          </w:p>
        </w:tc>
        <w:tc>
          <w:tcPr>
            <w:tcW w:w="460" w:type="dxa"/>
            <w:vAlign w:val="bottom"/>
          </w:tcPr>
          <w:p>
            <w:pPr>
              <w:jc w:val="right"/>
              <w:ind w:right="115"/>
              <w:spacing w:after="0"/>
              <w:rPr>
                <w:sz w:val="20"/>
                <w:szCs w:val="20"/>
                <w:color w:val="auto"/>
              </w:rPr>
            </w:pPr>
            <w:r>
              <w:rPr>
                <w:rFonts w:ascii="Arial" w:cs="Arial" w:eastAsia="Arial" w:hAnsi="Arial"/>
                <w:sz w:val="11"/>
                <w:szCs w:val="11"/>
                <w:b w:val="1"/>
                <w:bCs w:val="1"/>
                <w:color w:val="auto"/>
              </w:rPr>
              <w:t>2006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5"/>
              <w:spacing w:after="0"/>
              <w:rPr>
                <w:sz w:val="20"/>
                <w:szCs w:val="20"/>
                <w:color w:val="auto"/>
              </w:rPr>
            </w:pPr>
            <w:r>
              <w:rPr>
                <w:rFonts w:ascii="Arial" w:cs="Arial" w:eastAsia="Arial" w:hAnsi="Arial"/>
                <w:sz w:val="11"/>
                <w:szCs w:val="11"/>
                <w:b w:val="1"/>
                <w:bCs w:val="1"/>
                <w:color w:val="auto"/>
              </w:rPr>
              <w:t>2005</w:t>
            </w:r>
          </w:p>
        </w:tc>
        <w:tc>
          <w:tcPr>
            <w:tcW w:w="20" w:type="dxa"/>
            <w:vAlign w:val="bottom"/>
          </w:tcPr>
          <w:p>
            <w:pPr>
              <w:spacing w:after="0"/>
              <w:rPr>
                <w:sz w:val="11"/>
                <w:szCs w:val="11"/>
                <w:color w:val="auto"/>
              </w:rPr>
            </w:pPr>
          </w:p>
        </w:tc>
      </w:tr>
      <w:tr>
        <w:trPr>
          <w:trHeight w:val="158"/>
        </w:trPr>
        <w:tc>
          <w:tcPr>
            <w:tcW w:w="33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Bank borrowings and overdrafts</w:t>
            </w:r>
          </w:p>
        </w:tc>
        <w:tc>
          <w:tcPr>
            <w:tcW w:w="1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15,897</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314,622</w:t>
            </w:r>
          </w:p>
        </w:tc>
        <w:tc>
          <w:tcPr>
            <w:tcW w:w="20" w:type="dxa"/>
            <w:vAlign w:val="bottom"/>
          </w:tcPr>
          <w:p>
            <w:pPr>
              <w:spacing w:after="0"/>
              <w:rPr>
                <w:sz w:val="13"/>
                <w:szCs w:val="13"/>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3"/>
                <w:szCs w:val="13"/>
                <w:color w:val="auto"/>
                <w:highlight w:val="white"/>
              </w:rPr>
              <w:t>Current portion of long-term debt</w:t>
            </w:r>
          </w:p>
        </w:tc>
        <w:tc>
          <w:tcPr>
            <w:tcW w:w="600" w:type="dxa"/>
            <w:vAlign w:val="bottom"/>
            <w:gridSpan w:val="3"/>
          </w:tcPr>
          <w:p>
            <w:pPr>
              <w:ind w:left="180"/>
              <w:spacing w:after="0"/>
              <w:rPr>
                <w:sz w:val="20"/>
                <w:szCs w:val="20"/>
                <w:color w:val="auto"/>
              </w:rPr>
            </w:pPr>
            <w:r>
              <w:rPr>
                <w:rFonts w:ascii="Arial" w:cs="Arial" w:eastAsia="Arial" w:hAnsi="Arial"/>
                <w:sz w:val="13"/>
                <w:szCs w:val="13"/>
                <w:color w:val="auto"/>
              </w:rPr>
              <w:t>6.45%</w:t>
            </w:r>
          </w:p>
        </w:tc>
        <w:tc>
          <w:tcPr>
            <w:tcW w:w="480" w:type="dxa"/>
            <w:vAlign w:val="bottom"/>
          </w:tcPr>
          <w:p>
            <w:pPr>
              <w:jc w:val="right"/>
              <w:spacing w:after="0"/>
              <w:rPr>
                <w:sz w:val="20"/>
                <w:szCs w:val="20"/>
                <w:color w:val="auto"/>
              </w:rPr>
            </w:pPr>
            <w:r>
              <w:rPr>
                <w:rFonts w:ascii="Arial" w:cs="Arial" w:eastAsia="Arial" w:hAnsi="Arial"/>
                <w:sz w:val="13"/>
                <w:szCs w:val="13"/>
                <w:color w:val="auto"/>
              </w:rPr>
              <w:t>2006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499,208</w:t>
            </w:r>
          </w:p>
        </w:tc>
        <w:tc>
          <w:tcPr>
            <w:tcW w:w="20" w:type="dxa"/>
            <w:vAlign w:val="bottom"/>
          </w:tcPr>
          <w:p>
            <w:pPr>
              <w:spacing w:after="0"/>
              <w:rPr>
                <w:sz w:val="14"/>
                <w:szCs w:val="14"/>
                <w:color w:val="auto"/>
              </w:rPr>
            </w:pPr>
          </w:p>
        </w:tc>
      </w:tr>
      <w:tr>
        <w:trPr>
          <w:trHeight w:val="169"/>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Current portion of deferred realized gains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3340" w:type="dxa"/>
            <w:vAlign w:val="bottom"/>
          </w:tcPr>
          <w:p>
            <w:pPr>
              <w:ind w:left="140"/>
              <w:spacing w:after="0"/>
              <w:rPr>
                <w:sz w:val="20"/>
                <w:szCs w:val="20"/>
                <w:color w:val="auto"/>
              </w:rPr>
            </w:pPr>
            <w:r>
              <w:rPr>
                <w:rFonts w:ascii="Arial" w:cs="Arial" w:eastAsia="Arial" w:hAnsi="Arial"/>
                <w:sz w:val="13"/>
                <w:szCs w:val="13"/>
                <w:color w:val="auto"/>
                <w:highlight w:val="white"/>
              </w:rPr>
              <w:t>on interest rate swaps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5,562</w:t>
            </w:r>
          </w:p>
        </w:tc>
        <w:tc>
          <w:tcPr>
            <w:tcW w:w="20" w:type="dxa"/>
            <w:vAlign w:val="bottom"/>
          </w:tcPr>
          <w:p>
            <w:pPr>
              <w:spacing w:after="0"/>
              <w:rPr>
                <w:sz w:val="13"/>
                <w:szCs w:val="13"/>
                <w:color w:val="auto"/>
              </w:rPr>
            </w:pPr>
          </w:p>
        </w:tc>
      </w:tr>
      <w:tr>
        <w:trPr>
          <w:trHeight w:val="143"/>
        </w:trPr>
        <w:tc>
          <w:tcPr>
            <w:tcW w:w="3340" w:type="dxa"/>
            <w:vAlign w:val="bottom"/>
            <w:tcBorders>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3"/>
                <w:szCs w:val="13"/>
                <w:color w:val="auto"/>
                <w:shd w:val="clear" w:color="auto" w:fill="CCEEFF"/>
              </w:rPr>
              <w:t>Total current debt</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15,897</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819,392</w:t>
            </w:r>
          </w:p>
        </w:tc>
        <w:tc>
          <w:tcPr>
            <w:tcW w:w="20" w:type="dxa"/>
            <w:vAlign w:val="bottom"/>
          </w:tcPr>
          <w:p>
            <w:pPr>
              <w:spacing w:after="0"/>
              <w:rPr>
                <w:sz w:val="12"/>
                <w:szCs w:val="12"/>
                <w:color w:val="auto"/>
              </w:rPr>
            </w:pPr>
          </w:p>
        </w:tc>
      </w:tr>
      <w:tr>
        <w:trPr>
          <w:trHeight w:val="144"/>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3340" w:type="dxa"/>
            <w:vAlign w:val="bottom"/>
          </w:tcPr>
          <w:p>
            <w:pPr>
              <w:spacing w:after="0"/>
              <w:rPr>
                <w:sz w:val="20"/>
                <w:szCs w:val="20"/>
                <w:color w:val="auto"/>
              </w:rPr>
            </w:pPr>
            <w:r>
              <w:rPr>
                <w:rFonts w:ascii="Arial" w:cs="Arial" w:eastAsia="Arial" w:hAnsi="Arial"/>
                <w:sz w:val="13"/>
                <w:szCs w:val="13"/>
                <w:color w:val="auto"/>
                <w:highlight w:val="white"/>
              </w:rPr>
              <w:t>Senior Notes</w:t>
            </w:r>
          </w:p>
        </w:tc>
        <w:tc>
          <w:tcPr>
            <w:tcW w:w="600" w:type="dxa"/>
            <w:vAlign w:val="bottom"/>
            <w:gridSpan w:val="3"/>
          </w:tcPr>
          <w:p>
            <w:pPr>
              <w:ind w:left="180"/>
              <w:spacing w:after="0"/>
              <w:rPr>
                <w:sz w:val="20"/>
                <w:szCs w:val="20"/>
                <w:color w:val="auto"/>
              </w:rPr>
            </w:pPr>
            <w:r>
              <w:rPr>
                <w:rFonts w:ascii="Arial" w:cs="Arial" w:eastAsia="Arial" w:hAnsi="Arial"/>
                <w:sz w:val="13"/>
                <w:szCs w:val="13"/>
                <w:color w:val="auto"/>
              </w:rPr>
              <w:t>5.94%</w:t>
            </w:r>
          </w:p>
        </w:tc>
        <w:tc>
          <w:tcPr>
            <w:tcW w:w="48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375,000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80"/>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Bank borrowings</w:t>
            </w:r>
          </w:p>
        </w:tc>
        <w:tc>
          <w:tcPr>
            <w:tcW w:w="6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3.87%</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shd w:val="clear" w:color="auto" w:fill="CCEEFF"/>
              </w:rPr>
              <w:t>Various</w:t>
            </w:r>
          </w:p>
        </w:tc>
        <w:tc>
          <w:tcPr>
            <w:tcW w:w="320" w:type="dxa"/>
            <w:vAlign w:val="bottom"/>
            <w:gridSpan w:val="3"/>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287,904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65"/>
        </w:trPr>
        <w:tc>
          <w:tcPr>
            <w:tcW w:w="3340" w:type="dxa"/>
            <w:vAlign w:val="bottom"/>
          </w:tcPr>
          <w:p>
            <w:pPr>
              <w:spacing w:after="0"/>
              <w:rPr>
                <w:sz w:val="20"/>
                <w:szCs w:val="20"/>
                <w:color w:val="auto"/>
              </w:rPr>
            </w:pPr>
            <w:r>
              <w:rPr>
                <w:rFonts w:ascii="Arial" w:cs="Arial" w:eastAsia="Arial" w:hAnsi="Arial"/>
                <w:sz w:val="13"/>
                <w:szCs w:val="13"/>
                <w:color w:val="auto"/>
                <w:highlight w:val="white"/>
              </w:rPr>
              <w:t>Japanese Yen notes</w:t>
            </w:r>
          </w:p>
        </w:tc>
        <w:tc>
          <w:tcPr>
            <w:tcW w:w="600" w:type="dxa"/>
            <w:vAlign w:val="bottom"/>
            <w:gridSpan w:val="3"/>
          </w:tcPr>
          <w:p>
            <w:pPr>
              <w:ind w:left="180"/>
              <w:spacing w:after="0"/>
              <w:rPr>
                <w:sz w:val="20"/>
                <w:szCs w:val="20"/>
                <w:color w:val="auto"/>
              </w:rPr>
            </w:pPr>
            <w:r>
              <w:rPr>
                <w:rFonts w:ascii="Arial" w:cs="Arial" w:eastAsia="Arial" w:hAnsi="Arial"/>
                <w:sz w:val="13"/>
                <w:szCs w:val="13"/>
                <w:color w:val="auto"/>
              </w:rPr>
              <w:t>2.45%</w:t>
            </w:r>
          </w:p>
        </w:tc>
        <w:tc>
          <w:tcPr>
            <w:tcW w:w="480" w:type="dxa"/>
            <w:vAlign w:val="bottom"/>
          </w:tcPr>
          <w:p>
            <w:pPr>
              <w:jc w:val="right"/>
              <w:spacing w:after="0"/>
              <w:rPr>
                <w:sz w:val="20"/>
                <w:szCs w:val="20"/>
                <w:color w:val="auto"/>
              </w:rPr>
            </w:pPr>
            <w:r>
              <w:rPr>
                <w:rFonts w:ascii="Arial" w:cs="Arial" w:eastAsia="Arial" w:hAnsi="Arial"/>
                <w:sz w:val="13"/>
                <w:szCs w:val="13"/>
                <w:color w:val="auto"/>
                <w:w w:val="92"/>
              </w:rPr>
              <w:t>2008-11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127,684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128,945</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4"/>
                <w:szCs w:val="14"/>
                <w:color w:val="auto"/>
              </w:rPr>
            </w:pPr>
          </w:p>
        </w:tc>
      </w:tr>
      <w:tr>
        <w:trPr>
          <w:trHeight w:val="158"/>
        </w:trPr>
        <w:tc>
          <w:tcPr>
            <w:tcW w:w="3340" w:type="dxa"/>
            <w:vAlign w:val="bottom"/>
          </w:tcPr>
          <w:p>
            <w:pPr>
              <w:spacing w:after="0"/>
              <w:rPr>
                <w:sz w:val="20"/>
                <w:szCs w:val="20"/>
                <w:color w:val="auto"/>
              </w:rPr>
            </w:pPr>
            <w:r>
              <w:rPr>
                <w:rFonts w:ascii="Arial" w:cs="Arial" w:eastAsia="Arial" w:hAnsi="Arial"/>
                <w:sz w:val="13"/>
                <w:szCs w:val="13"/>
                <w:color w:val="auto"/>
                <w:highlight w:val="white"/>
              </w:rPr>
              <w:t>Deferred realized gains on interest rate swaps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2,296</w:t>
            </w:r>
          </w:p>
        </w:tc>
        <w:tc>
          <w:tcPr>
            <w:tcW w:w="20" w:type="dxa"/>
            <w:vAlign w:val="bottom"/>
          </w:tcPr>
          <w:p>
            <w:pPr>
              <w:spacing w:after="0"/>
              <w:rPr>
                <w:sz w:val="13"/>
                <w:szCs w:val="13"/>
                <w:color w:val="auto"/>
              </w:rPr>
            </w:pPr>
          </w:p>
        </w:tc>
      </w:tr>
      <w:tr>
        <w:trPr>
          <w:trHeight w:val="143"/>
        </w:trPr>
        <w:tc>
          <w:tcPr>
            <w:tcW w:w="3340" w:type="dxa"/>
            <w:vAlign w:val="bottom"/>
            <w:tcBorders>
              <w:bottom w:val="single" w:sz="8" w:color="CCEEFF"/>
            </w:tcBorders>
            <w:shd w:val="clear" w:color="auto" w:fill="CCEEFF"/>
          </w:tcPr>
          <w:p>
            <w:pPr>
              <w:ind w:left="140"/>
              <w:spacing w:after="0" w:line="143" w:lineRule="exact"/>
              <w:rPr>
                <w:sz w:val="20"/>
                <w:szCs w:val="20"/>
                <w:color w:val="auto"/>
              </w:rPr>
            </w:pPr>
            <w:r>
              <w:rPr>
                <w:rFonts w:ascii="Arial" w:cs="Arial" w:eastAsia="Arial" w:hAnsi="Arial"/>
                <w:sz w:val="13"/>
                <w:szCs w:val="13"/>
                <w:color w:val="auto"/>
                <w:shd w:val="clear" w:color="auto" w:fill="CCEEFF"/>
              </w:rPr>
              <w:t>Total long-term debt</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791,443</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3"/>
              </w:rPr>
              <w:t>131,281</w:t>
            </w:r>
          </w:p>
        </w:tc>
        <w:tc>
          <w:tcPr>
            <w:tcW w:w="20" w:type="dxa"/>
            <w:vAlign w:val="bottom"/>
          </w:tcPr>
          <w:p>
            <w:pPr>
              <w:spacing w:after="0"/>
              <w:rPr>
                <w:sz w:val="12"/>
                <w:szCs w:val="12"/>
                <w:color w:val="auto"/>
              </w:rPr>
            </w:pPr>
          </w:p>
        </w:tc>
      </w:tr>
      <w:tr>
        <w:trPr>
          <w:trHeight w:val="153"/>
        </w:trPr>
        <w:tc>
          <w:tcPr>
            <w:tcW w:w="3340" w:type="dxa"/>
            <w:vAlign w:val="bottom"/>
          </w:tcPr>
          <w:p>
            <w:pPr>
              <w:ind w:left="140"/>
              <w:spacing w:after="0"/>
              <w:rPr>
                <w:sz w:val="20"/>
                <w:szCs w:val="20"/>
                <w:color w:val="auto"/>
              </w:rPr>
            </w:pPr>
            <w:r>
              <w:rPr>
                <w:rFonts w:ascii="Arial" w:cs="Arial" w:eastAsia="Arial" w:hAnsi="Arial"/>
                <w:sz w:val="13"/>
                <w:szCs w:val="13"/>
                <w:color w:val="auto"/>
                <w:highlight w:val="white"/>
              </w:rPr>
              <w:t>Total debt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807,340</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950,673</w:t>
            </w:r>
          </w:p>
        </w:tc>
        <w:tc>
          <w:tcPr>
            <w:tcW w:w="20" w:type="dxa"/>
            <w:vAlign w:val="bottom"/>
          </w:tcPr>
          <w:p>
            <w:pPr>
              <w:spacing w:after="0"/>
              <w:rPr>
                <w:sz w:val="13"/>
                <w:szCs w:val="13"/>
                <w:color w:val="auto"/>
              </w:rPr>
            </w:pPr>
          </w:p>
        </w:tc>
      </w:tr>
      <w:tr>
        <w:trPr>
          <w:trHeight w:val="30"/>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-1443355</wp:posOffset>
            </wp:positionV>
            <wp:extent cx="3798570" cy="15068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798570" cy="1506855"/>
                    </a:xfrm>
                    <a:prstGeom prst="rect">
                      <a:avLst/>
                    </a:prstGeom>
                    <a:noFill/>
                  </pic:spPr>
                </pic:pic>
              </a:graphicData>
            </a:graphic>
          </wp:anchor>
        </w:drawing>
      </w:r>
    </w:p>
    <w:p>
      <w:pPr>
        <w:spacing w:after="0" w:line="159" w:lineRule="exact"/>
        <w:rPr>
          <w:sz w:val="20"/>
          <w:szCs w:val="20"/>
          <w:color w:val="auto"/>
        </w:rPr>
      </w:pPr>
    </w:p>
    <w:p>
      <w:pPr>
        <w:ind w:right="4499" w:firstLine="263"/>
        <w:spacing w:after="0" w:line="279" w:lineRule="auto"/>
        <w:rPr>
          <w:sz w:val="20"/>
          <w:szCs w:val="20"/>
          <w:color w:val="auto"/>
        </w:rPr>
      </w:pPr>
      <w:r>
        <w:rPr>
          <w:rFonts w:ascii="Arial" w:cs="Arial" w:eastAsia="Arial" w:hAnsi="Arial"/>
          <w:sz w:val="13"/>
          <w:szCs w:val="13"/>
          <w:color w:val="auto"/>
        </w:rPr>
        <w:t>Commercial paper generally has terms of 30 days or less; there was no outstanding commercial paper at December 31, 2006 or 2005.</w:t>
      </w:r>
    </w:p>
    <w:p>
      <w:pPr>
        <w:spacing w:after="0" w:line="48" w:lineRule="exact"/>
        <w:rPr>
          <w:sz w:val="20"/>
          <w:szCs w:val="20"/>
          <w:color w:val="auto"/>
        </w:rPr>
      </w:pPr>
    </w:p>
    <w:p>
      <w:pPr>
        <w:ind w:right="4239" w:firstLine="263"/>
        <w:spacing w:after="0" w:line="278" w:lineRule="auto"/>
        <w:rPr>
          <w:sz w:val="20"/>
          <w:szCs w:val="20"/>
          <w:color w:val="auto"/>
        </w:rPr>
      </w:pPr>
      <w:r>
        <w:rPr>
          <w:rFonts w:ascii="Arial" w:cs="Arial" w:eastAsia="Arial" w:hAnsi="Arial"/>
          <w:sz w:val="12"/>
          <w:szCs w:val="12"/>
          <w:color w:val="auto"/>
        </w:rPr>
        <w:t>In 2005, the Company and certain of its subsidiaries entered into a revolving credit agreement (the ‘‘Facility’’) with certain banks. The Facility provides a five-year US $350 million (‘‘Tranche A’’) and a Euro 400 million (‘‘Tranche B’’) multi-currency revolving credit facility. Tranche A is available for commercial paper backstop and general corporate purposes; Tranche B is available to European subsidiaries for general corporate purposes. Borrowings bear interest at an annual rate of LIBOR (London Inter Bank Offer Rate) (or in relation to any Euro-denominated loans, EURIBOR, European Inter Bank Offer Rate) plus a margin, currently 20 basis points, linked to the credit rating of the Company. The Company pays a commitment fee on the aggregate unused commitments and a utilization fee on amounts outstanding under the Facility; such fees are not material. As permitted by the Facility, in 2006, the termination dates were extended by one year until November 23, 2011. The Company may request a second extension for one additional year. The Facility contains various affirmative and negative covenants, including requiring the Company to maintain, at the end of each fiscal quarter, a ratio of net debt for borrowed money to EBITDA (Earnings Before Interest, Taxes, Depreciation and Amortization) in respect of the previous 12-month period of not more than 3.25 to 1. The Company has complied with this covenant at all times. The Company’s multi-year revolving credit facility enables it to classify the debt as long-term. At December 31, 2006 approximately $288 million of bank borrowings on the Euro revolver was classified as long-term debt as the Company expects it to remain outstanding for the next twelve months.</w:t>
      </w:r>
    </w:p>
    <w:p>
      <w:pPr>
        <w:spacing w:after="0" w:line="53" w:lineRule="exact"/>
        <w:rPr>
          <w:sz w:val="20"/>
          <w:szCs w:val="20"/>
          <w:color w:val="auto"/>
        </w:rPr>
      </w:pPr>
    </w:p>
    <w:p>
      <w:pPr>
        <w:ind w:right="4299" w:firstLine="263"/>
        <w:spacing w:after="0" w:line="287" w:lineRule="auto"/>
        <w:rPr>
          <w:sz w:val="20"/>
          <w:szCs w:val="20"/>
          <w:color w:val="auto"/>
        </w:rPr>
      </w:pPr>
      <w:r>
        <w:rPr>
          <w:rFonts w:ascii="Arial" w:cs="Arial" w:eastAsia="Arial" w:hAnsi="Arial"/>
          <w:sz w:val="12"/>
          <w:szCs w:val="12"/>
          <w:color w:val="auto"/>
        </w:rPr>
        <w:t>Short-term bank loans primarily in the form of overdrafts, in addition to the Facility, were outstanding in several countries and averaged $16 million in 2006, compared with $33 million in 2005. The highest levels were $31 million in 2006, $315 million in 2005, and $34 million in 2004, respectively. The 2006 weighted average interest rate of these bank loans, based on balances outstanding at the end of each month, was 3.9% and the average rate on loans outstanding at December 31, 2006 was 4.7%.</w:t>
      </w:r>
    </w:p>
    <w:p>
      <w:pPr>
        <w:sectPr>
          <w:pgSz w:w="11900" w:h="16838" w:orient="portrait"/>
          <w:cols w:equalWidth="0" w:num="1">
            <w:col w:w="10239"/>
          </w:cols>
          <w:pgMar w:left="220" w:top="132" w:right="1440" w:bottom="0" w:gutter="0" w:footer="0" w:header="0"/>
        </w:sectPr>
      </w:pPr>
    </w:p>
    <w:bookmarkStart w:id="27" w:name="page28"/>
    <w:bookmarkEnd w:id="27"/>
    <w:p>
      <w:pPr>
        <w:ind w:left="294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339"/>
        <w:spacing w:after="0" w:line="266" w:lineRule="auto"/>
        <w:rPr>
          <w:sz w:val="20"/>
          <w:szCs w:val="20"/>
          <w:color w:val="auto"/>
        </w:rPr>
      </w:pPr>
      <w:r>
        <w:rPr>
          <w:rFonts w:ascii="Arial" w:cs="Arial" w:eastAsia="Arial" w:hAnsi="Arial"/>
          <w:sz w:val="13"/>
          <w:szCs w:val="13"/>
          <w:color w:val="auto"/>
        </w:rPr>
        <w:t>These rates compare with 3.4% and 2.8%, respectively, in 2005 and 3.2% and 4.7%, respectively, in 2004. At December 31, 2006 and 2005, the Company and its subsidiaries had unused lines of credit totaling $701 million and $641 million, respectively, in addition to the Facility.</w:t>
      </w:r>
    </w:p>
    <w:p>
      <w:pPr>
        <w:spacing w:after="0" w:line="57" w:lineRule="exact"/>
        <w:rPr>
          <w:sz w:val="20"/>
          <w:szCs w:val="20"/>
          <w:color w:val="auto"/>
        </w:rPr>
      </w:pPr>
    </w:p>
    <w:p>
      <w:pPr>
        <w:ind w:right="4319" w:firstLine="263"/>
        <w:spacing w:after="0" w:line="259" w:lineRule="auto"/>
        <w:rPr>
          <w:sz w:val="20"/>
          <w:szCs w:val="20"/>
          <w:color w:val="auto"/>
        </w:rPr>
      </w:pPr>
      <w:r>
        <w:rPr>
          <w:rFonts w:ascii="Arial" w:cs="Arial" w:eastAsia="Arial" w:hAnsi="Arial"/>
          <w:sz w:val="13"/>
          <w:szCs w:val="13"/>
          <w:color w:val="auto"/>
        </w:rPr>
        <w:t>The 6.45% Notes included as current debt at December 31, 2005 matured on May 15, 2006. On July 12, 2006, the Company issued $375 million of Senior Unsecured Notes (‘‘Senior Notes’’): (i) $50 million in aggregate principal amount of 5.89% Series A Senior Notes due July 12, 2009, (ii) $100 million in aggregate principal amount of 5.96% Series B Notes due July 12, 2011, (iii) $100 million in aggregate principal amount of 6.05% Series C Notes due July 12, 2013 and (iv) $125 million in aggregate principal amount of 6.14% Series D Notes due July 12, 2016.</w:t>
      </w:r>
    </w:p>
    <w:p>
      <w:pPr>
        <w:spacing w:after="0" w:line="60" w:lineRule="exact"/>
        <w:rPr>
          <w:sz w:val="20"/>
          <w:szCs w:val="20"/>
          <w:color w:val="auto"/>
        </w:rPr>
      </w:pPr>
    </w:p>
    <w:p>
      <w:pPr>
        <w:jc w:val="both"/>
        <w:ind w:right="4259" w:firstLine="263"/>
        <w:spacing w:after="0" w:line="262" w:lineRule="auto"/>
        <w:rPr>
          <w:sz w:val="20"/>
          <w:szCs w:val="20"/>
          <w:color w:val="auto"/>
        </w:rPr>
      </w:pPr>
      <w:r>
        <w:rPr>
          <w:rFonts w:ascii="Arial" w:cs="Arial" w:eastAsia="Arial" w:hAnsi="Arial"/>
          <w:sz w:val="13"/>
          <w:szCs w:val="13"/>
          <w:color w:val="auto"/>
        </w:rPr>
        <w:t>Maturities on debt outstanding at December 31, 2006 are: 2007, $16 million; 2008, $112 million; 2009, $50 million, and 2010 and thereafter, $629 million. The estimated fair value of long-term debt at December 31, 2006 and 2005, based on interest rates currently available with similar terms and maturities, approximated the recorded value.</w:t>
      </w:r>
    </w:p>
    <w:p>
      <w:pPr>
        <w:spacing w:after="0" w:line="59" w:lineRule="exact"/>
        <w:rPr>
          <w:sz w:val="20"/>
          <w:szCs w:val="20"/>
          <w:color w:val="auto"/>
        </w:rPr>
      </w:pPr>
    </w:p>
    <w:p>
      <w:pPr>
        <w:ind w:right="4399" w:firstLine="263"/>
        <w:spacing w:after="0" w:line="279" w:lineRule="auto"/>
        <w:rPr>
          <w:sz w:val="20"/>
          <w:szCs w:val="20"/>
          <w:color w:val="auto"/>
        </w:rPr>
      </w:pPr>
      <w:r>
        <w:rPr>
          <w:rFonts w:ascii="Arial" w:cs="Arial" w:eastAsia="Arial" w:hAnsi="Arial"/>
          <w:sz w:val="13"/>
          <w:szCs w:val="13"/>
          <w:color w:val="auto"/>
        </w:rPr>
        <w:t>The Company had an interest rate swap that has been monetized and will be amortized over the life of the debt and is reported as Deferred realized gains on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NOTE 10.</w:t>
        <w:tab/>
        <w:t>INCOME TAXES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Earnings before income taxes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836035"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36035"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6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760" w:type="dxa"/>
            <w:vAlign w:val="bottom"/>
            <w:gridSpan w:val="6"/>
          </w:tcPr>
          <w:p>
            <w:pPr>
              <w:jc w:val="right"/>
              <w:ind w:right="115"/>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right="116"/>
              <w:spacing w:after="0"/>
              <w:rPr>
                <w:sz w:val="20"/>
                <w:szCs w:val="20"/>
                <w:color w:val="auto"/>
              </w:rPr>
            </w:pPr>
            <w:r>
              <w:rPr>
                <w:rFonts w:ascii="Arial" w:cs="Arial" w:eastAsia="Arial" w:hAnsi="Arial"/>
                <w:sz w:val="11"/>
                <w:szCs w:val="11"/>
                <w:b w:val="1"/>
                <w:bCs w:val="1"/>
                <w:color w:val="auto"/>
                <w:w w:val="81"/>
              </w:rPr>
              <w:t>2005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116"/>
              <w:spacing w:after="0"/>
              <w:rPr>
                <w:sz w:val="20"/>
                <w:szCs w:val="20"/>
                <w:color w:val="auto"/>
              </w:rPr>
            </w:pPr>
            <w:r>
              <w:rPr>
                <w:rFonts w:ascii="Arial" w:cs="Arial" w:eastAsia="Arial" w:hAnsi="Arial"/>
                <w:sz w:val="11"/>
                <w:szCs w:val="11"/>
                <w:b w:val="1"/>
                <w:bCs w:val="1"/>
                <w:color w:val="auto"/>
                <w:w w:val="97"/>
              </w:rPr>
              <w:t>2004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6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U.S. loss before taxes</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3"/>
                <w:szCs w:val="13"/>
                <w:color w:val="auto"/>
                <w:w w:val="88"/>
              </w:rPr>
              <w:t>$  (31,309)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top w:val="single" w:sz="8" w:color="auto"/>
            </w:tcBorders>
            <w:gridSpan w:val="3"/>
            <w:shd w:val="clear" w:color="auto" w:fill="CCEEFF"/>
          </w:tcPr>
          <w:p>
            <w:pPr>
              <w:jc w:val="center"/>
              <w:spacing w:after="0" w:line="149" w:lineRule="exact"/>
              <w:rPr>
                <w:sz w:val="20"/>
                <w:szCs w:val="20"/>
                <w:color w:val="auto"/>
              </w:rPr>
            </w:pPr>
            <w:r>
              <w:rPr>
                <w:rFonts w:ascii="Arial" w:cs="Arial" w:eastAsia="Arial" w:hAnsi="Arial"/>
                <w:sz w:val="13"/>
                <w:szCs w:val="13"/>
                <w:color w:val="auto"/>
                <w:w w:val="88"/>
              </w:rPr>
              <w:t>$  (52,471)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top w:val="single" w:sz="8" w:color="auto"/>
            </w:tcBorders>
            <w:gridSpan w:val="3"/>
            <w:shd w:val="clear" w:color="auto" w:fill="CCEEFF"/>
          </w:tcPr>
          <w:p>
            <w:pPr>
              <w:jc w:val="right"/>
              <w:ind w:right="11"/>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w w:val="86"/>
              </w:rPr>
              <w:t>(42,388)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20"/>
                <w:szCs w:val="20"/>
                <w:color w:val="auto"/>
              </w:rPr>
            </w:pPr>
            <w:r>
              <w:rPr>
                <w:rFonts w:ascii="Arial" w:cs="Arial" w:eastAsia="Arial" w:hAnsi="Arial"/>
                <w:sz w:val="13"/>
                <w:szCs w:val="13"/>
                <w:color w:val="auto"/>
                <w:highlight w:val="white"/>
              </w:rPr>
              <w:t>Foreign income before taxes</w:t>
            </w:r>
          </w:p>
        </w:tc>
        <w:tc>
          <w:tcPr>
            <w:tcW w:w="760" w:type="dxa"/>
            <w:vAlign w:val="bottom"/>
            <w:gridSpan w:val="6"/>
          </w:tcPr>
          <w:p>
            <w:pPr>
              <w:jc w:val="right"/>
              <w:spacing w:after="0"/>
              <w:rPr>
                <w:sz w:val="20"/>
                <w:szCs w:val="20"/>
                <w:color w:val="auto"/>
              </w:rPr>
            </w:pPr>
            <w:r>
              <w:rPr>
                <w:rFonts w:ascii="Arial" w:cs="Arial" w:eastAsia="Arial" w:hAnsi="Arial"/>
                <w:sz w:val="13"/>
                <w:szCs w:val="13"/>
                <w:color w:val="auto"/>
              </w:rPr>
              <w:t>344,591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3"/>
                <w:szCs w:val="13"/>
                <w:color w:val="auto"/>
              </w:rPr>
              <w:t>298,659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w w:val="89"/>
              </w:rPr>
              <w:t>323,390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Total income before taxes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$ 313,282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3"/>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$ 246,188</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w w:val="89"/>
              </w:rPr>
              <w:t>281,002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3660" w:type="dxa"/>
            <w:vAlign w:val="bottom"/>
          </w:tcPr>
          <w:p>
            <w:pPr>
              <w:ind w:left="260"/>
              <w:spacing w:after="0"/>
              <w:rPr>
                <w:sz w:val="20"/>
                <w:szCs w:val="20"/>
                <w:color w:val="auto"/>
              </w:rPr>
            </w:pPr>
            <w:r>
              <w:rPr>
                <w:rFonts w:ascii="Arial" w:cs="Arial" w:eastAsia="Arial" w:hAnsi="Arial"/>
                <w:sz w:val="13"/>
                <w:szCs w:val="13"/>
                <w:color w:val="auto"/>
              </w:rPr>
              <w:t>The income tax provision consisted of the following: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6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2006</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2005</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Current</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60" w:type="dxa"/>
            <w:vAlign w:val="bottom"/>
          </w:tcPr>
          <w:p>
            <w:pPr>
              <w:ind w:left="140"/>
              <w:spacing w:after="0"/>
              <w:rPr>
                <w:sz w:val="20"/>
                <w:szCs w:val="20"/>
                <w:color w:val="auto"/>
              </w:rPr>
            </w:pPr>
            <w:r>
              <w:rPr>
                <w:rFonts w:ascii="Arial" w:cs="Arial" w:eastAsia="Arial" w:hAnsi="Arial"/>
                <w:sz w:val="13"/>
                <w:szCs w:val="13"/>
                <w:color w:val="auto"/>
                <w:highlight w:val="white"/>
              </w:rPr>
              <w:t>Federal</w:t>
            </w:r>
          </w:p>
        </w:tc>
        <w:tc>
          <w:tcPr>
            <w:tcW w:w="44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2,869</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5,642</w:t>
            </w:r>
          </w:p>
        </w:tc>
        <w:tc>
          <w:tcPr>
            <w:tcW w:w="160" w:type="dxa"/>
            <w:vAlign w:val="bottom"/>
          </w:tcPr>
          <w:p>
            <w:pPr>
              <w:spacing w:after="0"/>
              <w:rPr>
                <w:sz w:val="14"/>
                <w:szCs w:val="14"/>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6,033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State and local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4,240</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ind w:left="140"/>
              <w:spacing w:after="0"/>
              <w:rPr>
                <w:sz w:val="20"/>
                <w:szCs w:val="20"/>
                <w:color w:val="auto"/>
              </w:rPr>
            </w:pPr>
            <w:r>
              <w:rPr>
                <w:rFonts w:ascii="Arial" w:cs="Arial" w:eastAsia="Arial" w:hAnsi="Arial"/>
                <w:sz w:val="13"/>
                <w:szCs w:val="13"/>
                <w:color w:val="auto"/>
                <w:highlight w:val="white"/>
              </w:rPr>
              <w:t>Foreign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92,096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81,974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86,650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99,205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86,004</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91,395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20"/>
                <w:szCs w:val="20"/>
                <w:color w:val="auto"/>
              </w:rPr>
            </w:pPr>
            <w:r>
              <w:rPr>
                <w:rFonts w:ascii="Arial" w:cs="Arial" w:eastAsia="Arial" w:hAnsi="Arial"/>
                <w:sz w:val="13"/>
                <w:szCs w:val="13"/>
                <w:color w:val="auto"/>
                <w:highlight w:val="white"/>
              </w:rPr>
              <w:t>Deferred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Federal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4"/>
              </w:rPr>
              <w:t>(10,080)</w:t>
            </w: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(25,618)</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60" w:type="dxa"/>
            <w:vAlign w:val="bottom"/>
          </w:tcPr>
          <w:p>
            <w:pPr>
              <w:ind w:left="140"/>
              <w:spacing w:after="0"/>
              <w:rPr>
                <w:sz w:val="20"/>
                <w:szCs w:val="20"/>
                <w:color w:val="auto"/>
              </w:rPr>
            </w:pPr>
            <w:r>
              <w:rPr>
                <w:rFonts w:ascii="Arial" w:cs="Arial" w:eastAsia="Arial" w:hAnsi="Arial"/>
                <w:sz w:val="13"/>
                <w:szCs w:val="13"/>
                <w:color w:val="auto"/>
                <w:highlight w:val="white"/>
              </w:rPr>
              <w:t>State and local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778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Foreign</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(1,596)</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(8,042)</w:t>
            </w: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w w:val="94"/>
              </w:rPr>
              <w:t>(12,423)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(32,882)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(6,464)</w:t>
            </w: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Total income taxes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86,782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53,122</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84,931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3660" w:type="dxa"/>
            <w:vAlign w:val="bottom"/>
          </w:tcPr>
          <w:p>
            <w:pPr>
              <w:ind w:left="2940"/>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-2334260</wp:posOffset>
            </wp:positionV>
            <wp:extent cx="4809490" cy="26060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80949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reconciliation between the U.S. Federal statutory income tax rate to the effective tax rate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61105"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761105"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2006</w:t>
            </w:r>
          </w:p>
        </w:tc>
        <w:tc>
          <w:tcPr>
            <w:tcW w:w="30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2005</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r>
      <w:tr>
        <w:trPr>
          <w:trHeight w:val="138"/>
        </w:trPr>
        <w:tc>
          <w:tcPr>
            <w:tcW w:w="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88"/>
                <w:shd w:val="clear" w:color="auto" w:fill="CCEEFF"/>
              </w:rPr>
              <w:t>Statutory tax rate</w:t>
            </w: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w w:val="92"/>
              </w:rPr>
              <w:t>35.0%</w:t>
            </w:r>
          </w:p>
        </w:tc>
        <w:tc>
          <w:tcPr>
            <w:tcW w:w="62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35.0%</w:t>
            </w:r>
          </w:p>
        </w:tc>
        <w:tc>
          <w:tcPr>
            <w:tcW w:w="380" w:type="dxa"/>
            <w:vAlign w:val="bottom"/>
            <w:gridSpan w:val="2"/>
          </w:tcPr>
          <w:p>
            <w:pPr>
              <w:jc w:val="right"/>
              <w:spacing w:after="0" w:line="138" w:lineRule="exact"/>
              <w:rPr>
                <w:sz w:val="20"/>
                <w:szCs w:val="20"/>
                <w:color w:val="auto"/>
              </w:rPr>
            </w:pPr>
            <w:r>
              <w:rPr>
                <w:rFonts w:ascii="Arial" w:cs="Arial" w:eastAsia="Arial" w:hAnsi="Arial"/>
                <w:sz w:val="13"/>
                <w:szCs w:val="13"/>
                <w:color w:val="auto"/>
                <w:w w:val="97"/>
              </w:rPr>
              <w:t>35.0%</w:t>
            </w:r>
          </w:p>
        </w:tc>
      </w:tr>
      <w:tr>
        <w:trPr>
          <w:trHeight w:val="176"/>
        </w:trPr>
        <w:tc>
          <w:tcPr>
            <w:tcW w:w="4500" w:type="dxa"/>
            <w:vAlign w:val="bottom"/>
            <w:gridSpan w:val="4"/>
          </w:tcPr>
          <w:p>
            <w:pPr>
              <w:spacing w:after="0"/>
              <w:rPr>
                <w:sz w:val="20"/>
                <w:szCs w:val="20"/>
                <w:color w:val="auto"/>
              </w:rPr>
            </w:pPr>
            <w:r>
              <w:rPr>
                <w:rFonts w:ascii="Arial" w:cs="Arial" w:eastAsia="Arial" w:hAnsi="Arial"/>
                <w:sz w:val="13"/>
                <w:szCs w:val="13"/>
                <w:color w:val="auto"/>
                <w:highlight w:val="white"/>
              </w:rPr>
              <w:t>Difference in effective tax rate on foreign earnings and remittances</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(8.4)</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(2.8)</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r>
      <w:tr>
        <w:trPr>
          <w:trHeight w:val="160"/>
        </w:trPr>
        <w:tc>
          <w:tcPr>
            <w:tcW w:w="108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State and local taxes</w:t>
            </w:r>
          </w:p>
        </w:tc>
        <w:tc>
          <w:tcPr>
            <w:tcW w:w="34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c>
          <w:tcPr>
            <w:tcW w:w="30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(0.2)</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(0.2)</w:t>
            </w:r>
          </w:p>
        </w:tc>
      </w:tr>
      <w:tr>
        <w:trPr>
          <w:trHeight w:val="176"/>
        </w:trPr>
        <w:tc>
          <w:tcPr>
            <w:tcW w:w="4500" w:type="dxa"/>
            <w:vAlign w:val="bottom"/>
            <w:gridSpan w:val="4"/>
          </w:tcPr>
          <w:p>
            <w:pPr>
              <w:spacing w:after="0"/>
              <w:rPr>
                <w:sz w:val="20"/>
                <w:szCs w:val="20"/>
                <w:color w:val="auto"/>
              </w:rPr>
            </w:pPr>
            <w:r>
              <w:rPr>
                <w:rFonts w:ascii="Arial" w:cs="Arial" w:eastAsia="Arial" w:hAnsi="Arial"/>
                <w:sz w:val="13"/>
                <w:szCs w:val="13"/>
                <w:color w:val="auto"/>
                <w:highlight w:val="white"/>
              </w:rPr>
              <w:t>AJCA benefit</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w w:val="94"/>
              </w:rPr>
              <w:t>(10.0)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5"/>
        </w:trPr>
        <w:tc>
          <w:tcPr>
            <w:tcW w:w="5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Other, net</w:t>
            </w:r>
          </w:p>
        </w:tc>
        <w:tc>
          <w:tcPr>
            <w:tcW w:w="3980" w:type="dxa"/>
            <w:vAlign w:val="bottom"/>
            <w:gridSpan w:val="3"/>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(0.4)</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(2.0)</w:t>
            </w: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4500" w:type="dxa"/>
            <w:vAlign w:val="bottom"/>
            <w:gridSpan w:val="4"/>
          </w:tcPr>
          <w:p>
            <w:pPr>
              <w:spacing w:after="0"/>
              <w:rPr>
                <w:sz w:val="20"/>
                <w:szCs w:val="20"/>
                <w:color w:val="auto"/>
              </w:rPr>
            </w:pPr>
            <w:r>
              <w:rPr>
                <w:rFonts w:ascii="Arial" w:cs="Arial" w:eastAsia="Arial" w:hAnsi="Arial"/>
                <w:sz w:val="13"/>
                <w:szCs w:val="13"/>
                <w:color w:val="auto"/>
                <w:highlight w:val="white"/>
              </w:rPr>
              <w:t>Effective tax rate</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27.</w:t>
            </w:r>
            <w:r>
              <w:rPr>
                <w:rFonts w:ascii="Arial" w:cs="Arial" w:eastAsia="Arial" w:hAnsi="Arial"/>
                <w:sz w:val="13"/>
                <w:szCs w:val="13"/>
                <w:u w:val="single" w:color="auto"/>
                <w:color w:val="auto"/>
                <w:w w:val="92"/>
              </w:rPr>
              <w:t>7</w:t>
            </w:r>
            <w:r>
              <w:rPr>
                <w:rFonts w:ascii="Arial" w:cs="Arial" w:eastAsia="Arial" w:hAnsi="Arial"/>
                <w:sz w:val="13"/>
                <w:szCs w:val="13"/>
                <w:color w:val="auto"/>
                <w:highlight w:val="white"/>
                <w:w w:val="92"/>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21.6%</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7"/>
              </w:rPr>
              <w:t>30.2%</w:t>
            </w:r>
          </w:p>
        </w:tc>
      </w:tr>
      <w:tr>
        <w:trPr>
          <w:trHeight w:val="30"/>
        </w:trPr>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-702310</wp:posOffset>
            </wp:positionV>
            <wp:extent cx="6350"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-702310</wp:posOffset>
            </wp:positionV>
            <wp:extent cx="6350"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-702310</wp:posOffset>
            </wp:positionV>
            <wp:extent cx="635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-702310</wp:posOffset>
            </wp:positionV>
            <wp:extent cx="635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-702310</wp:posOffset>
            </wp:positionV>
            <wp:extent cx="6350"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-702310</wp:posOffset>
            </wp:positionV>
            <wp:extent cx="6350"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-652145</wp:posOffset>
            </wp:positionV>
            <wp:extent cx="3785870" cy="7156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785870" cy="715645"/>
                    </a:xfrm>
                    <a:prstGeom prst="rect">
                      <a:avLst/>
                    </a:prstGeom>
                    <a:noFill/>
                  </pic:spPr>
                </pic:pic>
              </a:graphicData>
            </a:graphic>
          </wp:anchor>
        </w:drawing>
      </w:r>
    </w:p>
    <w:p>
      <w:pPr>
        <w:spacing w:after="0" w:line="159" w:lineRule="exact"/>
        <w:rPr>
          <w:sz w:val="20"/>
          <w:szCs w:val="20"/>
          <w:color w:val="auto"/>
        </w:rPr>
      </w:pPr>
    </w:p>
    <w:p>
      <w:pPr>
        <w:jc w:val="both"/>
        <w:ind w:right="4379" w:firstLine="263"/>
        <w:spacing w:after="0" w:line="262" w:lineRule="auto"/>
        <w:rPr>
          <w:sz w:val="20"/>
          <w:szCs w:val="20"/>
          <w:color w:val="auto"/>
        </w:rPr>
      </w:pPr>
      <w:r>
        <w:rPr>
          <w:rFonts w:ascii="Arial" w:cs="Arial" w:eastAsia="Arial" w:hAnsi="Arial"/>
          <w:sz w:val="13"/>
          <w:szCs w:val="13"/>
          <w:color w:val="auto"/>
        </w:rPr>
        <w:t>The Company’s 2006 effective tax rate reflects the tax benefits from having significant operations outside the U.S. that are taxed at lower rates than the U.S. rate of 35 percent. The 2006 effective tax rate was favorably impacted by the reversal of a previously established tax accrual of $4 million that was no longer required based on rulings obtained from applicable jurisdictions.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components of the deferred tax assets and liabilities included on the balance sheet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50" cy="6286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3817620"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817620" cy="635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1"/>
                <w:szCs w:val="11"/>
                <w:color w:val="auto"/>
              </w:rPr>
            </w:pPr>
          </w:p>
        </w:tc>
      </w:tr>
      <w:tr>
        <w:trPr>
          <w:trHeight w:val="126"/>
        </w:trPr>
        <w:tc>
          <w:tcPr>
            <w:tcW w:w="444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Inventory</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40" w:type="dxa"/>
            <w:vAlign w:val="bottom"/>
          </w:tcPr>
          <w:p>
            <w:pPr>
              <w:spacing w:after="0"/>
              <w:rPr>
                <w:sz w:val="14"/>
                <w:szCs w:val="14"/>
                <w:color w:val="auto"/>
              </w:rPr>
            </w:pPr>
          </w:p>
        </w:tc>
      </w:tr>
      <w:tr>
        <w:trPr>
          <w:trHeight w:val="165"/>
        </w:trPr>
        <w:tc>
          <w:tcPr>
            <w:tcW w:w="4440" w:type="dxa"/>
            <w:vAlign w:val="bottom"/>
          </w:tcPr>
          <w:p>
            <w:pPr>
              <w:spacing w:after="0"/>
              <w:rPr>
                <w:sz w:val="20"/>
                <w:szCs w:val="20"/>
                <w:color w:val="auto"/>
              </w:rPr>
            </w:pPr>
            <w:r>
              <w:rPr>
                <w:rFonts w:ascii="Arial" w:cs="Arial" w:eastAsia="Arial" w:hAnsi="Arial"/>
                <w:sz w:val="13"/>
                <w:szCs w:val="13"/>
                <w:color w:val="auto"/>
                <w:highlight w:val="white"/>
              </w:rPr>
              <w:t>Employee and retiree benefits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101,900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79,700</w:t>
            </w:r>
          </w:p>
        </w:tc>
        <w:tc>
          <w:tcPr>
            <w:tcW w:w="40" w:type="dxa"/>
            <w:vAlign w:val="bottom"/>
          </w:tcPr>
          <w:p>
            <w:pPr>
              <w:spacing w:after="0"/>
              <w:rPr>
                <w:sz w:val="14"/>
                <w:szCs w:val="14"/>
                <w:color w:val="auto"/>
              </w:rPr>
            </w:pPr>
          </w:p>
        </w:tc>
      </w:tr>
      <w:tr>
        <w:trPr>
          <w:trHeight w:val="171"/>
        </w:trPr>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Credit and net operating loss carryforwards</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17,400</w:t>
            </w:r>
          </w:p>
        </w:tc>
        <w:tc>
          <w:tcPr>
            <w:tcW w:w="40" w:type="dxa"/>
            <w:vAlign w:val="bottom"/>
          </w:tcPr>
          <w:p>
            <w:pPr>
              <w:spacing w:after="0"/>
              <w:rPr>
                <w:sz w:val="14"/>
                <w:szCs w:val="14"/>
                <w:color w:val="auto"/>
              </w:rPr>
            </w:pPr>
          </w:p>
        </w:tc>
      </w:tr>
      <w:tr>
        <w:trPr>
          <w:trHeight w:val="165"/>
        </w:trPr>
        <w:tc>
          <w:tcPr>
            <w:tcW w:w="4440" w:type="dxa"/>
            <w:vAlign w:val="bottom"/>
          </w:tcPr>
          <w:p>
            <w:pPr>
              <w:spacing w:after="0"/>
              <w:rPr>
                <w:sz w:val="20"/>
                <w:szCs w:val="20"/>
                <w:color w:val="auto"/>
              </w:rPr>
            </w:pPr>
            <w:r>
              <w:rPr>
                <w:rFonts w:ascii="Arial" w:cs="Arial" w:eastAsia="Arial" w:hAnsi="Arial"/>
                <w:sz w:val="13"/>
                <w:szCs w:val="13"/>
                <w:color w:val="auto"/>
                <w:highlight w:val="white"/>
              </w:rPr>
              <w:t>Property, plant and equipment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25,000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18,500</w:t>
            </w:r>
          </w:p>
        </w:tc>
        <w:tc>
          <w:tcPr>
            <w:tcW w:w="40" w:type="dxa"/>
            <w:vAlign w:val="bottom"/>
          </w:tcPr>
          <w:p>
            <w:pPr>
              <w:spacing w:after="0"/>
              <w:rPr>
                <w:sz w:val="14"/>
                <w:szCs w:val="14"/>
                <w:color w:val="auto"/>
              </w:rPr>
            </w:pPr>
          </w:p>
        </w:tc>
      </w:tr>
      <w:tr>
        <w:trPr>
          <w:trHeight w:val="156"/>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net</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26,400</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43,100</w:t>
            </w:r>
          </w:p>
        </w:tc>
        <w:tc>
          <w:tcPr>
            <w:tcW w:w="40" w:type="dxa"/>
            <w:vAlign w:val="bottom"/>
          </w:tcPr>
          <w:p>
            <w:pPr>
              <w:spacing w:after="0"/>
              <w:rPr>
                <w:sz w:val="13"/>
                <w:szCs w:val="13"/>
                <w:color w:val="auto"/>
              </w:rPr>
            </w:pPr>
          </w:p>
        </w:tc>
      </w:tr>
      <w:tr>
        <w:trPr>
          <w:trHeight w:val="160"/>
        </w:trPr>
        <w:tc>
          <w:tcPr>
            <w:tcW w:w="4440" w:type="dxa"/>
            <w:vAlign w:val="bottom"/>
          </w:tcPr>
          <w:p>
            <w:pPr>
              <w:ind w:left="140"/>
              <w:spacing w:after="0"/>
              <w:rPr>
                <w:sz w:val="20"/>
                <w:szCs w:val="20"/>
                <w:color w:val="auto"/>
              </w:rPr>
            </w:pPr>
            <w:r>
              <w:rPr>
                <w:rFonts w:ascii="Arial" w:cs="Arial" w:eastAsia="Arial" w:hAnsi="Arial"/>
                <w:sz w:val="13"/>
                <w:szCs w:val="13"/>
                <w:color w:val="auto"/>
                <w:highlight w:val="white"/>
              </w:rPr>
              <w:t>Gross deferred tax assets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199,700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164,700</w:t>
            </w:r>
          </w:p>
        </w:tc>
        <w:tc>
          <w:tcPr>
            <w:tcW w:w="40" w:type="dxa"/>
            <w:vAlign w:val="bottom"/>
          </w:tcPr>
          <w:p>
            <w:pPr>
              <w:spacing w:after="0"/>
              <w:rPr>
                <w:sz w:val="13"/>
                <w:szCs w:val="13"/>
                <w:color w:val="auto"/>
              </w:rPr>
            </w:pPr>
          </w:p>
        </w:tc>
      </w:tr>
      <w:tr>
        <w:trPr>
          <w:trHeight w:val="156"/>
        </w:trPr>
        <w:tc>
          <w:tcPr>
            <w:tcW w:w="444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Valuation allowance</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w:t>
            </w:r>
          </w:p>
        </w:tc>
        <w:tc>
          <w:tcPr>
            <w:tcW w:w="40" w:type="dxa"/>
            <w:vAlign w:val="bottom"/>
          </w:tcPr>
          <w:p>
            <w:pPr>
              <w:spacing w:after="0"/>
              <w:rPr>
                <w:sz w:val="13"/>
                <w:szCs w:val="13"/>
                <w:color w:val="auto"/>
              </w:rPr>
            </w:pPr>
          </w:p>
        </w:tc>
      </w:tr>
      <w:tr>
        <w:trPr>
          <w:trHeight w:val="162"/>
        </w:trPr>
        <w:tc>
          <w:tcPr>
            <w:tcW w:w="4440" w:type="dxa"/>
            <w:vAlign w:val="bottom"/>
            <w:tcBorders>
              <w:top w:val="single" w:sz="8" w:color="CCEEFF"/>
            </w:tcBorders>
          </w:tcPr>
          <w:p>
            <w:pPr>
              <w:ind w:left="260"/>
              <w:spacing w:after="0"/>
              <w:rPr>
                <w:sz w:val="20"/>
                <w:szCs w:val="20"/>
                <w:color w:val="auto"/>
              </w:rPr>
            </w:pPr>
            <w:r>
              <w:rPr>
                <w:rFonts w:ascii="Arial" w:cs="Arial" w:eastAsia="Arial" w:hAnsi="Arial"/>
                <w:sz w:val="13"/>
                <w:szCs w:val="13"/>
                <w:color w:val="auto"/>
                <w:highlight w:val="white"/>
              </w:rPr>
              <w:t>Total deferred tax assets</w:t>
            </w: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190,700</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156,700</w:t>
            </w:r>
          </w:p>
        </w:tc>
        <w:tc>
          <w:tcPr>
            <w:tcW w:w="40" w:type="dxa"/>
            <w:vAlign w:val="bottom"/>
          </w:tcPr>
          <w:p>
            <w:pPr>
              <w:spacing w:after="0"/>
              <w:rPr>
                <w:sz w:val="14"/>
                <w:szCs w:val="14"/>
                <w:color w:val="auto"/>
              </w:rPr>
            </w:pPr>
          </w:p>
        </w:tc>
      </w:tr>
      <w:tr>
        <w:trPr>
          <w:trHeight w:val="169"/>
        </w:trPr>
        <w:tc>
          <w:tcPr>
            <w:tcW w:w="44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shd w:val="clear" w:color="auto" w:fill="CCEEFF"/>
              </w:rPr>
              <w:t>LIABILITIES</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4440" w:type="dxa"/>
            <w:vAlign w:val="bottom"/>
          </w:tcPr>
          <w:p>
            <w:pPr>
              <w:spacing w:after="0"/>
              <w:rPr>
                <w:sz w:val="20"/>
                <w:szCs w:val="20"/>
                <w:color w:val="auto"/>
              </w:rPr>
            </w:pPr>
            <w:r>
              <w:rPr>
                <w:rFonts w:ascii="Arial" w:cs="Arial" w:eastAsia="Arial" w:hAnsi="Arial"/>
                <w:sz w:val="13"/>
                <w:szCs w:val="13"/>
                <w:color w:val="auto"/>
                <w:highlight w:val="white"/>
              </w:rPr>
              <w:t>Trademarks and other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(18,900)</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4"/>
              </w:rPr>
              <w:t>(28,100)</w:t>
            </w:r>
          </w:p>
        </w:tc>
        <w:tc>
          <w:tcPr>
            <w:tcW w:w="40" w:type="dxa"/>
            <w:vAlign w:val="bottom"/>
          </w:tcPr>
          <w:p>
            <w:pPr>
              <w:spacing w:after="0"/>
              <w:rPr>
                <w:sz w:val="13"/>
                <w:szCs w:val="13"/>
                <w:color w:val="auto"/>
              </w:rPr>
            </w:pPr>
          </w:p>
        </w:tc>
      </w:tr>
      <w:tr>
        <w:trPr>
          <w:trHeight w:val="158"/>
        </w:trPr>
        <w:tc>
          <w:tcPr>
            <w:tcW w:w="4440" w:type="dxa"/>
            <w:vAlign w:val="bottom"/>
            <w:tcBorders>
              <w:bottom w:val="single" w:sz="8" w:color="CCEEFF"/>
            </w:tcBorders>
            <w:shd w:val="clear" w:color="auto" w:fill="CCEEFF"/>
          </w:tcPr>
          <w:p>
            <w:pPr>
              <w:ind w:left="260"/>
              <w:spacing w:after="0" w:line="148" w:lineRule="exact"/>
              <w:rPr>
                <w:sz w:val="20"/>
                <w:szCs w:val="20"/>
                <w:color w:val="auto"/>
              </w:rPr>
            </w:pPr>
            <w:r>
              <w:rPr>
                <w:rFonts w:ascii="Arial" w:cs="Arial" w:eastAsia="Arial" w:hAnsi="Arial"/>
                <w:sz w:val="13"/>
                <w:szCs w:val="13"/>
                <w:color w:val="auto"/>
                <w:shd w:val="clear" w:color="auto" w:fill="CCEEFF"/>
              </w:rPr>
              <w:t>Total net deferred tax assets</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171,800</w:t>
            </w: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128,600</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-1323975</wp:posOffset>
            </wp:positionV>
            <wp:extent cx="3823970" cy="13874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23970" cy="1387475"/>
                    </a:xfrm>
                    <a:prstGeom prst="rect">
                      <a:avLst/>
                    </a:prstGeom>
                    <a:noFill/>
                  </pic:spPr>
                </pic:pic>
              </a:graphicData>
            </a:graphic>
          </wp:anchor>
        </w:drawing>
      </w:r>
    </w:p>
    <w:p>
      <w:pPr>
        <w:spacing w:after="0" w:line="159" w:lineRule="exact"/>
        <w:rPr>
          <w:sz w:val="20"/>
          <w:szCs w:val="20"/>
          <w:color w:val="auto"/>
        </w:rPr>
      </w:pPr>
    </w:p>
    <w:p>
      <w:pPr>
        <w:ind w:right="4319" w:firstLine="263"/>
        <w:spacing w:after="0" w:line="260" w:lineRule="auto"/>
        <w:rPr>
          <w:sz w:val="20"/>
          <w:szCs w:val="20"/>
          <w:color w:val="auto"/>
        </w:rPr>
      </w:pPr>
      <w:r>
        <w:rPr>
          <w:rFonts w:ascii="Arial" w:cs="Arial" w:eastAsia="Arial" w:hAnsi="Arial"/>
          <w:sz w:val="13"/>
          <w:szCs w:val="13"/>
          <w:color w:val="auto"/>
        </w:rPr>
        <w:t>Net operating loss (‘‘NOL’’) carryforwards were $12 million and $7 million at December 31, 2006 and 2005, respectively. If unused, $2 million will expire between 2007 and 2026; the remaining $10 million may be carried forward indefinitely. Tax credits were $24 million and $10 million at December 31, 2006 and December 31, 2005, respectively. If unused, $23 million will expire between 2007 and 2026; the remaining $1 million may be carried forward indefinitely.</w:t>
      </w:r>
    </w:p>
    <w:p>
      <w:pPr>
        <w:spacing w:after="0" w:line="60" w:lineRule="exact"/>
        <w:rPr>
          <w:sz w:val="20"/>
          <w:szCs w:val="20"/>
          <w:color w:val="auto"/>
        </w:rPr>
      </w:pPr>
    </w:p>
    <w:p>
      <w:pPr>
        <w:ind w:right="4339" w:firstLine="263"/>
        <w:spacing w:after="0" w:line="262" w:lineRule="auto"/>
        <w:rPr>
          <w:sz w:val="20"/>
          <w:szCs w:val="20"/>
          <w:color w:val="auto"/>
        </w:rPr>
      </w:pPr>
      <w:r>
        <w:rPr>
          <w:rFonts w:ascii="Arial" w:cs="Arial" w:eastAsia="Arial" w:hAnsi="Arial"/>
          <w:sz w:val="13"/>
          <w:szCs w:val="13"/>
          <w:color w:val="auto"/>
        </w:rPr>
        <w:t>Of the $36 million deferred tax asset for credit and net operating loss carryforwards at December 31, 2006, the Company considers it unlikely that a portion of the tax benefit related to various non-U.S. and state deferred taxes will be realized; a $1 million and $8 million valuation allowance has been established against these respective deferred tax assets.</w:t>
      </w:r>
    </w:p>
    <w:p>
      <w:pPr>
        <w:spacing w:after="0" w:line="59" w:lineRule="exact"/>
        <w:rPr>
          <w:sz w:val="20"/>
          <w:szCs w:val="20"/>
          <w:color w:val="auto"/>
        </w:rPr>
      </w:pPr>
    </w:p>
    <w:p>
      <w:pPr>
        <w:ind w:right="4359" w:firstLine="263"/>
        <w:spacing w:after="0" w:line="279" w:lineRule="auto"/>
        <w:rPr>
          <w:sz w:val="20"/>
          <w:szCs w:val="20"/>
          <w:color w:val="auto"/>
        </w:rPr>
      </w:pPr>
      <w:r>
        <w:rPr>
          <w:rFonts w:ascii="Arial" w:cs="Arial" w:eastAsia="Arial" w:hAnsi="Arial"/>
          <w:sz w:val="13"/>
          <w:szCs w:val="13"/>
          <w:color w:val="auto"/>
        </w:rPr>
        <w:t>Tax benefits relating to stock options exercised credited to Shareholders’ equity totaled $11 million and $3 million for 2006 and 2005, respectively.</w:t>
      </w:r>
    </w:p>
    <w:p>
      <w:pPr>
        <w:sectPr>
          <w:pgSz w:w="11900" w:h="16838" w:orient="portrait"/>
          <w:cols w:equalWidth="0" w:num="1">
            <w:col w:w="10239"/>
          </w:cols>
          <w:pgMar w:left="220" w:top="131" w:right="1440" w:bottom="0" w:gutter="0" w:footer="0" w:header="0"/>
        </w:sectPr>
      </w:pPr>
    </w:p>
    <w:bookmarkStart w:id="28" w:name="page29"/>
    <w:bookmarkEnd w:id="28"/>
    <w:p>
      <w:pPr>
        <w:ind w:right="4519" w:firstLine="263"/>
        <w:spacing w:after="0" w:line="260" w:lineRule="auto"/>
        <w:rPr>
          <w:sz w:val="20"/>
          <w:szCs w:val="20"/>
          <w:color w:val="auto"/>
        </w:rPr>
      </w:pPr>
      <w:r>
        <w:rPr>
          <w:rFonts w:ascii="Arial" w:cs="Arial" w:eastAsia="Arial" w:hAnsi="Arial"/>
          <w:sz w:val="13"/>
          <w:szCs w:val="13"/>
          <w:color w:val="auto"/>
        </w:rPr>
        <w:t>U.S. income taxes and foreign withholding taxes associated with the repatriation of earnings of foreign subsidiaries were not provided on a cumulative total of $359 million of undistributed earnings of foreign subsidiaries. The Company intends to reinvest these earnings indefinitely in its foreign subsidiaries. Any additional U.S. taxes payable on the remaining foreign earnings, if remitted, would be substantially offset by credits for foreign taxes already paid.</w:t>
      </w:r>
    </w:p>
    <w:p>
      <w:pPr>
        <w:spacing w:after="0" w:line="60" w:lineRule="exact"/>
        <w:rPr>
          <w:sz w:val="20"/>
          <w:szCs w:val="20"/>
          <w:color w:val="auto"/>
        </w:rPr>
      </w:pPr>
    </w:p>
    <w:p>
      <w:pPr>
        <w:ind w:right="4279" w:firstLine="263"/>
        <w:spacing w:after="0" w:line="266" w:lineRule="auto"/>
        <w:rPr>
          <w:sz w:val="20"/>
          <w:szCs w:val="20"/>
          <w:color w:val="auto"/>
        </w:rPr>
      </w:pPr>
      <w:r>
        <w:rPr>
          <w:rFonts w:ascii="Arial" w:cs="Arial" w:eastAsia="Arial" w:hAnsi="Arial"/>
          <w:sz w:val="13"/>
          <w:szCs w:val="13"/>
          <w:color w:val="auto"/>
        </w:rPr>
        <w:t>The Company has tax audits in process in various tax jurisdictions, and has open tax years with various significant taxing jurisdictions that range primarily from 2001 to 2006. Based on currently available information, the Company does not believe the ultimate outcome of these tax audits and</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239"/>
        <w:spacing w:after="0" w:line="279" w:lineRule="auto"/>
        <w:rPr>
          <w:sz w:val="20"/>
          <w:szCs w:val="20"/>
          <w:color w:val="auto"/>
        </w:rPr>
      </w:pPr>
      <w:r>
        <w:rPr>
          <w:rFonts w:ascii="Arial" w:cs="Arial" w:eastAsia="Arial" w:hAnsi="Arial"/>
          <w:sz w:val="13"/>
          <w:szCs w:val="13"/>
          <w:color w:val="auto"/>
        </w:rPr>
        <w:t>other tax positions related to open tax years, when finalized, will have a material adverse effect on the Company’s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9520"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NOTE 11.</w:t>
        <w:tab/>
        <w:t>SHAREHOLDERS’ EQUITY</w:t>
      </w:r>
    </w:p>
    <w:p>
      <w:pPr>
        <w:spacing w:after="0" w:line="171" w:lineRule="exact"/>
        <w:rPr>
          <w:sz w:val="20"/>
          <w:szCs w:val="20"/>
          <w:color w:val="auto"/>
        </w:rPr>
      </w:pPr>
    </w:p>
    <w:p>
      <w:pPr>
        <w:ind w:right="4519" w:firstLine="263"/>
        <w:spacing w:after="0" w:line="266" w:lineRule="auto"/>
        <w:rPr>
          <w:sz w:val="20"/>
          <w:szCs w:val="20"/>
          <w:color w:val="auto"/>
        </w:rPr>
      </w:pPr>
      <w:r>
        <w:rPr>
          <w:rFonts w:ascii="Arial" w:cs="Arial" w:eastAsia="Arial" w:hAnsi="Arial"/>
          <w:sz w:val="13"/>
          <w:szCs w:val="13"/>
          <w:color w:val="auto"/>
        </w:rPr>
        <w:t>On March 9, 2000, the Company adopted a shareholder protection rights agreement (the ‘‘Rights Agreement’’) and declared a dividend of one right on each share of common stock outstanding on March 24, 2000 or issued thereafter.</w:t>
      </w:r>
    </w:p>
    <w:p>
      <w:pPr>
        <w:spacing w:after="0" w:line="57" w:lineRule="exact"/>
        <w:rPr>
          <w:sz w:val="20"/>
          <w:szCs w:val="20"/>
          <w:color w:val="auto"/>
        </w:rPr>
      </w:pPr>
    </w:p>
    <w:p>
      <w:pPr>
        <w:ind w:right="4239" w:firstLine="263"/>
        <w:spacing w:after="0" w:line="262" w:lineRule="auto"/>
        <w:rPr>
          <w:sz w:val="20"/>
          <w:szCs w:val="20"/>
          <w:color w:val="auto"/>
        </w:rPr>
      </w:pPr>
      <w:r>
        <w:rPr>
          <w:rFonts w:ascii="Arial" w:cs="Arial" w:eastAsia="Arial" w:hAnsi="Arial"/>
          <w:sz w:val="13"/>
          <w:szCs w:val="13"/>
          <w:color w:val="auto"/>
        </w:rPr>
        <w:t>Under the Rights Agreement, as amended, until a person or group acquires 15% or more of the Company’s common stock or commences a tender offer that would result in such person’s or group’s owning 15% or more, the rights are evidenced by the common stock certificates, automatically trade with the common stock and are not exercisable.</w:t>
      </w:r>
    </w:p>
    <w:p>
      <w:pPr>
        <w:spacing w:after="0" w:line="59" w:lineRule="exact"/>
        <w:rPr>
          <w:sz w:val="20"/>
          <w:szCs w:val="20"/>
          <w:color w:val="auto"/>
        </w:rPr>
      </w:pPr>
    </w:p>
    <w:p>
      <w:pPr>
        <w:ind w:right="4239" w:firstLine="263"/>
        <w:spacing w:after="0" w:line="279" w:lineRule="auto"/>
        <w:rPr>
          <w:sz w:val="20"/>
          <w:szCs w:val="20"/>
          <w:color w:val="auto"/>
        </w:rPr>
      </w:pPr>
      <w:r>
        <w:rPr>
          <w:rFonts w:ascii="Arial" w:cs="Arial" w:eastAsia="Arial" w:hAnsi="Arial"/>
          <w:sz w:val="12"/>
          <w:szCs w:val="12"/>
          <w:color w:val="auto"/>
        </w:rPr>
        <w:t>Thereafter, if the Company is involved in a merger or sells more than 50% of its assets or earning power, each right entitles its holder to purchase a certain number of shares for a specified exercise price. Also, under certain circumstances, the Company’s Board of Directors has the option to redeem or exchange one share of common stock for each right. Finally, in the event a new Board of Directors is elected in a successful proxy contest, (i) the rights may not be redeemed and no business combination with the Company can be effected for 180 days thereafter unless certain procedures are followed to ensure (A) that steps are taken to maximize shareholder value, or (B) that any decision to redeem the rights, if challenged, would meet an ‘‘entire fairness’’ test; and (ii) the Rights Agreement may not be amended during such 180-day period. To establish ‘‘entire fairness’’ in connection with a redemption, the new Board must be able to demonstrate that all aspects of the redemption decision were fair, including the redemption procedure and the financial terms of the redemption. The Rights Agreement expires in March 2010.</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Dividends paid per share were $0.74, $0.72 and $0.67 in 2006, 2005 and 2004, respectively.</w:t>
      </w:r>
    </w:p>
    <w:p>
      <w:pPr>
        <w:spacing w:after="0" w:line="88" w:lineRule="exact"/>
        <w:rPr>
          <w:sz w:val="20"/>
          <w:szCs w:val="20"/>
          <w:color w:val="auto"/>
        </w:rPr>
      </w:pPr>
    </w:p>
    <w:p>
      <w:pPr>
        <w:ind w:right="4359" w:firstLine="263"/>
        <w:spacing w:after="0" w:line="287" w:lineRule="auto"/>
        <w:rPr>
          <w:sz w:val="20"/>
          <w:szCs w:val="20"/>
          <w:color w:val="auto"/>
        </w:rPr>
      </w:pPr>
      <w:r>
        <w:rPr>
          <w:rFonts w:ascii="Arial" w:cs="Arial" w:eastAsia="Arial" w:hAnsi="Arial"/>
          <w:sz w:val="12"/>
          <w:szCs w:val="12"/>
          <w:color w:val="auto"/>
        </w:rPr>
        <w:t>The AOCI balance includes Cumulative translation adjustments of ($32) million and ($47) million, Accumulated losses on derivatives qualifying as hedges of $2 million and $3 million, and Minimum pension liability of $0 and ($100) million, at December 31, 2006 and 2005, respectively. In 2006, the Company adopted FAS 158 under which the Company recorded an aggregate Pension and Postemployment liability of ($163) million and the minimum pension liability was eliminated. See Note 14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779520"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779520" cy="6350"/>
                    </a:xfrm>
                    <a:prstGeom prst="rect">
                      <a:avLst/>
                    </a:prstGeom>
                    <a:noFill/>
                  </pic:spPr>
                </pic:pic>
              </a:graphicData>
            </a:graphic>
          </wp:anchor>
        </w:drawing>
      </w:r>
    </w:p>
    <w:p>
      <w:pPr>
        <w:spacing w:after="0" w:line="110"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NOTE 12.</w:t>
        <w:tab/>
        <w:t>EQUITY COMPENSATION PLANS</w:t>
      </w:r>
    </w:p>
    <w:p>
      <w:pPr>
        <w:spacing w:after="0" w:line="171" w:lineRule="exact"/>
        <w:rPr>
          <w:sz w:val="20"/>
          <w:szCs w:val="20"/>
          <w:color w:val="auto"/>
        </w:rPr>
      </w:pPr>
    </w:p>
    <w:p>
      <w:pPr>
        <w:ind w:right="4359" w:firstLine="263"/>
        <w:spacing w:after="0" w:line="287" w:lineRule="auto"/>
        <w:rPr>
          <w:sz w:val="20"/>
          <w:szCs w:val="20"/>
          <w:color w:val="auto"/>
        </w:rPr>
      </w:pPr>
      <w:r>
        <w:rPr>
          <w:rFonts w:ascii="Arial" w:cs="Arial" w:eastAsia="Arial" w:hAnsi="Arial"/>
          <w:sz w:val="12"/>
          <w:szCs w:val="12"/>
          <w:color w:val="auto"/>
        </w:rPr>
        <w:t>The Company has various plans under which the Company’s officers, senior management, other key employees and directors may be granted options to purchase the Company’s common stock or other forms of equity-based awards. Under the Company’s 2000 Stock Award and Incentive Plan (‘‘2000 SAIP’’), the issuance of 9 million shares was authorized by the Board of Directors; 2 million shares available under a previous plan were incorporated into the 2000 SAIP, resulting in a total of 11 million shares being available.</w:t>
      </w:r>
    </w:p>
    <w:p>
      <w:pPr>
        <w:spacing w:after="0" w:line="45" w:lineRule="exact"/>
        <w:rPr>
          <w:sz w:val="20"/>
          <w:szCs w:val="20"/>
          <w:color w:val="auto"/>
        </w:rPr>
      </w:pPr>
    </w:p>
    <w:p>
      <w:pPr>
        <w:ind w:right="4239" w:firstLine="263"/>
        <w:spacing w:after="0" w:line="283" w:lineRule="auto"/>
        <w:rPr>
          <w:sz w:val="20"/>
          <w:szCs w:val="20"/>
          <w:color w:val="auto"/>
        </w:rPr>
      </w:pPr>
      <w:r>
        <w:rPr>
          <w:rFonts w:ascii="Arial" w:cs="Arial" w:eastAsia="Arial" w:hAnsi="Arial"/>
          <w:sz w:val="12"/>
          <w:szCs w:val="12"/>
          <w:color w:val="auto"/>
        </w:rPr>
        <w:t>Prior to 2004, stock options were the primary form of equity compensation. Beginning in 2004, the Company granted Restricted Stock Units (‘‘RSU’s’’) to eligible employees. RSU’s generally vest 100% at the end of three years with no performance criteria; RSU’s granted to all officers and senior management in 2004 and 2005 contained a performance restriction, since achieved, and now vest at the end of their three year term. The fair value of the RSU’s is equal to the market price of the Company’s stock at date of grant and is amortized to expense ratably over the vesting period. For a small group of employees, in certain international locations, the Company continues to grant stock options.</w:t>
      </w:r>
    </w:p>
    <w:p>
      <w:pPr>
        <w:spacing w:after="0" w:line="48" w:lineRule="exact"/>
        <w:rPr>
          <w:sz w:val="20"/>
          <w:szCs w:val="20"/>
          <w:color w:val="auto"/>
        </w:rPr>
      </w:pPr>
    </w:p>
    <w:p>
      <w:pPr>
        <w:ind w:right="4259" w:firstLine="263"/>
        <w:spacing w:after="0" w:line="259" w:lineRule="auto"/>
        <w:rPr>
          <w:sz w:val="20"/>
          <w:szCs w:val="20"/>
          <w:color w:val="auto"/>
        </w:rPr>
      </w:pPr>
      <w:r>
        <w:rPr>
          <w:rFonts w:ascii="Arial" w:cs="Arial" w:eastAsia="Arial" w:hAnsi="Arial"/>
          <w:sz w:val="13"/>
          <w:szCs w:val="13"/>
          <w:color w:val="auto"/>
        </w:rPr>
        <w:t>In 2006, the Board of Directors approved a Long Term Equity Choice program (the ‘‘Program’’) for the Company’s senior management under the 2000 SAIP. Under the Program, eligible employees can choose from among three equity alternatives and will be granted such equity awards up to certain dollar values depending on the participant’s grade level. A participant may choose among (1) Purchased Restricted Stock (‘‘PRS’’), (2) Stock Settled Appreciation Rights (‘‘SSAR’s’’) or (3) RSU’s. Employees not eligible under the Program continue to receive RSU’s or, as noted above, options.</w:t>
      </w:r>
    </w:p>
    <w:p>
      <w:pPr>
        <w:spacing w:after="0" w:line="189"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239" w:firstLine="263"/>
        <w:spacing w:after="0" w:line="259" w:lineRule="auto"/>
        <w:rPr>
          <w:sz w:val="20"/>
          <w:szCs w:val="20"/>
          <w:color w:val="auto"/>
        </w:rPr>
      </w:pPr>
      <w:r>
        <w:rPr>
          <w:rFonts w:ascii="Arial" w:cs="Arial" w:eastAsia="Arial" w:hAnsi="Arial"/>
          <w:sz w:val="13"/>
          <w:szCs w:val="13"/>
          <w:color w:val="auto"/>
        </w:rPr>
        <w:t>PRS provides for the participant to purchase restricted shares of the Company stock at 50% of the fair market value on the grant date. Holders of PRS have, in most instances, all of the rights of stockholders, except that they may not sell, assign, pledge or otherwise encumber such shares; RSU’s provide no such rights. PRS vest on the third anniversary of the grant date, are subject to employment and other specified conditions, and pay dividends if and when paid by the Company. In 2006, the Company issued 217,905 shares of PRS for an aggregate purchase price of $4 million.</w:t>
      </w:r>
    </w:p>
    <w:p>
      <w:pPr>
        <w:spacing w:after="0" w:line="60" w:lineRule="exact"/>
        <w:rPr>
          <w:sz w:val="20"/>
          <w:szCs w:val="20"/>
          <w:color w:val="auto"/>
        </w:rPr>
      </w:pPr>
    </w:p>
    <w:p>
      <w:pPr>
        <w:ind w:right="4359" w:firstLine="263"/>
        <w:spacing w:after="0" w:line="266" w:lineRule="auto"/>
        <w:rPr>
          <w:sz w:val="20"/>
          <w:szCs w:val="20"/>
          <w:color w:val="auto"/>
        </w:rPr>
      </w:pPr>
      <w:r>
        <w:rPr>
          <w:rFonts w:ascii="Arial" w:cs="Arial" w:eastAsia="Arial" w:hAnsi="Arial"/>
          <w:sz w:val="13"/>
          <w:szCs w:val="13"/>
          <w:color w:val="auto"/>
        </w:rPr>
        <w:t>Stock options generally become exercisable on the first anniversary of the grant date and have a maximum term of ten years. SSAR’s become exercisable on the third anniversary of the grant date and have a maximum term of seven years.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Restricted stock and RSU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773805"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84"/>
              </w:rPr>
              <w:t>Weighted</w:t>
            </w:r>
          </w:p>
        </w:tc>
      </w:tr>
      <w:tr>
        <w:trPr>
          <w:trHeight w:val="129"/>
        </w:trPr>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w w:val="94"/>
              </w:rPr>
              <w:t>Average Grant</w:t>
            </w:r>
          </w:p>
        </w:tc>
      </w:tr>
      <w:tr>
        <w:trPr>
          <w:trHeight w:val="129"/>
        </w:trPr>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7"/>
              </w:rPr>
              <w:t>Number of</w:t>
            </w:r>
          </w:p>
        </w:tc>
        <w:tc>
          <w:tcPr>
            <w:tcW w:w="320" w:type="dxa"/>
            <w:vAlign w:val="bottom"/>
          </w:tcPr>
          <w:p>
            <w:pPr>
              <w:spacing w:after="0"/>
              <w:rPr>
                <w:sz w:val="11"/>
                <w:szCs w:val="11"/>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w w:val="93"/>
              </w:rPr>
              <w:t>Date Fair Value</w:t>
            </w:r>
          </w:p>
        </w:tc>
      </w:tr>
      <w:tr>
        <w:trPr>
          <w:trHeight w:val="136"/>
        </w:trPr>
        <w:tc>
          <w:tcPr>
            <w:tcW w:w="4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(SHARE AMOUNTS IN THOUSANDS)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w w:val="76"/>
              </w:rPr>
              <w:t>Shares</w:t>
            </w:r>
          </w:p>
        </w:tc>
        <w:tc>
          <w:tcPr>
            <w:tcW w:w="320" w:type="dxa"/>
            <w:vAlign w:val="bottom"/>
          </w:tcPr>
          <w:p>
            <w:pPr>
              <w:spacing w:after="0"/>
              <w:rPr>
                <w:sz w:val="11"/>
                <w:szCs w:val="11"/>
                <w:color w:val="auto"/>
              </w:rPr>
            </w:pPr>
          </w:p>
        </w:tc>
        <w:tc>
          <w:tcPr>
            <w:tcW w:w="84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Per Share</w:t>
            </w:r>
          </w:p>
        </w:tc>
      </w:tr>
      <w:tr>
        <w:trPr>
          <w:trHeight w:val="158"/>
        </w:trPr>
        <w:tc>
          <w:tcPr>
            <w:tcW w:w="40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Balance at December 31, 2005</w:t>
            </w: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3"/>
                <w:szCs w:val="13"/>
                <w:color w:val="auto"/>
                <w:w w:val="92"/>
              </w:rPr>
              <w:t>38.84</w:t>
            </w:r>
          </w:p>
        </w:tc>
      </w:tr>
      <w:tr>
        <w:trPr>
          <w:trHeight w:val="167"/>
        </w:trPr>
        <w:tc>
          <w:tcPr>
            <w:tcW w:w="4060" w:type="dxa"/>
            <w:vAlign w:val="bottom"/>
          </w:tcPr>
          <w:p>
            <w:pPr>
              <w:ind w:left="140"/>
              <w:spacing w:after="0"/>
              <w:rPr>
                <w:sz w:val="20"/>
                <w:szCs w:val="20"/>
                <w:color w:val="auto"/>
              </w:rPr>
            </w:pPr>
            <w:r>
              <w:rPr>
                <w:rFonts w:ascii="Arial" w:cs="Arial" w:eastAsia="Arial" w:hAnsi="Arial"/>
                <w:sz w:val="13"/>
                <w:szCs w:val="13"/>
                <w:color w:val="auto"/>
                <w:highlight w:val="white"/>
              </w:rPr>
              <w:t>Granted</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36.37</w:t>
            </w:r>
          </w:p>
        </w:tc>
      </w:tr>
      <w:tr>
        <w:trPr>
          <w:trHeight w:val="169"/>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Vested</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34.56</w:t>
            </w:r>
          </w:p>
        </w:tc>
      </w:tr>
      <w:tr>
        <w:trPr>
          <w:trHeight w:val="158"/>
        </w:trPr>
        <w:tc>
          <w:tcPr>
            <w:tcW w:w="4060" w:type="dxa"/>
            <w:vAlign w:val="bottom"/>
          </w:tcPr>
          <w:p>
            <w:pPr>
              <w:ind w:left="140"/>
              <w:spacing w:after="0"/>
              <w:rPr>
                <w:sz w:val="20"/>
                <w:szCs w:val="20"/>
                <w:color w:val="auto"/>
              </w:rPr>
            </w:pPr>
            <w:r>
              <w:rPr>
                <w:rFonts w:ascii="Arial" w:cs="Arial" w:eastAsia="Arial" w:hAnsi="Arial"/>
                <w:sz w:val="13"/>
                <w:szCs w:val="13"/>
                <w:color w:val="auto"/>
                <w:highlight w:val="white"/>
              </w:rPr>
              <w:t>Cancelled</w:t>
            </w:r>
          </w:p>
        </w:tc>
        <w:tc>
          <w:tcPr>
            <w:tcW w:w="740" w:type="dxa"/>
            <w:vAlign w:val="bottom"/>
            <w:gridSpan w:val="4"/>
          </w:tcPr>
          <w:p>
            <w:pPr>
              <w:jc w:val="right"/>
              <w:ind w:right="80"/>
              <w:spacing w:after="0"/>
              <w:rPr>
                <w:sz w:val="20"/>
                <w:szCs w:val="20"/>
                <w:color w:val="auto"/>
              </w:rPr>
            </w:pPr>
            <w:r>
              <w:rPr>
                <w:rFonts w:ascii="Arial" w:cs="Arial" w:eastAsia="Arial" w:hAnsi="Arial"/>
                <w:sz w:val="13"/>
                <w:szCs w:val="13"/>
                <w:color w:val="auto"/>
              </w:rPr>
              <w:t>(139)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40.90</w:t>
            </w:r>
          </w:p>
        </w:tc>
      </w:tr>
      <w:tr>
        <w:trPr>
          <w:trHeight w:val="158"/>
        </w:trPr>
        <w:tc>
          <w:tcPr>
            <w:tcW w:w="406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Balance at December 31, 2006</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5"/>
              </w:rPr>
              <w:t>1,346</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2"/>
              </w:rPr>
              <w:t>37.22</w:t>
            </w:r>
          </w:p>
        </w:tc>
        <w:tc>
          <w:tcPr>
            <w:tcW w:w="22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-721360</wp:posOffset>
            </wp:positionV>
            <wp:extent cx="3779520" cy="7848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779520" cy="784860"/>
                    </a:xfrm>
                    <a:prstGeom prst="rect">
                      <a:avLst/>
                    </a:prstGeom>
                    <a:noFill/>
                  </pic:spPr>
                </pic:pic>
              </a:graphicData>
            </a:graphic>
          </wp:anchor>
        </w:drawing>
      </w:r>
    </w:p>
    <w:p>
      <w:pPr>
        <w:spacing w:after="0" w:line="159" w:lineRule="exact"/>
        <w:rPr>
          <w:sz w:val="20"/>
          <w:szCs w:val="20"/>
          <w:color w:val="auto"/>
        </w:rPr>
      </w:pPr>
    </w:p>
    <w:p>
      <w:pPr>
        <w:ind w:right="4399" w:firstLine="263"/>
        <w:spacing w:after="0" w:line="287" w:lineRule="auto"/>
        <w:rPr>
          <w:sz w:val="20"/>
          <w:szCs w:val="20"/>
          <w:color w:val="auto"/>
        </w:rPr>
      </w:pPr>
      <w:r>
        <w:rPr>
          <w:rFonts w:ascii="Arial" w:cs="Arial" w:eastAsia="Arial" w:hAnsi="Arial"/>
          <w:sz w:val="12"/>
          <w:szCs w:val="12"/>
          <w:color w:val="auto"/>
        </w:rPr>
        <w:t>The fair value of RSU’s which vested during 2006 was $1.6 million. At December 31, 2006, there was $5 million of unrecognized compensation cost related to non-vested stock option and SSAR awards granted; such cost is expected to be recognized over a weighted average period of 2 years. At December 31, 2006, there was $17 million of total unrecognized compensation cost related to non-vested restricted stock and RSU awards granted; such cost is expected to be recognized over a weighted average period of 1.5 years.</w:t>
      </w:r>
    </w:p>
    <w:p>
      <w:pPr>
        <w:sectPr>
          <w:pgSz w:w="11900" w:h="16838" w:orient="portrait"/>
          <w:cols w:equalWidth="0" w:num="1">
            <w:col w:w="10239"/>
          </w:cols>
          <w:pgMar w:left="220" w:top="210" w:right="1440" w:bottom="0" w:gutter="0" w:footer="0" w:header="0"/>
        </w:sectPr>
      </w:pPr>
    </w:p>
    <w:bookmarkStart w:id="29" w:name="page30"/>
    <w:bookmarkEnd w:id="29"/>
    <w:p>
      <w:pPr>
        <w:ind w:left="260"/>
        <w:spacing w:after="0"/>
        <w:rPr>
          <w:sz w:val="20"/>
          <w:szCs w:val="20"/>
          <w:color w:val="auto"/>
        </w:rPr>
      </w:pPr>
      <w:r>
        <w:rPr>
          <w:rFonts w:ascii="Arial" w:cs="Arial" w:eastAsia="Arial" w:hAnsi="Arial"/>
          <w:sz w:val="13"/>
          <w:szCs w:val="13"/>
          <w:color w:val="auto"/>
        </w:rPr>
        <w:t>Stock option and SSAR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767455"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767455"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84"/>
              </w:rPr>
              <w:t>Weighted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29"/>
        </w:trPr>
        <w:tc>
          <w:tcPr>
            <w:tcW w:w="2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2"/>
              </w:rPr>
              <w:t>Average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29"/>
        </w:trPr>
        <w:tc>
          <w:tcPr>
            <w:tcW w:w="2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1"/>
              </w:rPr>
              <w:t>Shares Subject to</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3"/>
              </w:rPr>
              <w:t>Exercise</w:t>
            </w:r>
          </w:p>
        </w:tc>
        <w:tc>
          <w:tcPr>
            <w:tcW w:w="220" w:type="dxa"/>
            <w:vAlign w:val="bottom"/>
          </w:tcPr>
          <w:p>
            <w:pPr>
              <w:spacing w:after="0"/>
              <w:rPr>
                <w:sz w:val="11"/>
                <w:szCs w:val="11"/>
                <w:color w:val="auto"/>
              </w:rPr>
            </w:pPr>
          </w:p>
        </w:tc>
        <w:tc>
          <w:tcPr>
            <w:tcW w:w="8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5"/>
              </w:rPr>
              <w:t>Options/SSAR’s</w:t>
            </w:r>
          </w:p>
        </w:tc>
      </w:tr>
      <w:tr>
        <w:trPr>
          <w:trHeight w:val="136"/>
        </w:trPr>
        <w:tc>
          <w:tcPr>
            <w:tcW w:w="2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(SHARE AMOUNTS IN THOUSANDS)</w:t>
            </w: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7"/>
              </w:rPr>
              <w:t>Options/SSAR’s</w:t>
            </w:r>
          </w:p>
        </w:tc>
        <w:tc>
          <w:tcPr>
            <w:tcW w:w="2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9"/>
              </w:rPr>
              <w:t>Price</w:t>
            </w:r>
          </w:p>
        </w:tc>
        <w:tc>
          <w:tcPr>
            <w:tcW w:w="220" w:type="dxa"/>
            <w:vAlign w:val="bottom"/>
          </w:tcPr>
          <w:p>
            <w:pPr>
              <w:spacing w:after="0"/>
              <w:rPr>
                <w:sz w:val="11"/>
                <w:szCs w:val="11"/>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4"/>
              </w:rPr>
              <w:t>Exercisable</w:t>
            </w:r>
          </w:p>
        </w:tc>
      </w:tr>
      <w:tr>
        <w:trPr>
          <w:trHeight w:val="158"/>
        </w:trPr>
        <w:tc>
          <w:tcPr>
            <w:tcW w:w="23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Balance at December 31, 2005</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6,651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32.54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3"/>
                <w:szCs w:val="13"/>
                <w:color w:val="auto"/>
                <w:w w:val="92"/>
              </w:rPr>
              <w:t>5,566</w:t>
            </w:r>
          </w:p>
        </w:tc>
      </w:tr>
      <w:tr>
        <w:trPr>
          <w:trHeight w:val="167"/>
        </w:trPr>
        <w:tc>
          <w:tcPr>
            <w:tcW w:w="2380" w:type="dxa"/>
            <w:vAlign w:val="bottom"/>
          </w:tcPr>
          <w:p>
            <w:pPr>
              <w:ind w:left="140"/>
              <w:spacing w:after="0"/>
              <w:rPr>
                <w:sz w:val="20"/>
                <w:szCs w:val="20"/>
                <w:color w:val="auto"/>
              </w:rPr>
            </w:pPr>
            <w:r>
              <w:rPr>
                <w:rFonts w:ascii="Arial" w:cs="Arial" w:eastAsia="Arial" w:hAnsi="Arial"/>
                <w:sz w:val="13"/>
                <w:szCs w:val="13"/>
                <w:color w:val="auto"/>
                <w:highlight w:val="white"/>
              </w:rPr>
              <w:t>Granted</w:t>
            </w:r>
          </w:p>
        </w:tc>
        <w:tc>
          <w:tcPr>
            <w:tcW w:w="1600" w:type="dxa"/>
            <w:vAlign w:val="bottom"/>
            <w:gridSpan w:val="4"/>
          </w:tcPr>
          <w:p>
            <w:pPr>
              <w:jc w:val="right"/>
              <w:spacing w:after="0"/>
              <w:rPr>
                <w:sz w:val="20"/>
                <w:szCs w:val="20"/>
                <w:color w:val="auto"/>
              </w:rPr>
            </w:pPr>
            <w:r>
              <w:rPr>
                <w:rFonts w:ascii="Arial" w:cs="Arial" w:eastAsia="Arial" w:hAnsi="Arial"/>
                <w:sz w:val="13"/>
                <w:szCs w:val="13"/>
                <w:color w:val="auto"/>
              </w:rPr>
              <w:t>564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35.50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9"/>
        </w:trPr>
        <w:tc>
          <w:tcPr>
            <w:tcW w:w="238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Exercised</w:t>
            </w:r>
          </w:p>
        </w:tc>
        <w:tc>
          <w:tcPr>
            <w:tcW w:w="182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(3,336)</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58"/>
        </w:trPr>
        <w:tc>
          <w:tcPr>
            <w:tcW w:w="2380" w:type="dxa"/>
            <w:vAlign w:val="bottom"/>
          </w:tcPr>
          <w:p>
            <w:pPr>
              <w:ind w:left="140"/>
              <w:spacing w:after="0"/>
              <w:rPr>
                <w:sz w:val="20"/>
                <w:szCs w:val="20"/>
                <w:color w:val="auto"/>
              </w:rPr>
            </w:pPr>
            <w:r>
              <w:rPr>
                <w:rFonts w:ascii="Arial" w:cs="Arial" w:eastAsia="Arial" w:hAnsi="Arial"/>
                <w:sz w:val="13"/>
                <w:szCs w:val="13"/>
                <w:color w:val="auto"/>
                <w:highlight w:val="white"/>
              </w:rPr>
              <w:t>Cancelled</w:t>
            </w:r>
          </w:p>
        </w:tc>
        <w:tc>
          <w:tcPr>
            <w:tcW w:w="1820" w:type="dxa"/>
            <w:vAlign w:val="bottom"/>
            <w:gridSpan w:val="5"/>
          </w:tcPr>
          <w:p>
            <w:pPr>
              <w:jc w:val="right"/>
              <w:ind w:right="180"/>
              <w:spacing w:after="0"/>
              <w:rPr>
                <w:sz w:val="20"/>
                <w:szCs w:val="20"/>
                <w:color w:val="auto"/>
              </w:rPr>
            </w:pPr>
            <w:r>
              <w:rPr>
                <w:rFonts w:ascii="Arial" w:cs="Arial" w:eastAsia="Arial" w:hAnsi="Arial"/>
                <w:sz w:val="13"/>
                <w:szCs w:val="13"/>
                <w:color w:val="auto"/>
              </w:rPr>
              <w:t>(246)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39.38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8"/>
        </w:trPr>
        <w:tc>
          <w:tcPr>
            <w:tcW w:w="23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Balance at December 31, 2006</w:t>
            </w: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3,633</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33.56</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2,851</w:t>
            </w:r>
          </w:p>
        </w:tc>
        <w:tc>
          <w:tcPr>
            <w:tcW w:w="260" w:type="dxa"/>
            <w:vAlign w:val="bottom"/>
            <w:tcBorders>
              <w:bottom w:val="single" w:sz="8" w:color="CCEEFF"/>
            </w:tcBorders>
            <w:shd w:val="clear" w:color="auto" w:fill="CCEEFF"/>
          </w:tcPr>
          <w:p>
            <w:pPr>
              <w:spacing w:after="0"/>
              <w:rPr>
                <w:sz w:val="13"/>
                <w:szCs w:val="13"/>
                <w:color w:val="auto"/>
              </w:rPr>
            </w:pPr>
          </w:p>
        </w:tc>
      </w:tr>
      <w:tr>
        <w:trPr>
          <w:trHeight w:val="394"/>
        </w:trPr>
        <w:tc>
          <w:tcPr>
            <w:tcW w:w="2380" w:type="dxa"/>
            <w:vAlign w:val="bottom"/>
          </w:tcPr>
          <w:p>
            <w:pPr>
              <w:spacing w:after="0"/>
              <w:rPr>
                <w:sz w:val="24"/>
                <w:szCs w:val="2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-971550</wp:posOffset>
            </wp:positionV>
            <wp:extent cx="4809490" cy="12496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809490" cy="124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4279" w:firstLine="263"/>
        <w:spacing w:after="0" w:line="266" w:lineRule="auto"/>
        <w:rPr>
          <w:sz w:val="20"/>
          <w:szCs w:val="20"/>
          <w:color w:val="auto"/>
        </w:rPr>
      </w:pPr>
      <w:r>
        <w:rPr>
          <w:rFonts w:ascii="Arial" w:cs="Arial" w:eastAsia="Arial" w:hAnsi="Arial"/>
          <w:sz w:val="13"/>
          <w:szCs w:val="13"/>
          <w:color w:val="auto"/>
        </w:rPr>
        <w:t>The weighted average exercise prices of stock options and SSAR’s exercisable at December 31, 2006, 2005 and 2004 were $32.75, $32.21 and $32.85, respectively. The following table summarizes information concerning currently outstanding and exercisable options and SSAR’s: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350" cy="628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3874135"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874135" cy="635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500" w:type="dxa"/>
            <w:vAlign w:val="bottom"/>
          </w:tcPr>
          <w:p>
            <w:pPr>
              <w:spacing w:after="0"/>
              <w:rPr>
                <w:sz w:val="20"/>
                <w:szCs w:val="20"/>
                <w:color w:val="auto"/>
              </w:rPr>
            </w:pPr>
            <w:r>
              <w:rPr>
                <w:rFonts w:ascii="Arial" w:cs="Arial" w:eastAsia="Arial" w:hAnsi="Arial"/>
                <w:sz w:val="11"/>
                <w:szCs w:val="11"/>
                <w:b w:val="1"/>
                <w:bCs w:val="1"/>
                <w:color w:val="auto"/>
              </w:rPr>
              <w:t>Range of Exercise Prices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3500" w:type="dxa"/>
            <w:vAlign w:val="bottom"/>
          </w:tcPr>
          <w:p>
            <w:pPr>
              <w:spacing w:after="0"/>
              <w:rPr>
                <w:sz w:val="20"/>
                <w:szCs w:val="20"/>
                <w:color w:val="auto"/>
              </w:rPr>
            </w:pPr>
            <w:r>
              <w:rPr>
                <w:rFonts w:ascii="Arial" w:cs="Arial" w:eastAsia="Arial" w:hAnsi="Arial"/>
                <w:sz w:val="11"/>
                <w:szCs w:val="11"/>
                <w:b w:val="1"/>
                <w:bCs w:val="1"/>
                <w:color w:val="auto"/>
              </w:rPr>
              <w:t>(SHARE AMOUNTS IN THOUSANDS)</w:t>
            </w:r>
          </w:p>
        </w:tc>
        <w:tc>
          <w:tcPr>
            <w:tcW w:w="620" w:type="dxa"/>
            <w:vAlign w:val="bottom"/>
            <w:gridSpan w:val="3"/>
          </w:tcPr>
          <w:p>
            <w:pPr>
              <w:jc w:val="right"/>
              <w:spacing w:after="0"/>
              <w:rPr>
                <w:sz w:val="20"/>
                <w:szCs w:val="20"/>
                <w:color w:val="auto"/>
              </w:rPr>
            </w:pPr>
            <w:r>
              <w:rPr>
                <w:rFonts w:ascii="Arial" w:cs="Arial" w:eastAsia="Arial" w:hAnsi="Arial"/>
                <w:sz w:val="11"/>
                <w:szCs w:val="11"/>
                <w:b w:val="1"/>
                <w:bCs w:val="1"/>
                <w:color w:val="auto"/>
              </w:rPr>
              <w:t>$15-$25</w:t>
            </w:r>
          </w:p>
        </w:tc>
        <w:tc>
          <w:tcPr>
            <w:tcW w:w="660" w:type="dxa"/>
            <w:vAlign w:val="bottom"/>
            <w:gridSpan w:val="3"/>
          </w:tcPr>
          <w:p>
            <w:pPr>
              <w:jc w:val="right"/>
              <w:spacing w:after="0"/>
              <w:rPr>
                <w:sz w:val="20"/>
                <w:szCs w:val="20"/>
                <w:color w:val="auto"/>
              </w:rPr>
            </w:pPr>
            <w:r>
              <w:rPr>
                <w:rFonts w:ascii="Arial" w:cs="Arial" w:eastAsia="Arial" w:hAnsi="Arial"/>
                <w:sz w:val="11"/>
                <w:szCs w:val="11"/>
                <w:b w:val="1"/>
                <w:bCs w:val="1"/>
                <w:color w:val="auto"/>
              </w:rPr>
              <w:t>$25-$30</w:t>
            </w:r>
          </w:p>
        </w:tc>
        <w:tc>
          <w:tcPr>
            <w:tcW w:w="22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$30-$35</w:t>
            </w:r>
          </w:p>
        </w:tc>
        <w:tc>
          <w:tcPr>
            <w:tcW w:w="22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$35-$50</w:t>
            </w:r>
          </w:p>
        </w:tc>
        <w:tc>
          <w:tcPr>
            <w:tcW w:w="20" w:type="dxa"/>
            <w:vAlign w:val="bottom"/>
          </w:tcPr>
          <w:p>
            <w:pPr>
              <w:spacing w:after="0"/>
              <w:rPr>
                <w:sz w:val="11"/>
                <w:szCs w:val="11"/>
                <w:color w:val="auto"/>
              </w:rPr>
            </w:pPr>
          </w:p>
        </w:tc>
      </w:tr>
      <w:tr>
        <w:trPr>
          <w:trHeight w:val="158"/>
        </w:trPr>
        <w:tc>
          <w:tcPr>
            <w:tcW w:w="3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Number outstanding</w:t>
            </w: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1,088</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1,472</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1,061</w:t>
            </w:r>
          </w:p>
        </w:tc>
        <w:tc>
          <w:tcPr>
            <w:tcW w:w="20" w:type="dxa"/>
            <w:vAlign w:val="bottom"/>
          </w:tcPr>
          <w:p>
            <w:pPr>
              <w:spacing w:after="0"/>
              <w:rPr>
                <w:sz w:val="13"/>
                <w:szCs w:val="13"/>
                <w:color w:val="auto"/>
              </w:rPr>
            </w:pPr>
          </w:p>
        </w:tc>
      </w:tr>
      <w:tr>
        <w:trPr>
          <w:trHeight w:val="167"/>
        </w:trPr>
        <w:tc>
          <w:tcPr>
            <w:tcW w:w="3500" w:type="dxa"/>
            <w:vAlign w:val="bottom"/>
          </w:tcPr>
          <w:p>
            <w:pPr>
              <w:spacing w:after="0"/>
              <w:rPr>
                <w:sz w:val="20"/>
                <w:szCs w:val="20"/>
                <w:color w:val="auto"/>
              </w:rPr>
            </w:pPr>
            <w:r>
              <w:rPr>
                <w:rFonts w:ascii="Arial" w:cs="Arial" w:eastAsia="Arial" w:hAnsi="Arial"/>
                <w:sz w:val="13"/>
                <w:szCs w:val="13"/>
                <w:color w:val="auto"/>
                <w:highlight w:val="white"/>
              </w:rPr>
              <w:t>Weighted average remaining contractual life, in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4"/>
                <w:szCs w:val="14"/>
                <w:color w:val="auto"/>
              </w:rPr>
            </w:pPr>
          </w:p>
        </w:tc>
      </w:tr>
      <w:tr>
        <w:trPr>
          <w:trHeight w:val="155"/>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Weighted average exercise price</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17.94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29.18</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32.95</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39.07</w:t>
            </w:r>
          </w:p>
        </w:tc>
        <w:tc>
          <w:tcPr>
            <w:tcW w:w="20" w:type="dxa"/>
            <w:vAlign w:val="bottom"/>
          </w:tcPr>
          <w:p>
            <w:pPr>
              <w:spacing w:after="0"/>
              <w:rPr>
                <w:sz w:val="13"/>
                <w:szCs w:val="13"/>
                <w:color w:val="auto"/>
              </w:rPr>
            </w:pPr>
          </w:p>
        </w:tc>
      </w:tr>
      <w:tr>
        <w:trPr>
          <w:trHeight w:val="160"/>
        </w:trPr>
        <w:tc>
          <w:tcPr>
            <w:tcW w:w="3500" w:type="dxa"/>
            <w:vAlign w:val="bottom"/>
          </w:tcPr>
          <w:p>
            <w:pPr>
              <w:spacing w:after="0"/>
              <w:rPr>
                <w:sz w:val="20"/>
                <w:szCs w:val="20"/>
                <w:color w:val="auto"/>
              </w:rPr>
            </w:pPr>
            <w:r>
              <w:rPr>
                <w:rFonts w:ascii="Arial" w:cs="Arial" w:eastAsia="Arial" w:hAnsi="Arial"/>
                <w:sz w:val="13"/>
                <w:szCs w:val="13"/>
                <w:color w:val="auto"/>
                <w:highlight w:val="white"/>
              </w:rPr>
              <w:t>Number exercisable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1,088</w:t>
            </w:r>
          </w:p>
        </w:tc>
        <w:tc>
          <w:tcPr>
            <w:tcW w:w="1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1,407</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344</w:t>
            </w:r>
          </w:p>
        </w:tc>
        <w:tc>
          <w:tcPr>
            <w:tcW w:w="20" w:type="dxa"/>
            <w:vAlign w:val="bottom"/>
          </w:tcPr>
          <w:p>
            <w:pPr>
              <w:spacing w:after="0"/>
              <w:rPr>
                <w:sz w:val="13"/>
                <w:szCs w:val="13"/>
                <w:color w:val="auto"/>
              </w:rPr>
            </w:pPr>
          </w:p>
        </w:tc>
      </w:tr>
      <w:tr>
        <w:trPr>
          <w:trHeight w:val="171"/>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Weighted average exercisable price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29.18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32.86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44.11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3880485" cy="69088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880485" cy="690880"/>
                    </a:xfrm>
                    <a:prstGeom prst="rect">
                      <a:avLst/>
                    </a:prstGeom>
                    <a:noFill/>
                  </pic:spPr>
                </pic:pic>
              </a:graphicData>
            </a:graphic>
          </wp:anchor>
        </w:drawing>
      </w:r>
    </w:p>
    <w:p>
      <w:pPr>
        <w:spacing w:after="0" w:line="159" w:lineRule="exact"/>
        <w:rPr>
          <w:sz w:val="20"/>
          <w:szCs w:val="20"/>
          <w:color w:val="auto"/>
        </w:rPr>
      </w:pPr>
    </w:p>
    <w:p>
      <w:pPr>
        <w:ind w:right="4279" w:firstLine="263"/>
        <w:spacing w:after="0" w:line="260" w:lineRule="auto"/>
        <w:rPr>
          <w:sz w:val="20"/>
          <w:szCs w:val="20"/>
          <w:color w:val="auto"/>
        </w:rPr>
      </w:pPr>
      <w:r>
        <w:rPr>
          <w:rFonts w:ascii="Arial" w:cs="Arial" w:eastAsia="Arial" w:hAnsi="Arial"/>
          <w:sz w:val="13"/>
          <w:szCs w:val="13"/>
          <w:color w:val="auto"/>
        </w:rPr>
        <w:t>The weighted average grant date fair value of stock options and SSAR’s granted during 2006, 2005 and 2004 was $7.66, $10.57 and $9.42, respectively. The intrinsic value of stock options exercised during 2006, 2005 and 2004 totaled $35 million, $7 million and $27 million, respectively. The aggregate intrinsic values of stock options and SSAR’s outstanding and exercisable at December 31, 2006 were $57 million and $47 million, respectively.</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Stock option and SSAR activity for non-vested awards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792220"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792220"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Weighted</w:t>
            </w:r>
          </w:p>
        </w:tc>
      </w:tr>
      <w:tr>
        <w:trPr>
          <w:trHeight w:val="129"/>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5"/>
              </w:rPr>
              <w:t>Options/SSAR’s</w:t>
            </w:r>
          </w:p>
        </w:tc>
        <w:tc>
          <w:tcPr>
            <w:tcW w:w="200" w:type="dxa"/>
            <w:vAlign w:val="bottom"/>
          </w:tcPr>
          <w:p>
            <w:pPr>
              <w:spacing w:after="0"/>
              <w:rPr>
                <w:sz w:val="11"/>
                <w:szCs w:val="11"/>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w w:val="89"/>
              </w:rPr>
              <w:t>Average Exercise</w:t>
            </w:r>
          </w:p>
        </w:tc>
      </w:tr>
      <w:tr>
        <w:trPr>
          <w:trHeight w:val="136"/>
        </w:trPr>
        <w:tc>
          <w:tcPr>
            <w:tcW w:w="3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(SHARE AMOUNTS IN THOUSANDS)</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81"/>
              </w:rPr>
              <w:t>Shares</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w w:val="81"/>
              </w:rPr>
              <w:t>Price</w:t>
            </w:r>
          </w:p>
        </w:tc>
      </w:tr>
      <w:tr>
        <w:trPr>
          <w:trHeight w:val="158"/>
        </w:trPr>
        <w:tc>
          <w:tcPr>
            <w:tcW w:w="39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Non-vested at December 31, 2005</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1,074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w w:val="98"/>
              </w:rPr>
              <w:t>33.05</w:t>
            </w:r>
          </w:p>
        </w:tc>
      </w:tr>
      <w:tr>
        <w:trPr>
          <w:trHeight w:val="167"/>
        </w:trPr>
        <w:tc>
          <w:tcPr>
            <w:tcW w:w="3960" w:type="dxa"/>
            <w:vAlign w:val="bottom"/>
          </w:tcPr>
          <w:p>
            <w:pPr>
              <w:ind w:left="140"/>
              <w:spacing w:after="0"/>
              <w:rPr>
                <w:sz w:val="20"/>
                <w:szCs w:val="20"/>
                <w:color w:val="auto"/>
              </w:rPr>
            </w:pPr>
            <w:r>
              <w:rPr>
                <w:rFonts w:ascii="Arial" w:cs="Arial" w:eastAsia="Arial" w:hAnsi="Arial"/>
                <w:sz w:val="13"/>
                <w:szCs w:val="13"/>
                <w:color w:val="auto"/>
                <w:highlight w:val="white"/>
              </w:rPr>
              <w:t>Granted</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564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396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Vested</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(752)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58"/>
        </w:trPr>
        <w:tc>
          <w:tcPr>
            <w:tcW w:w="3960" w:type="dxa"/>
            <w:vAlign w:val="bottom"/>
          </w:tcPr>
          <w:p>
            <w:pPr>
              <w:ind w:left="140"/>
              <w:spacing w:after="0"/>
              <w:rPr>
                <w:sz w:val="20"/>
                <w:szCs w:val="20"/>
                <w:color w:val="auto"/>
              </w:rPr>
            </w:pPr>
            <w:r>
              <w:rPr>
                <w:rFonts w:ascii="Arial" w:cs="Arial" w:eastAsia="Arial" w:hAnsi="Arial"/>
                <w:sz w:val="13"/>
                <w:szCs w:val="13"/>
                <w:color w:val="auto"/>
                <w:highlight w:val="white"/>
              </w:rPr>
              <w:t>Cancelled</w:t>
            </w:r>
          </w:p>
        </w:tc>
        <w:tc>
          <w:tcPr>
            <w:tcW w:w="920" w:type="dxa"/>
            <w:vAlign w:val="bottom"/>
            <w:gridSpan w:val="4"/>
          </w:tcPr>
          <w:p>
            <w:pPr>
              <w:jc w:val="right"/>
              <w:ind w:right="180"/>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8"/>
        </w:trPr>
        <w:tc>
          <w:tcPr>
            <w:tcW w:w="396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Non-vested at December 31, 2006</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782</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ind w:left="20"/>
              <w:spacing w:after="0" w:line="148"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36.50</w:t>
            </w:r>
          </w:p>
        </w:tc>
        <w:tc>
          <w:tcPr>
            <w:tcW w:w="24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-677545</wp:posOffset>
            </wp:positionV>
            <wp:extent cx="3792220" cy="7410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792220" cy="741045"/>
                    </a:xfrm>
                    <a:prstGeom prst="rect">
                      <a:avLst/>
                    </a:prstGeom>
                    <a:noFill/>
                  </pic:spPr>
                </pic:pic>
              </a:graphicData>
            </a:graphic>
          </wp:anchor>
        </w:drawing>
      </w:r>
    </w:p>
    <w:p>
      <w:pPr>
        <w:spacing w:after="0" w:line="159" w:lineRule="exact"/>
        <w:rPr>
          <w:sz w:val="20"/>
          <w:szCs w:val="20"/>
          <w:color w:val="auto"/>
        </w:rPr>
      </w:pPr>
    </w:p>
    <w:p>
      <w:pPr>
        <w:ind w:right="4379" w:firstLine="263"/>
        <w:spacing w:after="0" w:line="279" w:lineRule="auto"/>
        <w:rPr>
          <w:sz w:val="20"/>
          <w:szCs w:val="20"/>
          <w:color w:val="auto"/>
        </w:rPr>
      </w:pPr>
      <w:r>
        <w:rPr>
          <w:rFonts w:ascii="Arial" w:cs="Arial" w:eastAsia="Arial" w:hAnsi="Arial"/>
          <w:sz w:val="13"/>
          <w:szCs w:val="13"/>
          <w:color w:val="auto"/>
        </w:rPr>
        <w:t>The fair value of outstanding vested stock options for the years ended December 31, 2006, 2005 and 2004 was $26 million, $49 million and $41 million, respectively.</w:t>
      </w:r>
    </w:p>
    <w:p>
      <w:pPr>
        <w:spacing w:after="0" w:line="48" w:lineRule="exact"/>
        <w:rPr>
          <w:sz w:val="20"/>
          <w:szCs w:val="20"/>
          <w:color w:val="auto"/>
        </w:rPr>
      </w:pPr>
    </w:p>
    <w:p>
      <w:pPr>
        <w:ind w:right="4239" w:firstLine="263"/>
        <w:spacing w:after="0" w:line="266" w:lineRule="auto"/>
        <w:rPr>
          <w:sz w:val="20"/>
          <w:szCs w:val="20"/>
          <w:color w:val="auto"/>
        </w:rPr>
      </w:pPr>
      <w:r>
        <w:rPr>
          <w:rFonts w:ascii="Arial" w:cs="Arial" w:eastAsia="Arial" w:hAnsi="Arial"/>
          <w:sz w:val="13"/>
          <w:szCs w:val="13"/>
          <w:color w:val="auto"/>
        </w:rPr>
        <w:t>Prior to 2006, the Company applied the recognition and measurement principles of APB 25 and provided the pro-forma disclosures required by FAS 123. Under APB 25, no compensation expense for employee or director stock options was reflected in net earnings.</w:t>
      </w:r>
    </w:p>
    <w:p>
      <w:pPr>
        <w:spacing w:after="0" w:line="57" w:lineRule="exact"/>
        <w:rPr>
          <w:sz w:val="20"/>
          <w:szCs w:val="20"/>
          <w:color w:val="auto"/>
        </w:rPr>
      </w:pPr>
    </w:p>
    <w:p>
      <w:pPr>
        <w:ind w:right="4259" w:firstLine="263"/>
        <w:spacing w:after="0" w:line="306" w:lineRule="auto"/>
        <w:rPr>
          <w:sz w:val="20"/>
          <w:szCs w:val="20"/>
          <w:color w:val="auto"/>
        </w:rPr>
      </w:pPr>
      <w:r>
        <w:rPr>
          <w:rFonts w:ascii="Arial" w:cs="Arial" w:eastAsia="Arial" w:hAnsi="Arial"/>
          <w:sz w:val="11"/>
          <w:szCs w:val="11"/>
          <w:color w:val="auto"/>
        </w:rPr>
        <w:t>The Company changed its valuation model used for estimating the fair value of options/SSAR’s granted on January 1, 2006, from a Black-Scholes option-pricing model to a Binomial lattice-pricing model. The Binomial model can accommodate a broader array of inputs, such as stock price volatility and interest rates. The Black-Scholes model does not allow for incorporation of changes in such variables. The Company utilizes historical information to estimate expected term and forfeitures within the valuation model. The expected term of an option is based on historical employee exercise behavior, vesting terms and a contractual life of primarily ten years for options and seven years for SSAR’s. The risk-free interest rate for periods within the expected term of the award is based on the U.S. Treasury yield curve in effect at the time of grant. Expected volatility is based on an average of implied and historical volatility of the price of the Company’s common stock over the calculated expected term. The Company anticipates paying cash dividends in the future and therefore uses an expected dividend yield in the valuation model; the cash dividend in effect at the time of grant was employed in this calculation. Principal assumptions used in applying the Binomial model in 2006 and Black-Scholes model in 2005 and 2004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6350" cy="6286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3761105"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761105" cy="635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2006</w:t>
            </w:r>
          </w:p>
        </w:tc>
        <w:tc>
          <w:tcPr>
            <w:tcW w:w="3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2005</w:t>
            </w:r>
          </w:p>
        </w:tc>
        <w:tc>
          <w:tcPr>
            <w:tcW w:w="34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1"/>
                <w:szCs w:val="11"/>
                <w:color w:val="auto"/>
              </w:rPr>
            </w:pPr>
          </w:p>
        </w:tc>
      </w:tr>
      <w:tr>
        <w:trPr>
          <w:trHeight w:val="138"/>
        </w:trPr>
        <w:tc>
          <w:tcPr>
            <w:tcW w:w="11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0"/>
                <w:shd w:val="clear" w:color="auto" w:fill="CCEEFF"/>
              </w:rPr>
              <w:t>Risk-free interest rate</w:t>
            </w:r>
          </w:p>
        </w:tc>
        <w:tc>
          <w:tcPr>
            <w:tcW w:w="3360" w:type="dxa"/>
            <w:vAlign w:val="bottom"/>
          </w:tcPr>
          <w:p>
            <w:pPr>
              <w:spacing w:after="0"/>
              <w:rPr>
                <w:sz w:val="12"/>
                <w:szCs w:val="12"/>
                <w:color w:val="auto"/>
              </w:rPr>
            </w:pPr>
          </w:p>
        </w:tc>
        <w:tc>
          <w:tcPr>
            <w:tcW w:w="58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5.0%</w:t>
            </w:r>
          </w:p>
        </w:tc>
        <w:tc>
          <w:tcPr>
            <w:tcW w:w="6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4.2%</w:t>
            </w:r>
          </w:p>
        </w:tc>
        <w:tc>
          <w:tcPr>
            <w:tcW w:w="3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76"/>
        </w:trPr>
        <w:tc>
          <w:tcPr>
            <w:tcW w:w="4500" w:type="dxa"/>
            <w:vAlign w:val="bottom"/>
            <w:gridSpan w:val="3"/>
          </w:tcPr>
          <w:p>
            <w:pPr>
              <w:spacing w:after="0"/>
              <w:rPr>
                <w:sz w:val="20"/>
                <w:szCs w:val="20"/>
                <w:color w:val="auto"/>
              </w:rPr>
            </w:pPr>
            <w:r>
              <w:rPr>
                <w:rFonts w:ascii="Arial" w:cs="Arial" w:eastAsia="Arial" w:hAnsi="Arial"/>
                <w:sz w:val="13"/>
                <w:szCs w:val="13"/>
                <w:color w:val="auto"/>
                <w:highlight w:val="white"/>
              </w:rPr>
              <w:t>Expected life, in years</w:t>
            </w:r>
          </w:p>
        </w:tc>
        <w:tc>
          <w:tcPr>
            <w:tcW w:w="580" w:type="dxa"/>
            <w:vAlign w:val="bottom"/>
            <w:gridSpan w:val="2"/>
          </w:tcPr>
          <w:p>
            <w:pPr>
              <w:jc w:val="right"/>
              <w:ind w:right="320"/>
              <w:spacing w:after="0"/>
              <w:rPr>
                <w:sz w:val="20"/>
                <w:szCs w:val="20"/>
                <w:color w:val="auto"/>
              </w:rPr>
            </w:pPr>
            <w:r>
              <w:rPr>
                <w:rFonts w:ascii="Arial" w:cs="Arial" w:eastAsia="Arial" w:hAnsi="Arial"/>
                <w:sz w:val="13"/>
                <w:szCs w:val="13"/>
                <w:color w:val="auto"/>
              </w:rPr>
              <w:t>5</w:t>
            </w: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160"/>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Expected volatility</w:t>
            </w:r>
          </w:p>
        </w:tc>
        <w:tc>
          <w:tcPr>
            <w:tcW w:w="3500" w:type="dxa"/>
            <w:vAlign w:val="bottom"/>
            <w:gridSpan w:val="2"/>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7"/>
              </w:rPr>
              <w:t>21.7%</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w w:val="97"/>
              </w:rPr>
              <w:t>26.9%</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7"/>
              </w:rPr>
              <w:t>29.6%</w:t>
            </w:r>
          </w:p>
        </w:tc>
      </w:tr>
      <w:tr>
        <w:trPr>
          <w:trHeight w:val="176"/>
        </w:trPr>
        <w:tc>
          <w:tcPr>
            <w:tcW w:w="4500" w:type="dxa"/>
            <w:vAlign w:val="bottom"/>
            <w:gridSpan w:val="3"/>
          </w:tcPr>
          <w:p>
            <w:pPr>
              <w:spacing w:after="0"/>
              <w:rPr>
                <w:sz w:val="20"/>
                <w:szCs w:val="20"/>
                <w:color w:val="auto"/>
              </w:rPr>
            </w:pPr>
            <w:r>
              <w:rPr>
                <w:rFonts w:ascii="Arial" w:cs="Arial" w:eastAsia="Arial" w:hAnsi="Arial"/>
                <w:sz w:val="13"/>
                <w:szCs w:val="13"/>
                <w:color w:val="auto"/>
                <w:highlight w:val="white"/>
              </w:rPr>
              <w:t>Expected dividend yield</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2.1%</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-469265</wp:posOffset>
            </wp:positionV>
            <wp:extent cx="6350"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-469265</wp:posOffset>
            </wp:positionV>
            <wp:extent cx="6350"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-469265</wp:posOffset>
            </wp:positionV>
            <wp:extent cx="6350"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-469265</wp:posOffset>
            </wp:positionV>
            <wp:extent cx="6350"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-469265</wp:posOffset>
            </wp:positionV>
            <wp:extent cx="6350"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-469265</wp:posOffset>
            </wp:positionV>
            <wp:extent cx="6350"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-419100</wp:posOffset>
            </wp:positionV>
            <wp:extent cx="3785870" cy="4895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785870" cy="489585"/>
                    </a:xfrm>
                    <a:prstGeom prst="rect">
                      <a:avLst/>
                    </a:prstGeom>
                    <a:noFill/>
                  </pic:spPr>
                </pic:pic>
              </a:graphicData>
            </a:graphic>
          </wp:anchor>
        </w:drawing>
      </w:r>
    </w:p>
    <w:p>
      <w:pPr>
        <w:spacing w:after="0" w:line="171" w:lineRule="exact"/>
        <w:rPr>
          <w:sz w:val="20"/>
          <w:szCs w:val="20"/>
          <w:color w:val="auto"/>
        </w:rPr>
      </w:pPr>
    </w:p>
    <w:p>
      <w:pPr>
        <w:ind w:right="4399" w:firstLine="263"/>
        <w:spacing w:after="0" w:line="279" w:lineRule="auto"/>
        <w:rPr>
          <w:sz w:val="20"/>
          <w:szCs w:val="20"/>
          <w:color w:val="auto"/>
        </w:rPr>
      </w:pPr>
      <w:r>
        <w:rPr>
          <w:rFonts w:ascii="Arial" w:cs="Arial" w:eastAsia="Arial" w:hAnsi="Arial"/>
          <w:sz w:val="13"/>
          <w:szCs w:val="13"/>
          <w:color w:val="auto"/>
        </w:rPr>
        <w:t>Pre-tax expense related to all forms of equity compensation for the years ended December 31, 2006, 2005 and 2004 follows:</w:t>
      </w:r>
    </w:p>
    <w:p>
      <w:pPr>
        <w:spacing w:after="0" w:line="1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6350" cy="6286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582295</wp:posOffset>
            </wp:positionV>
            <wp:extent cx="3830320" cy="63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8303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w w:val="89"/>
              </w:rPr>
              <w:t>2006</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89"/>
              </w:rPr>
              <w:t>2005</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89"/>
              </w:rPr>
              <w:t>2004</w:t>
            </w:r>
          </w:p>
        </w:tc>
      </w:tr>
      <w:tr>
        <w:trPr>
          <w:trHeight w:val="158"/>
        </w:trPr>
        <w:tc>
          <w:tcPr>
            <w:tcW w:w="39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Restricted stock and RSU’s</w:t>
            </w:r>
          </w:p>
        </w:tc>
        <w:tc>
          <w:tcPr>
            <w:tcW w:w="1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14,274</w:t>
            </w:r>
          </w:p>
        </w:tc>
        <w:tc>
          <w:tcPr>
            <w:tcW w:w="2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7,350</w:t>
            </w:r>
          </w:p>
        </w:tc>
        <w:tc>
          <w:tcPr>
            <w:tcW w:w="2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8,085</w:t>
            </w:r>
          </w:p>
        </w:tc>
      </w:tr>
      <w:tr>
        <w:trPr>
          <w:trHeight w:val="158"/>
        </w:trPr>
        <w:tc>
          <w:tcPr>
            <w:tcW w:w="3980" w:type="dxa"/>
            <w:vAlign w:val="bottom"/>
          </w:tcPr>
          <w:p>
            <w:pPr>
              <w:spacing w:after="0"/>
              <w:rPr>
                <w:sz w:val="20"/>
                <w:szCs w:val="20"/>
                <w:color w:val="auto"/>
              </w:rPr>
            </w:pPr>
            <w:r>
              <w:rPr>
                <w:rFonts w:ascii="Arial" w:cs="Arial" w:eastAsia="Arial" w:hAnsi="Arial"/>
                <w:sz w:val="13"/>
                <w:szCs w:val="13"/>
                <w:color w:val="auto"/>
                <w:highlight w:val="white"/>
              </w:rPr>
              <w:t>Stock options and SSAR’s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3,911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3980" w:type="dxa"/>
            <w:vAlign w:val="bottom"/>
            <w:tcBorders>
              <w:bottom w:val="single" w:sz="8" w:color="CCEEFF"/>
            </w:tcBorders>
            <w:shd w:val="clear" w:color="auto" w:fill="CCEEFF"/>
          </w:tcPr>
          <w:p>
            <w:pPr>
              <w:ind w:left="140"/>
              <w:spacing w:after="0" w:line="148" w:lineRule="exact"/>
              <w:rPr>
                <w:sz w:val="20"/>
                <w:szCs w:val="20"/>
                <w:color w:val="auto"/>
              </w:rPr>
            </w:pPr>
            <w:r>
              <w:rPr>
                <w:rFonts w:ascii="Arial" w:cs="Arial" w:eastAsia="Arial" w:hAnsi="Arial"/>
                <w:sz w:val="13"/>
                <w:szCs w:val="13"/>
                <w:color w:val="auto"/>
                <w:shd w:val="clear" w:color="auto" w:fill="CCEEFF"/>
              </w:rPr>
              <w:t>Total equity compensation expense</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18,185</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8"/>
              </w:rPr>
              <w:t>7,350</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3836035" cy="44577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836035" cy="445770"/>
                    </a:xfrm>
                    <a:prstGeom prst="rect">
                      <a:avLst/>
                    </a:prstGeom>
                    <a:noFill/>
                  </pic:spPr>
                </pic:pic>
              </a:graphicData>
            </a:graphic>
          </wp:anchor>
        </w:drawing>
      </w:r>
    </w:p>
    <w:p>
      <w:pPr>
        <w:spacing w:after="0" w:line="159" w:lineRule="exact"/>
        <w:rPr>
          <w:sz w:val="20"/>
          <w:szCs w:val="20"/>
          <w:color w:val="auto"/>
        </w:rPr>
      </w:pPr>
    </w:p>
    <w:p>
      <w:pPr>
        <w:ind w:right="4239" w:firstLine="263"/>
        <w:spacing w:after="0" w:line="262" w:lineRule="auto"/>
        <w:rPr>
          <w:sz w:val="20"/>
          <w:szCs w:val="20"/>
          <w:color w:val="auto"/>
        </w:rPr>
      </w:pPr>
      <w:r>
        <w:rPr>
          <w:rFonts w:ascii="Arial" w:cs="Arial" w:eastAsia="Arial" w:hAnsi="Arial"/>
          <w:sz w:val="13"/>
          <w:szCs w:val="13"/>
          <w:color w:val="auto"/>
        </w:rPr>
        <w:t>Pre-tax compensation expense for the year ended December 31, 2006 includes a cumulative effect gain of $1 million from the adoption of FAS 123(R), which was recorded in operating expenses. The Company recorded a deferred tax benefit related to equity compensation expense of $6 million, $3 million and $3 million for the years ended December 31, 2006, 2005 and 2004, respectively.</w:t>
      </w:r>
    </w:p>
    <w:p>
      <w:pPr>
        <w:spacing w:after="0" w:line="59" w:lineRule="exact"/>
        <w:rPr>
          <w:sz w:val="20"/>
          <w:szCs w:val="20"/>
          <w:color w:val="auto"/>
        </w:rPr>
      </w:pPr>
    </w:p>
    <w:p>
      <w:pPr>
        <w:ind w:right="4239" w:firstLine="263"/>
        <w:spacing w:after="0" w:line="257" w:lineRule="auto"/>
        <w:rPr>
          <w:sz w:val="20"/>
          <w:szCs w:val="20"/>
          <w:color w:val="auto"/>
        </w:rPr>
      </w:pPr>
      <w:r>
        <w:rPr>
          <w:rFonts w:ascii="Arial" w:cs="Arial" w:eastAsia="Arial" w:hAnsi="Arial"/>
          <w:sz w:val="13"/>
          <w:szCs w:val="13"/>
          <w:color w:val="auto"/>
        </w:rPr>
        <w:t>Prior to the adoption of FAS 123(R), the Company presented the tax benefits of deductions resulting from the exercise of stock options as cash flows from operating activities in the Consolidated Statement of Cash Flows. FAS 123(R) requires the cash flows from the excess tax benefits the Company realizes on stock based compensation to be presented as cash flows from financing activities. The excess tax benefits on exercise of stock options and vested restricted stock presented as cash flows from financing activities in 2006 were $5 million. Cash received from the exercise of stock options was $111 million, $23 million and $76 million in 2006, 2005 and 2004, respectively, and is reflected in cash flows from financing activities in the Consolidated Statement of Cash Flows.</w:t>
      </w:r>
    </w:p>
    <w:p>
      <w:pPr>
        <w:sectPr>
          <w:pgSz w:w="11900" w:h="16838" w:orient="portrait"/>
          <w:cols w:equalWidth="0" w:num="1">
            <w:col w:w="10239"/>
          </w:cols>
          <w:pgMar w:left="220" w:top="210" w:right="1440" w:bottom="0" w:gutter="0" w:footer="0" w:header="0"/>
        </w:sectPr>
      </w:pPr>
    </w:p>
    <w:bookmarkStart w:id="30" w:name="page31"/>
    <w:bookmarkEnd w:id="30"/>
    <w:p>
      <w:pPr>
        <w:ind w:left="294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13.</w:t>
        <w:tab/>
        <w:t>SEGMENT INFORMATION</w:t>
      </w:r>
    </w:p>
    <w:p>
      <w:pPr>
        <w:spacing w:after="0" w:line="92" w:lineRule="exact"/>
        <w:rPr>
          <w:sz w:val="20"/>
          <w:szCs w:val="20"/>
          <w:color w:val="auto"/>
        </w:rPr>
      </w:pPr>
    </w:p>
    <w:p>
      <w:pPr>
        <w:ind w:right="4239" w:firstLine="263"/>
        <w:spacing w:after="0" w:line="260" w:lineRule="auto"/>
        <w:rPr>
          <w:sz w:val="20"/>
          <w:szCs w:val="20"/>
          <w:color w:val="auto"/>
        </w:rPr>
      </w:pPr>
      <w:r>
        <w:rPr>
          <w:rFonts w:ascii="Arial" w:cs="Arial" w:eastAsia="Arial" w:hAnsi="Arial"/>
          <w:sz w:val="13"/>
          <w:szCs w:val="13"/>
          <w:color w:val="auto"/>
        </w:rPr>
        <w:t>The Company manages its operations by major geographical region: North America, Europe, India, Latin America and Asia Pacific. Flavors and fragrances have similar economic and operational characteristics including research and development, the nature of the creative and production processes, the type of customers, and the methods by which products are distributed. Accounting policies used for segment reporting are identical to those described in Note 1.</w:t>
      </w:r>
    </w:p>
    <w:p>
      <w:pPr>
        <w:spacing w:after="0" w:line="60" w:lineRule="exact"/>
        <w:rPr>
          <w:sz w:val="20"/>
          <w:szCs w:val="20"/>
          <w:color w:val="auto"/>
        </w:rPr>
      </w:pPr>
    </w:p>
    <w:p>
      <w:pPr>
        <w:ind w:right="4299" w:firstLine="263"/>
        <w:spacing w:after="0" w:line="314" w:lineRule="auto"/>
        <w:rPr>
          <w:sz w:val="20"/>
          <w:szCs w:val="20"/>
          <w:color w:val="auto"/>
        </w:rPr>
      </w:pPr>
      <w:r>
        <w:rPr>
          <w:rFonts w:ascii="Arial" w:cs="Arial" w:eastAsia="Arial" w:hAnsi="Arial"/>
          <w:sz w:val="11"/>
          <w:szCs w:val="11"/>
          <w:color w:val="auto"/>
        </w:rPr>
        <w:t>The Company evaluates the performance of its regions based on segment profit which is income before taxes on income, excluding interest expense, other income and expense and the effects of restructuring and other charges and accounting changes. Global Expenses represents corporate and headquarters-related expenses which include legal, finance, human resource and other administrative expenses not allocable to individual regions. Transfers between regions are accounted for at prices that approximate arm’s-length prices. Unallocated assets are principally cash, short-term investments and other corporate and headquarters-related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350" cy="6286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399351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993515" cy="635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560" w:type="dxa"/>
            <w:vAlign w:val="bottom"/>
          </w:tcPr>
          <w:p>
            <w:pPr>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8"/>
              </w:rPr>
              <w:t>North</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1"/>
              </w:rPr>
              <w:t>Latin</w:t>
            </w:r>
          </w:p>
        </w:tc>
        <w:tc>
          <w:tcPr>
            <w:tcW w:w="60" w:type="dxa"/>
            <w:vAlign w:val="bottom"/>
          </w:tcPr>
          <w:p>
            <w:pPr>
              <w:spacing w:after="0"/>
              <w:rPr>
                <w:sz w:val="11"/>
                <w:szCs w:val="11"/>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b w:val="1"/>
                <w:bCs w:val="1"/>
                <w:color w:val="auto"/>
              </w:rPr>
              <w:t>Asia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1"/>
              </w:rPr>
              <w:t>Global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6"/>
        </w:trPr>
        <w:tc>
          <w:tcPr>
            <w:tcW w:w="156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87"/>
              </w:rPr>
              <w:t>America</w:t>
            </w:r>
          </w:p>
        </w:tc>
        <w:tc>
          <w:tcPr>
            <w:tcW w:w="540" w:type="dxa"/>
            <w:vAlign w:val="bottom"/>
            <w:gridSpan w:val="3"/>
          </w:tcPr>
          <w:p>
            <w:pPr>
              <w:ind w:left="60"/>
              <w:spacing w:after="0"/>
              <w:rPr>
                <w:sz w:val="20"/>
                <w:szCs w:val="20"/>
                <w:color w:val="auto"/>
              </w:rPr>
            </w:pPr>
            <w:r>
              <w:rPr>
                <w:rFonts w:ascii="Arial" w:cs="Arial" w:eastAsia="Arial" w:hAnsi="Arial"/>
                <w:sz w:val="11"/>
                <w:szCs w:val="11"/>
                <w:b w:val="1"/>
                <w:bCs w:val="1"/>
                <w:color w:val="auto"/>
              </w:rPr>
              <w:t>Europe</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3"/>
              </w:rPr>
              <w:t>India</w:t>
            </w:r>
          </w:p>
        </w:tc>
        <w:tc>
          <w:tcPr>
            <w:tcW w:w="5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87"/>
              </w:rPr>
              <w:t>America</w:t>
            </w:r>
          </w:p>
        </w:tc>
        <w:tc>
          <w:tcPr>
            <w:tcW w:w="60" w:type="dxa"/>
            <w:vAlign w:val="bottom"/>
          </w:tcPr>
          <w:p>
            <w:pPr>
              <w:spacing w:after="0"/>
              <w:rPr>
                <w:sz w:val="11"/>
                <w:szCs w:val="11"/>
                <w:color w:val="auto"/>
              </w:rPr>
            </w:pPr>
          </w:p>
        </w:tc>
        <w:tc>
          <w:tcPr>
            <w:tcW w:w="400" w:type="dxa"/>
            <w:vAlign w:val="bottom"/>
          </w:tcPr>
          <w:p>
            <w:pPr>
              <w:jc w:val="right"/>
              <w:ind w:right="27"/>
              <w:spacing w:after="0"/>
              <w:rPr>
                <w:sz w:val="20"/>
                <w:szCs w:val="20"/>
                <w:color w:val="auto"/>
              </w:rPr>
            </w:pPr>
            <w:r>
              <w:rPr>
                <w:rFonts w:ascii="Arial" w:cs="Arial" w:eastAsia="Arial" w:hAnsi="Arial"/>
                <w:sz w:val="11"/>
                <w:szCs w:val="11"/>
                <w:b w:val="1"/>
                <w:bCs w:val="1"/>
                <w:color w:val="auto"/>
                <w:w w:val="84"/>
              </w:rPr>
              <w:t>Pacific</w:t>
            </w:r>
          </w:p>
        </w:tc>
        <w:tc>
          <w:tcPr>
            <w:tcW w:w="8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Expenses</w:t>
            </w:r>
          </w:p>
        </w:tc>
        <w:tc>
          <w:tcPr>
            <w:tcW w:w="640" w:type="dxa"/>
            <w:vAlign w:val="bottom"/>
            <w:gridSpan w:val="4"/>
          </w:tcPr>
          <w:p>
            <w:pPr>
              <w:jc w:val="right"/>
              <w:spacing w:after="0"/>
              <w:rPr>
                <w:sz w:val="20"/>
                <w:szCs w:val="20"/>
                <w:color w:val="auto"/>
              </w:rPr>
            </w:pPr>
            <w:r>
              <w:rPr>
                <w:rFonts w:ascii="Arial" w:cs="Arial" w:eastAsia="Arial" w:hAnsi="Arial"/>
                <w:sz w:val="11"/>
                <w:szCs w:val="11"/>
                <w:b w:val="1"/>
                <w:bCs w:val="1"/>
                <w:color w:val="auto"/>
                <w:w w:val="88"/>
              </w:rPr>
              <w:t>Eliminations</w:t>
            </w:r>
          </w:p>
        </w:tc>
        <w:tc>
          <w:tcPr>
            <w:tcW w:w="140" w:type="dxa"/>
            <w:vAlign w:val="bottom"/>
          </w:tcPr>
          <w:p>
            <w:pPr>
              <w:spacing w:after="0"/>
              <w:rPr>
                <w:sz w:val="11"/>
                <w:szCs w:val="11"/>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77"/>
              </w:rPr>
              <w:t>Consolidated</w:t>
            </w:r>
          </w:p>
        </w:tc>
      </w:tr>
      <w:tr>
        <w:trPr>
          <w:trHeight w:val="128"/>
        </w:trPr>
        <w:tc>
          <w:tcPr>
            <w:tcW w:w="156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Sales to unaffiliated customers</w:t>
            </w: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648,622</w:t>
            </w: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ind w:left="20"/>
              <w:spacing w:after="0" w:line="119" w:lineRule="exact"/>
              <w:rPr>
                <w:sz w:val="20"/>
                <w:szCs w:val="20"/>
                <w:color w:val="auto"/>
              </w:rPr>
            </w:pPr>
            <w:r>
              <w:rPr>
                <w:rFonts w:ascii="Arial" w:cs="Arial" w:eastAsia="Arial" w:hAnsi="Arial"/>
                <w:sz w:val="11"/>
                <w:szCs w:val="11"/>
                <w:color w:val="auto"/>
                <w:w w:val="80"/>
              </w:rPr>
              <w:t>780,342</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59,081</w:t>
            </w: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265,920</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5"/>
              </w:rPr>
              <w:t>341,425</w:t>
            </w:r>
          </w:p>
        </w:tc>
        <w:tc>
          <w:tcPr>
            <w:tcW w:w="160" w:type="dxa"/>
            <w:vAlign w:val="bottom"/>
            <w:tcBorders>
              <w:top w:val="single" w:sz="8" w:color="auto"/>
              <w:left w:val="single" w:sz="8" w:color="CCEEFF"/>
            </w:tcBorders>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gridSpan w:val="2"/>
            <w:shd w:val="clear" w:color="auto" w:fill="CCEEFF"/>
          </w:tcPr>
          <w:p>
            <w:pPr>
              <w:jc w:val="right"/>
              <w:ind w:right="38"/>
              <w:spacing w:after="0" w:line="11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2,095,390</w:t>
            </w:r>
          </w:p>
        </w:tc>
        <w:tc>
          <w:tcPr>
            <w:tcW w:w="60" w:type="dxa"/>
            <w:vAlign w:val="bottom"/>
            <w:tcBorders>
              <w:top w:val="single" w:sz="8" w:color="auto"/>
            </w:tcBorders>
            <w:shd w:val="clear" w:color="auto" w:fill="CCEEFF"/>
          </w:tcPr>
          <w:p>
            <w:pPr>
              <w:spacing w:after="0"/>
              <w:rPr>
                <w:sz w:val="11"/>
                <w:szCs w:val="11"/>
                <w:color w:val="auto"/>
              </w:rPr>
            </w:pPr>
          </w:p>
        </w:tc>
      </w:tr>
      <w:tr>
        <w:trPr>
          <w:trHeight w:val="129"/>
        </w:trPr>
        <w:tc>
          <w:tcPr>
            <w:tcW w:w="1560" w:type="dxa"/>
            <w:vAlign w:val="bottom"/>
          </w:tcPr>
          <w:p>
            <w:pPr>
              <w:spacing w:after="0"/>
              <w:rPr>
                <w:sz w:val="20"/>
                <w:szCs w:val="20"/>
                <w:color w:val="auto"/>
              </w:rPr>
            </w:pPr>
            <w:r>
              <w:rPr>
                <w:rFonts w:ascii="Arial" w:cs="Arial" w:eastAsia="Arial" w:hAnsi="Arial"/>
                <w:sz w:val="11"/>
                <w:szCs w:val="11"/>
                <w:color w:val="auto"/>
                <w:highlight w:val="white"/>
              </w:rPr>
              <w:t>Transfers between areas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65,166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color w:val="auto"/>
              </w:rPr>
              <w:t>184,046</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603</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50,829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89"/>
              </w:rPr>
              <w:t>(301,198)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8"/>
        </w:trPr>
        <w:tc>
          <w:tcPr>
            <w:tcW w:w="156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Total sales</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713,788</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ind w:left="20"/>
              <w:spacing w:after="0" w:line="119" w:lineRule="exact"/>
              <w:rPr>
                <w:sz w:val="20"/>
                <w:szCs w:val="20"/>
                <w:color w:val="auto"/>
              </w:rPr>
            </w:pPr>
            <w:r>
              <w:rPr>
                <w:rFonts w:ascii="Arial" w:cs="Arial" w:eastAsia="Arial" w:hAnsi="Arial"/>
                <w:sz w:val="11"/>
                <w:szCs w:val="11"/>
                <w:color w:val="auto"/>
                <w:w w:val="80"/>
              </w:rPr>
              <w:t>964,388</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59,684</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266,474</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5"/>
              </w:rPr>
              <w:t>392,254</w:t>
            </w: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(301,198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2,095,390</w:t>
            </w:r>
          </w:p>
        </w:tc>
        <w:tc>
          <w:tcPr>
            <w:tcW w:w="60" w:type="dxa"/>
            <w:vAlign w:val="bottom"/>
            <w:tcBorders>
              <w:bottom w:val="single" w:sz="8" w:color="CCEEFF"/>
            </w:tcBorders>
            <w:shd w:val="clear" w:color="auto" w:fill="CCEEFF"/>
          </w:tcPr>
          <w:p>
            <w:pPr>
              <w:spacing w:after="0"/>
              <w:rPr>
                <w:sz w:val="11"/>
                <w:szCs w:val="1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highlight w:val="white"/>
              </w:rPr>
              <w:t>Segment profit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58,996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ind w:left="20"/>
              <w:spacing w:after="0"/>
              <w:rPr>
                <w:sz w:val="20"/>
                <w:szCs w:val="20"/>
                <w:color w:val="auto"/>
              </w:rPr>
            </w:pPr>
            <w:r>
              <w:rPr>
                <w:rFonts w:ascii="Arial" w:cs="Arial" w:eastAsia="Arial" w:hAnsi="Arial"/>
                <w:sz w:val="11"/>
                <w:szCs w:val="11"/>
                <w:color w:val="auto"/>
              </w:rPr>
              <w:t>225,887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13,297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33,305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63,068</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(63,639)</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759</w:t>
            </w:r>
          </w:p>
        </w:tc>
        <w:tc>
          <w:tcPr>
            <w:tcW w:w="8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331,673</w:t>
            </w:r>
          </w:p>
        </w:tc>
        <w:tc>
          <w:tcPr>
            <w:tcW w:w="60" w:type="dxa"/>
            <w:vAlign w:val="bottom"/>
          </w:tcPr>
          <w:p>
            <w:pPr>
              <w:spacing w:after="0"/>
              <w:rPr>
                <w:sz w:val="11"/>
                <w:szCs w:val="11"/>
                <w:color w:val="auto"/>
              </w:rPr>
            </w:pPr>
          </w:p>
        </w:tc>
      </w:tr>
      <w:tr>
        <w:trPr>
          <w:trHeight w:val="127"/>
        </w:trPr>
        <w:tc>
          <w:tcPr>
            <w:tcW w:w="15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7"/>
                <w:shd w:val="clear" w:color="auto" w:fill="CCEEFF"/>
              </w:rPr>
              <w:t>Restructuring and other charges</w:t>
            </w: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(1,320)</w:t>
            </w:r>
          </w:p>
        </w:tc>
        <w:tc>
          <w:tcPr>
            <w:tcW w:w="8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ind w:left="220"/>
              <w:spacing w:after="0" w:line="122" w:lineRule="exact"/>
              <w:rPr>
                <w:sz w:val="20"/>
                <w:szCs w:val="20"/>
                <w:color w:val="auto"/>
              </w:rPr>
            </w:pPr>
            <w:r>
              <w:rPr>
                <w:rFonts w:ascii="Arial" w:cs="Arial" w:eastAsia="Arial" w:hAnsi="Arial"/>
                <w:sz w:val="11"/>
                <w:szCs w:val="11"/>
                <w:color w:val="auto"/>
              </w:rPr>
              <w:t>683</w:t>
            </w:r>
          </w:p>
        </w:tc>
        <w:tc>
          <w:tcPr>
            <w:tcW w:w="60" w:type="dxa"/>
            <w:vAlign w:val="bottom"/>
            <w:shd w:val="clear" w:color="auto" w:fill="CCEEFF"/>
          </w:tcPr>
          <w:p>
            <w:pPr>
              <w:spacing w:after="0"/>
              <w:rPr>
                <w:sz w:val="11"/>
                <w:szCs w:val="11"/>
                <w:color w:val="auto"/>
              </w:rPr>
            </w:pPr>
          </w:p>
        </w:tc>
        <w:tc>
          <w:tcPr>
            <w:tcW w:w="440" w:type="dxa"/>
            <w:vAlign w:val="bottom"/>
            <w:tcBorders>
              <w:right w:val="single" w:sz="8" w:color="CCEEFF"/>
            </w:tcBorders>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(624)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(1,443)</w:t>
            </w: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38"/>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(2,680)</w:t>
            </w:r>
          </w:p>
        </w:tc>
      </w:tr>
      <w:tr>
        <w:trPr>
          <w:trHeight w:val="20"/>
        </w:trPr>
        <w:tc>
          <w:tcPr>
            <w:tcW w:w="15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33"/>
        </w:trPr>
        <w:tc>
          <w:tcPr>
            <w:tcW w:w="1560" w:type="dxa"/>
            <w:vAlign w:val="bottom"/>
          </w:tcPr>
          <w:p>
            <w:pPr>
              <w:spacing w:after="0" w:line="124" w:lineRule="exact"/>
              <w:rPr>
                <w:sz w:val="20"/>
                <w:szCs w:val="20"/>
                <w:color w:val="auto"/>
              </w:rPr>
            </w:pPr>
            <w:r>
              <w:rPr>
                <w:rFonts w:ascii="Arial" w:cs="Arial" w:eastAsia="Arial" w:hAnsi="Arial"/>
                <w:sz w:val="11"/>
                <w:szCs w:val="11"/>
                <w:color w:val="auto"/>
                <w:highlight w:val="white"/>
              </w:rPr>
              <w:t>Operating profit</w:t>
            </w:r>
          </w:p>
        </w:tc>
        <w:tc>
          <w:tcPr>
            <w:tcW w:w="1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4" w:lineRule="exact"/>
              <w:rPr>
                <w:sz w:val="20"/>
                <w:szCs w:val="20"/>
                <w:color w:val="auto"/>
              </w:rPr>
            </w:pPr>
            <w:r>
              <w:rPr>
                <w:rFonts w:ascii="Arial" w:cs="Arial" w:eastAsia="Arial" w:hAnsi="Arial"/>
                <w:sz w:val="11"/>
                <w:szCs w:val="11"/>
                <w:color w:val="auto"/>
              </w:rPr>
              <w:t>57,676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226,570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w w:val="94"/>
              </w:rPr>
              <w:t>12,673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33,329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61,625</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w w:val="97"/>
              </w:rPr>
              <w:t>(63,639)</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759</w:t>
            </w:r>
          </w:p>
        </w:tc>
        <w:tc>
          <w:tcPr>
            <w:tcW w:w="80" w:type="dxa"/>
            <w:vAlign w:val="bottom"/>
          </w:tcPr>
          <w:p>
            <w:pPr>
              <w:spacing w:after="0"/>
              <w:rPr>
                <w:sz w:val="11"/>
                <w:szCs w:val="11"/>
                <w:color w:val="auto"/>
              </w:rPr>
            </w:pPr>
          </w:p>
        </w:tc>
        <w:tc>
          <w:tcPr>
            <w:tcW w:w="2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auto"/>
              </w:rPr>
              <w:t>328,993</w:t>
            </w:r>
          </w:p>
        </w:tc>
        <w:tc>
          <w:tcPr>
            <w:tcW w:w="60" w:type="dxa"/>
            <w:vAlign w:val="bottom"/>
          </w:tcPr>
          <w:p>
            <w:pPr>
              <w:spacing w:after="0"/>
              <w:rPr>
                <w:sz w:val="11"/>
                <w:szCs w:val="11"/>
                <w:color w:val="auto"/>
              </w:rPr>
            </w:pPr>
          </w:p>
        </w:tc>
      </w:tr>
      <w:tr>
        <w:trPr>
          <w:trHeight w:val="138"/>
        </w:trPr>
        <w:tc>
          <w:tcPr>
            <w:tcW w:w="15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Interest expense</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(25,549)</w:t>
            </w:r>
          </w:p>
        </w:tc>
      </w:tr>
      <w:tr>
        <w:trPr>
          <w:trHeight w:val="129"/>
        </w:trPr>
        <w:tc>
          <w:tcPr>
            <w:tcW w:w="1560" w:type="dxa"/>
            <w:vAlign w:val="bottom"/>
          </w:tcPr>
          <w:p>
            <w:pPr>
              <w:spacing w:after="0"/>
              <w:rPr>
                <w:sz w:val="20"/>
                <w:szCs w:val="20"/>
                <w:color w:val="auto"/>
              </w:rPr>
            </w:pPr>
            <w:r>
              <w:rPr>
                <w:rFonts w:ascii="Arial" w:cs="Arial" w:eastAsia="Arial" w:hAnsi="Arial"/>
                <w:sz w:val="11"/>
                <w:szCs w:val="11"/>
                <w:color w:val="auto"/>
                <w:highlight w:val="white"/>
              </w:rPr>
              <w:t>Other income (expense), net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9,838</w:t>
            </w:r>
          </w:p>
        </w:tc>
        <w:tc>
          <w:tcPr>
            <w:tcW w:w="60" w:type="dxa"/>
            <w:vAlign w:val="bottom"/>
          </w:tcPr>
          <w:p>
            <w:pPr>
              <w:spacing w:after="0"/>
              <w:rPr>
                <w:sz w:val="11"/>
                <w:szCs w:val="11"/>
                <w:color w:val="auto"/>
              </w:rPr>
            </w:pPr>
          </w:p>
        </w:tc>
      </w:tr>
      <w:tr>
        <w:trPr>
          <w:trHeight w:val="128"/>
        </w:trPr>
        <w:tc>
          <w:tcPr>
            <w:tcW w:w="156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Income before taxes on income</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313,282</w:t>
            </w:r>
          </w:p>
        </w:tc>
        <w:tc>
          <w:tcPr>
            <w:tcW w:w="60" w:type="dxa"/>
            <w:vAlign w:val="bottom"/>
            <w:tcBorders>
              <w:bottom w:val="single" w:sz="8" w:color="CCEEFF"/>
            </w:tcBorders>
            <w:shd w:val="clear" w:color="auto" w:fill="CCEEFF"/>
          </w:tcPr>
          <w:p>
            <w:pPr>
              <w:spacing w:after="0"/>
              <w:rPr>
                <w:sz w:val="11"/>
                <w:szCs w:val="11"/>
                <w:color w:val="auto"/>
              </w:rPr>
            </w:pPr>
          </w:p>
        </w:tc>
      </w:tr>
      <w:tr>
        <w:trPr>
          <w:trHeight w:val="129"/>
        </w:trPr>
        <w:tc>
          <w:tcPr>
            <w:tcW w:w="1560" w:type="dxa"/>
            <w:vAlign w:val="bottom"/>
          </w:tcPr>
          <w:p>
            <w:pPr>
              <w:spacing w:after="0"/>
              <w:rPr>
                <w:sz w:val="20"/>
                <w:szCs w:val="20"/>
                <w:color w:val="auto"/>
              </w:rPr>
            </w:pPr>
            <w:r>
              <w:rPr>
                <w:rFonts w:ascii="Arial" w:cs="Arial" w:eastAsia="Arial" w:hAnsi="Arial"/>
                <w:sz w:val="11"/>
                <w:szCs w:val="11"/>
                <w:color w:val="auto"/>
                <w:highlight w:val="white"/>
              </w:rPr>
              <w:t>Segment assets</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873,612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ind w:left="20"/>
              <w:spacing w:after="0"/>
              <w:rPr>
                <w:sz w:val="20"/>
                <w:szCs w:val="20"/>
                <w:color w:val="auto"/>
              </w:rPr>
            </w:pPr>
            <w:r>
              <w:rPr>
                <w:rFonts w:ascii="Arial" w:cs="Arial" w:eastAsia="Arial" w:hAnsi="Arial"/>
                <w:sz w:val="11"/>
                <w:szCs w:val="11"/>
                <w:color w:val="auto"/>
              </w:rPr>
              <w:t>773,581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79,760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w w:val="85"/>
              </w:rPr>
              <w:t>210,668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496,691</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148,595</w:t>
            </w: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89"/>
              </w:rPr>
              <w:t>(104,003)</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w w:val="85"/>
              </w:rPr>
              <w:t>2,478,904</w:t>
            </w:r>
          </w:p>
        </w:tc>
        <w:tc>
          <w:tcPr>
            <w:tcW w:w="60" w:type="dxa"/>
            <w:vAlign w:val="bottom"/>
          </w:tcPr>
          <w:p>
            <w:pPr>
              <w:spacing w:after="0"/>
              <w:rPr>
                <w:sz w:val="11"/>
                <w:szCs w:val="11"/>
                <w:color w:val="auto"/>
              </w:rPr>
            </w:pPr>
          </w:p>
        </w:tc>
      </w:tr>
      <w:tr>
        <w:trPr>
          <w:trHeight w:val="30"/>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-1022985</wp:posOffset>
            </wp:positionV>
            <wp:extent cx="4074795" cy="124333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074795" cy="124333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540" w:type="dxa"/>
            <w:vAlign w:val="bottom"/>
          </w:tcPr>
          <w:p>
            <w:pPr>
              <w:spacing w:after="0"/>
              <w:rPr>
                <w:sz w:val="20"/>
                <w:szCs w:val="20"/>
                <w:color w:val="auto"/>
              </w:rPr>
            </w:pPr>
            <w:r>
              <w:rPr>
                <w:rFonts w:ascii="Arial" w:cs="Arial" w:eastAsia="Arial" w:hAnsi="Arial"/>
                <w:sz w:val="11"/>
                <w:szCs w:val="11"/>
                <w:b w:val="1"/>
                <w:bCs w:val="1"/>
                <w:color w:val="auto"/>
              </w:rPr>
              <w:t>2005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8"/>
              </w:rPr>
              <w:t>North</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1"/>
              </w:rPr>
              <w:t>Latin</w:t>
            </w:r>
          </w:p>
        </w:tc>
        <w:tc>
          <w:tcPr>
            <w:tcW w:w="80" w:type="dxa"/>
            <w:vAlign w:val="bottom"/>
          </w:tcPr>
          <w:p>
            <w:pPr>
              <w:spacing w:after="0"/>
              <w:rPr>
                <w:sz w:val="11"/>
                <w:szCs w:val="1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Asia</w:t>
            </w:r>
          </w:p>
        </w:tc>
        <w:tc>
          <w:tcPr>
            <w:tcW w:w="6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7"/>
              </w:rPr>
              <w:t>Global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154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14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87"/>
              </w:rPr>
              <w:t>America</w:t>
            </w:r>
          </w:p>
        </w:tc>
        <w:tc>
          <w:tcPr>
            <w:tcW w:w="5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Europe</w:t>
            </w:r>
          </w:p>
        </w:tc>
        <w:tc>
          <w:tcPr>
            <w:tcW w:w="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5"/>
              </w:rPr>
              <w:t>India</w:t>
            </w: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America</w:t>
            </w:r>
          </w:p>
        </w:tc>
        <w:tc>
          <w:tcPr>
            <w:tcW w:w="80" w:type="dxa"/>
            <w:vAlign w:val="bottom"/>
          </w:tcPr>
          <w:p>
            <w:pPr>
              <w:spacing w:after="0"/>
              <w:rPr>
                <w:sz w:val="11"/>
                <w:szCs w:val="1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78"/>
              </w:rPr>
              <w:t>Pacific</w:t>
            </w: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Expenses</w:t>
            </w:r>
          </w:p>
        </w:tc>
        <w:tc>
          <w:tcPr>
            <w:tcW w:w="560" w:type="dxa"/>
            <w:vAlign w:val="bottom"/>
            <w:gridSpan w:val="3"/>
          </w:tcPr>
          <w:p>
            <w:pPr>
              <w:jc w:val="right"/>
              <w:spacing w:after="0"/>
              <w:rPr>
                <w:sz w:val="20"/>
                <w:szCs w:val="20"/>
                <w:color w:val="auto"/>
              </w:rPr>
            </w:pPr>
            <w:r>
              <w:rPr>
                <w:rFonts w:ascii="Arial" w:cs="Arial" w:eastAsia="Arial" w:hAnsi="Arial"/>
                <w:sz w:val="11"/>
                <w:szCs w:val="11"/>
                <w:b w:val="1"/>
                <w:bCs w:val="1"/>
                <w:color w:val="auto"/>
                <w:w w:val="79"/>
              </w:rPr>
              <w:t>Eliminations</w:t>
            </w:r>
          </w:p>
        </w:tc>
        <w:tc>
          <w:tcPr>
            <w:tcW w:w="100" w:type="dxa"/>
            <w:vAlign w:val="bottom"/>
          </w:tcPr>
          <w:p>
            <w:pPr>
              <w:spacing w:after="0"/>
              <w:rPr>
                <w:sz w:val="11"/>
                <w:szCs w:val="11"/>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88"/>
              </w:rPr>
              <w:t>Consolidated</w:t>
            </w:r>
          </w:p>
        </w:tc>
      </w:tr>
      <w:tr>
        <w:trPr>
          <w:trHeight w:val="128"/>
        </w:trPr>
        <w:tc>
          <w:tcPr>
            <w:tcW w:w="154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Sales to unaffiliated customers</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610,620</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754,157</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57,789</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244,805</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326,022</w:t>
            </w: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gridSpan w:val="2"/>
            <w:shd w:val="clear" w:color="auto" w:fill="CCEEFF"/>
          </w:tcPr>
          <w:p>
            <w:pPr>
              <w:jc w:val="right"/>
              <w:ind w:right="18"/>
              <w:spacing w:after="0" w:line="11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1,993,393</w:t>
            </w:r>
          </w:p>
        </w:tc>
        <w:tc>
          <w:tcPr>
            <w:tcW w:w="80" w:type="dxa"/>
            <w:vAlign w:val="bottom"/>
            <w:tcBorders>
              <w:top w:val="single" w:sz="8" w:color="auto"/>
            </w:tcBorders>
            <w:shd w:val="clear" w:color="auto" w:fill="CCEEFF"/>
          </w:tcPr>
          <w:p>
            <w:pPr>
              <w:spacing w:after="0"/>
              <w:rPr>
                <w:sz w:val="11"/>
                <w:szCs w:val="11"/>
                <w:color w:val="auto"/>
              </w:rPr>
            </w:pPr>
          </w:p>
        </w:tc>
      </w:tr>
      <w:tr>
        <w:trPr>
          <w:trHeight w:val="129"/>
        </w:trPr>
        <w:tc>
          <w:tcPr>
            <w:tcW w:w="1540" w:type="dxa"/>
            <w:vAlign w:val="bottom"/>
          </w:tcPr>
          <w:p>
            <w:pPr>
              <w:spacing w:after="0"/>
              <w:rPr>
                <w:sz w:val="20"/>
                <w:szCs w:val="20"/>
                <w:color w:val="auto"/>
              </w:rPr>
            </w:pPr>
            <w:r>
              <w:rPr>
                <w:rFonts w:ascii="Arial" w:cs="Arial" w:eastAsia="Arial" w:hAnsi="Arial"/>
                <w:sz w:val="11"/>
                <w:szCs w:val="11"/>
                <w:color w:val="auto"/>
                <w:highlight w:val="white"/>
              </w:rPr>
              <w:t>Transfers between areas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74,312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183,022</w:t>
            </w: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42,165</w:t>
            </w:r>
          </w:p>
        </w:tc>
        <w:tc>
          <w:tcPr>
            <w:tcW w:w="6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93"/>
              </w:rPr>
              <w:t>(300,125)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8"/>
        </w:trPr>
        <w:tc>
          <w:tcPr>
            <w:tcW w:w="15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Total sales</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684,932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937,179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57,826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245,394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368,187</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80" w:type="dxa"/>
            <w:vAlign w:val="bottom"/>
            <w:tcBorders>
              <w:left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2"/>
              </w:rPr>
              <w:t>(300,125</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5"/>
              </w:rPr>
              <w:t>1,993,393</w:t>
            </w:r>
          </w:p>
        </w:tc>
        <w:tc>
          <w:tcPr>
            <w:tcW w:w="80" w:type="dxa"/>
            <w:vAlign w:val="bottom"/>
            <w:tcBorders>
              <w:bottom w:val="single" w:sz="8" w:color="CCEEFF"/>
            </w:tcBorders>
            <w:shd w:val="clear" w:color="auto" w:fill="CCEEFF"/>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Arial" w:cs="Arial" w:eastAsia="Arial" w:hAnsi="Arial"/>
                <w:sz w:val="11"/>
                <w:szCs w:val="11"/>
                <w:color w:val="auto"/>
                <w:highlight w:val="white"/>
              </w:rPr>
              <w:t>Segment profit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51,161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188,571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13,631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26,172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57,683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(45,783)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(1,240)</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290,195</w:t>
            </w:r>
          </w:p>
        </w:tc>
        <w:tc>
          <w:tcPr>
            <w:tcW w:w="80" w:type="dxa"/>
            <w:vAlign w:val="bottom"/>
          </w:tcPr>
          <w:p>
            <w:pPr>
              <w:spacing w:after="0"/>
              <w:rPr>
                <w:sz w:val="11"/>
                <w:szCs w:val="11"/>
                <w:color w:val="auto"/>
              </w:rPr>
            </w:pPr>
          </w:p>
        </w:tc>
      </w:tr>
      <w:tr>
        <w:trPr>
          <w:trHeight w:val="122"/>
        </w:trPr>
        <w:tc>
          <w:tcPr>
            <w:tcW w:w="15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Restructuring and</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3"/>
        </w:trPr>
        <w:tc>
          <w:tcPr>
            <w:tcW w:w="154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other charges</w:t>
            </w: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(9,978)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(10,569)</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(972)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(559)</w:t>
            </w: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(1,241)</w:t>
            </w:r>
          </w:p>
        </w:tc>
        <w:tc>
          <w:tcPr>
            <w:tcW w:w="6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(23,319)</w:t>
            </w:r>
          </w:p>
        </w:tc>
      </w:tr>
      <w:tr>
        <w:trPr>
          <w:trHeight w:val="20"/>
        </w:trPr>
        <w:tc>
          <w:tcPr>
            <w:tcW w:w="1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33"/>
        </w:trPr>
        <w:tc>
          <w:tcPr>
            <w:tcW w:w="1540" w:type="dxa"/>
            <w:vAlign w:val="bottom"/>
          </w:tcPr>
          <w:p>
            <w:pPr>
              <w:spacing w:after="0" w:line="124" w:lineRule="exact"/>
              <w:rPr>
                <w:sz w:val="20"/>
                <w:szCs w:val="20"/>
                <w:color w:val="auto"/>
              </w:rPr>
            </w:pPr>
            <w:r>
              <w:rPr>
                <w:rFonts w:ascii="Arial" w:cs="Arial" w:eastAsia="Arial" w:hAnsi="Arial"/>
                <w:sz w:val="11"/>
                <w:szCs w:val="11"/>
                <w:color w:val="auto"/>
                <w:highlight w:val="white"/>
              </w:rPr>
              <w:t>Operating profit</w:t>
            </w:r>
          </w:p>
        </w:tc>
        <w:tc>
          <w:tcPr>
            <w:tcW w:w="2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4" w:lineRule="exact"/>
              <w:rPr>
                <w:sz w:val="20"/>
                <w:szCs w:val="20"/>
                <w:color w:val="auto"/>
              </w:rPr>
            </w:pPr>
            <w:r>
              <w:rPr>
                <w:rFonts w:ascii="Arial" w:cs="Arial" w:eastAsia="Arial" w:hAnsi="Arial"/>
                <w:sz w:val="11"/>
                <w:szCs w:val="11"/>
                <w:color w:val="auto"/>
              </w:rPr>
              <w:t>41,183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w w:val="90"/>
              </w:rPr>
              <w:t>178,002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w w:val="94"/>
              </w:rPr>
              <w:t>12,659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25,613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56,442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w w:val="97"/>
              </w:rPr>
              <w:t>(45,783)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(1,240</w:t>
            </w:r>
            <w:r>
              <w:rPr>
                <w:rFonts w:ascii="Arial" w:cs="Arial" w:eastAsia="Arial" w:hAnsi="Arial"/>
                <w:sz w:val="11"/>
                <w:szCs w:val="11"/>
                <w:color w:val="auto"/>
                <w:highlight w:val="white"/>
              </w:rPr>
              <w:t>)</w:t>
            </w:r>
          </w:p>
        </w:tc>
        <w:tc>
          <w:tcPr>
            <w:tcW w:w="260" w:type="dxa"/>
            <w:vAlign w:val="bottom"/>
            <w:gridSpan w:val="3"/>
          </w:tcPr>
          <w:p>
            <w:pPr>
              <w:jc w:val="right"/>
              <w:spacing w:after="0" w:line="124"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auto"/>
              </w:rPr>
              <w:t>266,876</w:t>
            </w:r>
          </w:p>
        </w:tc>
        <w:tc>
          <w:tcPr>
            <w:tcW w:w="80" w:type="dxa"/>
            <w:vAlign w:val="bottom"/>
          </w:tcPr>
          <w:p>
            <w:pPr>
              <w:spacing w:after="0"/>
              <w:rPr>
                <w:sz w:val="11"/>
                <w:szCs w:val="11"/>
                <w:color w:val="auto"/>
              </w:rPr>
            </w:pPr>
          </w:p>
        </w:tc>
      </w:tr>
      <w:tr>
        <w:trPr>
          <w:trHeight w:val="138"/>
        </w:trPr>
        <w:tc>
          <w:tcPr>
            <w:tcW w:w="154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Interest expense</w:t>
            </w: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(23,956)</w:t>
            </w:r>
          </w:p>
        </w:tc>
      </w:tr>
      <w:tr>
        <w:trPr>
          <w:trHeight w:val="129"/>
        </w:trPr>
        <w:tc>
          <w:tcPr>
            <w:tcW w:w="1540" w:type="dxa"/>
            <w:vAlign w:val="bottom"/>
          </w:tcPr>
          <w:p>
            <w:pPr>
              <w:spacing w:after="0"/>
              <w:rPr>
                <w:sz w:val="20"/>
                <w:szCs w:val="20"/>
                <w:color w:val="auto"/>
              </w:rPr>
            </w:pPr>
            <w:r>
              <w:rPr>
                <w:rFonts w:ascii="Arial" w:cs="Arial" w:eastAsia="Arial" w:hAnsi="Arial"/>
                <w:sz w:val="11"/>
                <w:szCs w:val="11"/>
                <w:color w:val="auto"/>
                <w:highlight w:val="white"/>
              </w:rPr>
              <w:t>Other income (expense), net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3,268</w:t>
            </w:r>
          </w:p>
        </w:tc>
        <w:tc>
          <w:tcPr>
            <w:tcW w:w="80" w:type="dxa"/>
            <w:vAlign w:val="bottom"/>
          </w:tcPr>
          <w:p>
            <w:pPr>
              <w:spacing w:after="0"/>
              <w:rPr>
                <w:sz w:val="11"/>
                <w:szCs w:val="11"/>
                <w:color w:val="auto"/>
              </w:rPr>
            </w:pPr>
          </w:p>
        </w:tc>
      </w:tr>
      <w:tr>
        <w:trPr>
          <w:trHeight w:val="128"/>
        </w:trPr>
        <w:tc>
          <w:tcPr>
            <w:tcW w:w="15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w w:val="99"/>
                <w:shd w:val="clear" w:color="auto" w:fill="CCEEFF"/>
              </w:rPr>
              <w:t>Income before taxes on income</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246,188</w:t>
            </w:r>
          </w:p>
        </w:tc>
        <w:tc>
          <w:tcPr>
            <w:tcW w:w="80" w:type="dxa"/>
            <w:vAlign w:val="bottom"/>
            <w:tcBorders>
              <w:bottom w:val="single" w:sz="8" w:color="CCEEFF"/>
            </w:tcBorders>
            <w:shd w:val="clear" w:color="auto" w:fill="CCEEFF"/>
          </w:tcPr>
          <w:p>
            <w:pPr>
              <w:spacing w:after="0"/>
              <w:rPr>
                <w:sz w:val="11"/>
                <w:szCs w:val="11"/>
                <w:color w:val="auto"/>
              </w:rPr>
            </w:pPr>
          </w:p>
        </w:tc>
      </w:tr>
      <w:tr>
        <w:trPr>
          <w:trHeight w:val="129"/>
        </w:trPr>
        <w:tc>
          <w:tcPr>
            <w:tcW w:w="1540" w:type="dxa"/>
            <w:vAlign w:val="bottom"/>
          </w:tcPr>
          <w:p>
            <w:pPr>
              <w:spacing w:after="0"/>
              <w:rPr>
                <w:sz w:val="20"/>
                <w:szCs w:val="20"/>
                <w:color w:val="auto"/>
              </w:rPr>
            </w:pPr>
            <w:r>
              <w:rPr>
                <w:rFonts w:ascii="Arial" w:cs="Arial" w:eastAsia="Arial" w:hAnsi="Arial"/>
                <w:sz w:val="11"/>
                <w:szCs w:val="11"/>
                <w:color w:val="auto"/>
                <w:highlight w:val="white"/>
              </w:rPr>
              <w:t>Segment assets</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868,618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842,595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81,764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203,466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480,826</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286,686</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93"/>
              </w:rPr>
              <w:t>(125,759)</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w w:val="85"/>
              </w:rPr>
              <w:t>2,638,196</w:t>
            </w:r>
          </w:p>
        </w:tc>
        <w:tc>
          <w:tcPr>
            <w:tcW w:w="80" w:type="dxa"/>
            <w:vAlign w:val="bottom"/>
          </w:tcPr>
          <w:p>
            <w:pPr>
              <w:spacing w:after="0"/>
              <w:rPr>
                <w:sz w:val="11"/>
                <w:szCs w:val="11"/>
                <w:color w:val="auto"/>
              </w:rPr>
            </w:pPr>
          </w:p>
        </w:tc>
      </w:tr>
      <w:tr>
        <w:trPr>
          <w:trHeight w:val="30"/>
        </w:trPr>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-1104265</wp:posOffset>
            </wp:positionV>
            <wp:extent cx="4074795" cy="13246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074795" cy="132461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540" w:type="dxa"/>
            <w:vAlign w:val="bottom"/>
          </w:tcPr>
          <w:p>
            <w:pPr>
              <w:spacing w:after="0"/>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8"/>
              </w:rPr>
              <w:t>North</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1"/>
              </w:rPr>
              <w:t>Latin</w:t>
            </w:r>
          </w:p>
        </w:tc>
        <w:tc>
          <w:tcPr>
            <w:tcW w:w="80" w:type="dxa"/>
            <w:vAlign w:val="bottom"/>
          </w:tcPr>
          <w:p>
            <w:pPr>
              <w:spacing w:after="0"/>
              <w:rPr>
                <w:sz w:val="11"/>
                <w:szCs w:val="1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4"/>
              </w:rPr>
              <w:t>Asia</w:t>
            </w: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7"/>
              </w:rPr>
              <w:t>Global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6"/>
        </w:trPr>
        <w:tc>
          <w:tcPr>
            <w:tcW w:w="154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120" w:type="dxa"/>
            <w:vAlign w:val="bottom"/>
          </w:tcPr>
          <w:p>
            <w:pPr>
              <w:spacing w:after="0"/>
              <w:rPr>
                <w:sz w:val="11"/>
                <w:szCs w:val="1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87"/>
              </w:rPr>
              <w:t>America</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Europe</w:t>
            </w:r>
          </w:p>
        </w:tc>
        <w:tc>
          <w:tcPr>
            <w:tcW w:w="80" w:type="dxa"/>
            <w:vAlign w:val="bottom"/>
          </w:tcPr>
          <w:p>
            <w:pPr>
              <w:spacing w:after="0"/>
              <w:rPr>
                <w:sz w:val="11"/>
                <w:szCs w:val="11"/>
                <w:color w:val="auto"/>
              </w:rPr>
            </w:pP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India</w:t>
            </w:r>
          </w:p>
        </w:tc>
        <w:tc>
          <w:tcPr>
            <w:tcW w:w="5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2"/>
              </w:rPr>
              <w:t>America</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78"/>
              </w:rPr>
              <w:t>Pacific</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Expenses</w:t>
            </w:r>
          </w:p>
        </w:tc>
        <w:tc>
          <w:tcPr>
            <w:tcW w:w="640" w:type="dxa"/>
            <w:vAlign w:val="bottom"/>
            <w:gridSpan w:val="4"/>
          </w:tcPr>
          <w:p>
            <w:pPr>
              <w:jc w:val="right"/>
              <w:spacing w:after="0"/>
              <w:rPr>
                <w:sz w:val="20"/>
                <w:szCs w:val="20"/>
                <w:color w:val="auto"/>
              </w:rPr>
            </w:pPr>
            <w:r>
              <w:rPr>
                <w:rFonts w:ascii="Arial" w:cs="Arial" w:eastAsia="Arial" w:hAnsi="Arial"/>
                <w:sz w:val="11"/>
                <w:szCs w:val="11"/>
                <w:b w:val="1"/>
                <w:bCs w:val="1"/>
                <w:color w:val="auto"/>
                <w:w w:val="88"/>
              </w:rPr>
              <w:t>Eliminations</w:t>
            </w:r>
          </w:p>
        </w:tc>
        <w:tc>
          <w:tcPr>
            <w:tcW w:w="1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w w:val="77"/>
              </w:rPr>
              <w:t>Consolidated</w:t>
            </w:r>
          </w:p>
        </w:tc>
        <w:tc>
          <w:tcPr>
            <w:tcW w:w="1220" w:type="dxa"/>
            <w:vAlign w:val="bottom"/>
          </w:tcPr>
          <w:p>
            <w:pPr>
              <w:spacing w:after="0"/>
              <w:rPr>
                <w:sz w:val="11"/>
                <w:szCs w:val="11"/>
                <w:color w:val="auto"/>
              </w:rPr>
            </w:pPr>
          </w:p>
        </w:tc>
      </w:tr>
      <w:tr>
        <w:trPr>
          <w:trHeight w:val="128"/>
        </w:trPr>
        <w:tc>
          <w:tcPr>
            <w:tcW w:w="154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Sales to unaffiliated customers</w:t>
            </w: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635,887</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812,588</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50,537</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219,126</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315,515</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gridSpan w:val="2"/>
            <w:shd w:val="clear" w:color="auto" w:fill="CCEEFF"/>
          </w:tcPr>
          <w:p>
            <w:pPr>
              <w:jc w:val="right"/>
              <w:ind w:right="38"/>
              <w:spacing w:after="0" w:line="119"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right w:val="single" w:sz="8" w:color="CCEEFF"/>
            </w:tcBorders>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w w:val="85"/>
              </w:rPr>
              <w:t>2,033,653</w:t>
            </w:r>
          </w:p>
        </w:tc>
        <w:tc>
          <w:tcPr>
            <w:tcW w:w="1220" w:type="dxa"/>
            <w:vAlign w:val="bottom"/>
          </w:tcPr>
          <w:p>
            <w:pPr>
              <w:spacing w:after="0"/>
              <w:rPr>
                <w:sz w:val="11"/>
                <w:szCs w:val="11"/>
                <w:color w:val="auto"/>
              </w:rPr>
            </w:pPr>
          </w:p>
        </w:tc>
      </w:tr>
      <w:tr>
        <w:trPr>
          <w:trHeight w:val="129"/>
        </w:trPr>
        <w:tc>
          <w:tcPr>
            <w:tcW w:w="1540" w:type="dxa"/>
            <w:vAlign w:val="bottom"/>
          </w:tcPr>
          <w:p>
            <w:pPr>
              <w:spacing w:after="0"/>
              <w:rPr>
                <w:sz w:val="20"/>
                <w:szCs w:val="20"/>
                <w:color w:val="auto"/>
              </w:rPr>
            </w:pPr>
            <w:r>
              <w:rPr>
                <w:rFonts w:ascii="Arial" w:cs="Arial" w:eastAsia="Arial" w:hAnsi="Arial"/>
                <w:sz w:val="11"/>
                <w:szCs w:val="11"/>
                <w:color w:val="auto"/>
                <w:highlight w:val="white"/>
              </w:rPr>
              <w:t>Transfers between areas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79,389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189,514</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1,431</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31,081</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89"/>
              </w:rPr>
              <w:t>(302,261)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20" w:type="dxa"/>
            <w:vAlign w:val="bottom"/>
          </w:tcPr>
          <w:p>
            <w:pPr>
              <w:spacing w:after="0"/>
              <w:rPr>
                <w:sz w:val="11"/>
                <w:szCs w:val="11"/>
                <w:color w:val="auto"/>
              </w:rPr>
            </w:pPr>
          </w:p>
        </w:tc>
      </w:tr>
      <w:tr>
        <w:trPr>
          <w:trHeight w:val="128"/>
        </w:trPr>
        <w:tc>
          <w:tcPr>
            <w:tcW w:w="15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Total sales</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715,276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1,002,102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4"/>
              </w:rPr>
              <w:t>51,968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219,972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0"/>
              </w:rPr>
              <w:t>346,596</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87"/>
              </w:rPr>
              <w:t>(302,261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right w:val="single" w:sz="8" w:color="CCEEFF"/>
            </w:tcBorders>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w w:val="85"/>
              </w:rPr>
              <w:t>2,033,653</w:t>
            </w:r>
          </w:p>
        </w:tc>
        <w:tc>
          <w:tcPr>
            <w:tcW w:w="1220" w:type="dxa"/>
            <w:vAlign w:val="bottom"/>
          </w:tcPr>
          <w:p>
            <w:pPr>
              <w:spacing w:after="0"/>
              <w:rPr>
                <w:sz w:val="11"/>
                <w:szCs w:val="11"/>
                <w:color w:val="auto"/>
              </w:rPr>
            </w:pPr>
          </w:p>
        </w:tc>
      </w:tr>
      <w:tr>
        <w:trPr>
          <w:trHeight w:val="135"/>
        </w:trPr>
        <w:tc>
          <w:tcPr>
            <w:tcW w:w="1540" w:type="dxa"/>
            <w:vAlign w:val="bottom"/>
          </w:tcPr>
          <w:p>
            <w:pPr>
              <w:spacing w:after="0"/>
              <w:rPr>
                <w:sz w:val="20"/>
                <w:szCs w:val="20"/>
                <w:color w:val="auto"/>
              </w:rPr>
            </w:pPr>
            <w:r>
              <w:rPr>
                <w:rFonts w:ascii="Arial" w:cs="Arial" w:eastAsia="Arial" w:hAnsi="Arial"/>
                <w:sz w:val="11"/>
                <w:szCs w:val="11"/>
                <w:color w:val="auto"/>
                <w:highlight w:val="white"/>
              </w:rPr>
              <w:t>Segment profit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73,984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230,878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11,315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27,242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55,273</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(54,261)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(2,322)</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342,109</w:t>
            </w:r>
          </w:p>
        </w:tc>
        <w:tc>
          <w:tcPr>
            <w:tcW w:w="1220" w:type="dxa"/>
            <w:vAlign w:val="bottom"/>
          </w:tcPr>
          <w:p>
            <w:pPr>
              <w:spacing w:after="0"/>
              <w:rPr>
                <w:sz w:val="11"/>
                <w:szCs w:val="11"/>
                <w:color w:val="auto"/>
              </w:rPr>
            </w:pPr>
          </w:p>
        </w:tc>
      </w:tr>
      <w:tr>
        <w:trPr>
          <w:trHeight w:val="122"/>
        </w:trPr>
        <w:tc>
          <w:tcPr>
            <w:tcW w:w="15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shd w:val="clear" w:color="auto" w:fill="CCEEFF"/>
              </w:rPr>
              <w:t>Restructuring and</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220" w:type="dxa"/>
            <w:vAlign w:val="bottom"/>
          </w:tcPr>
          <w:p>
            <w:pPr>
              <w:spacing w:after="0"/>
              <w:rPr>
                <w:sz w:val="10"/>
                <w:szCs w:val="10"/>
                <w:color w:val="auto"/>
              </w:rPr>
            </w:pPr>
          </w:p>
        </w:tc>
      </w:tr>
      <w:tr>
        <w:trPr>
          <w:trHeight w:val="133"/>
        </w:trPr>
        <w:tc>
          <w:tcPr>
            <w:tcW w:w="1540" w:type="dxa"/>
            <w:vAlign w:val="bottom"/>
            <w:shd w:val="clear" w:color="auto" w:fill="CCEEFF"/>
          </w:tcPr>
          <w:p>
            <w:pPr>
              <w:ind w:left="140"/>
              <w:spacing w:after="0"/>
              <w:rPr>
                <w:sz w:val="20"/>
                <w:szCs w:val="20"/>
                <w:color w:val="auto"/>
              </w:rPr>
            </w:pPr>
            <w:r>
              <w:rPr>
                <w:rFonts w:ascii="Arial" w:cs="Arial" w:eastAsia="Arial" w:hAnsi="Arial"/>
                <w:sz w:val="11"/>
                <w:szCs w:val="11"/>
                <w:color w:val="auto"/>
                <w:shd w:val="clear" w:color="auto" w:fill="CCEEFF"/>
              </w:rPr>
              <w:t>other charges</w:t>
            </w: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(7,648)</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(23,485)</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(664)</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(31,830)</w:t>
            </w:r>
          </w:p>
        </w:tc>
        <w:tc>
          <w:tcPr>
            <w:tcW w:w="1220" w:type="dxa"/>
            <w:vAlign w:val="bottom"/>
          </w:tcPr>
          <w:p>
            <w:pPr>
              <w:spacing w:after="0"/>
              <w:rPr>
                <w:sz w:val="11"/>
                <w:szCs w:val="1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1540" w:type="dxa"/>
            <w:vAlign w:val="bottom"/>
          </w:tcPr>
          <w:p>
            <w:pPr>
              <w:spacing w:after="0" w:line="124" w:lineRule="exact"/>
              <w:rPr>
                <w:sz w:val="20"/>
                <w:szCs w:val="20"/>
                <w:color w:val="auto"/>
              </w:rPr>
            </w:pPr>
            <w:r>
              <w:rPr>
                <w:rFonts w:ascii="Arial" w:cs="Arial" w:eastAsia="Arial" w:hAnsi="Arial"/>
                <w:sz w:val="11"/>
                <w:szCs w:val="11"/>
                <w:color w:val="auto"/>
                <w:highlight w:val="white"/>
              </w:rPr>
              <w:t>Operating profit</w:t>
            </w:r>
          </w:p>
        </w:tc>
        <w:tc>
          <w:tcPr>
            <w:tcW w:w="1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4" w:lineRule="exact"/>
              <w:rPr>
                <w:sz w:val="20"/>
                <w:szCs w:val="20"/>
                <w:color w:val="auto"/>
              </w:rPr>
            </w:pPr>
            <w:r>
              <w:rPr>
                <w:rFonts w:ascii="Arial" w:cs="Arial" w:eastAsia="Arial" w:hAnsi="Arial"/>
                <w:sz w:val="11"/>
                <w:szCs w:val="11"/>
                <w:color w:val="auto"/>
              </w:rPr>
              <w:t>66,336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207,393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line="124" w:lineRule="exact"/>
              <w:rPr>
                <w:sz w:val="20"/>
                <w:szCs w:val="20"/>
                <w:color w:val="auto"/>
              </w:rPr>
            </w:pPr>
            <w:r>
              <w:rPr>
                <w:rFonts w:ascii="Arial" w:cs="Arial" w:eastAsia="Arial" w:hAnsi="Arial"/>
                <w:sz w:val="11"/>
                <w:szCs w:val="11"/>
                <w:color w:val="auto"/>
                <w:w w:val="94"/>
              </w:rPr>
              <w:t>11,315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27,209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54,609</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w w:val="97"/>
              </w:rPr>
              <w:t>(54,261)</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(2,322</w:t>
            </w:r>
            <w:r>
              <w:rPr>
                <w:rFonts w:ascii="Arial" w:cs="Arial" w:eastAsia="Arial" w:hAnsi="Arial"/>
                <w:sz w:val="11"/>
                <w:szCs w:val="11"/>
                <w:color w:val="auto"/>
                <w:highlight w:val="white"/>
              </w:rPr>
              <w:t>)</w:t>
            </w:r>
          </w:p>
        </w:tc>
        <w:tc>
          <w:tcPr>
            <w:tcW w:w="2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line="124" w:lineRule="exact"/>
              <w:rPr>
                <w:sz w:val="20"/>
                <w:szCs w:val="20"/>
                <w:color w:val="auto"/>
              </w:rPr>
            </w:pPr>
            <w:r>
              <w:rPr>
                <w:rFonts w:ascii="Arial" w:cs="Arial" w:eastAsia="Arial" w:hAnsi="Arial"/>
                <w:sz w:val="11"/>
                <w:szCs w:val="11"/>
                <w:color w:val="auto"/>
              </w:rPr>
              <w:t>310,279</w:t>
            </w:r>
          </w:p>
        </w:tc>
        <w:tc>
          <w:tcPr>
            <w:tcW w:w="1220" w:type="dxa"/>
            <w:vAlign w:val="bottom"/>
          </w:tcPr>
          <w:p>
            <w:pPr>
              <w:spacing w:after="0"/>
              <w:rPr>
                <w:sz w:val="11"/>
                <w:szCs w:val="11"/>
                <w:color w:val="auto"/>
              </w:rPr>
            </w:pPr>
          </w:p>
        </w:tc>
      </w:tr>
      <w:tr>
        <w:trPr>
          <w:trHeight w:val="138"/>
        </w:trPr>
        <w:tc>
          <w:tcPr>
            <w:tcW w:w="154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shd w:val="clear" w:color="auto" w:fill="CCEEFF"/>
              </w:rPr>
              <w:t>Interest expense</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(24,002)</w:t>
            </w:r>
          </w:p>
        </w:tc>
        <w:tc>
          <w:tcPr>
            <w:tcW w:w="1220" w:type="dxa"/>
            <w:vAlign w:val="bottom"/>
          </w:tcPr>
          <w:p>
            <w:pPr>
              <w:spacing w:after="0"/>
              <w:rPr>
                <w:sz w:val="12"/>
                <w:szCs w:val="12"/>
                <w:color w:val="auto"/>
              </w:rPr>
            </w:pPr>
          </w:p>
        </w:tc>
      </w:tr>
      <w:tr>
        <w:trPr>
          <w:trHeight w:val="129"/>
        </w:trPr>
        <w:tc>
          <w:tcPr>
            <w:tcW w:w="1540" w:type="dxa"/>
            <w:vAlign w:val="bottom"/>
          </w:tcPr>
          <w:p>
            <w:pPr>
              <w:spacing w:after="0"/>
              <w:rPr>
                <w:sz w:val="20"/>
                <w:szCs w:val="20"/>
                <w:color w:val="auto"/>
              </w:rPr>
            </w:pPr>
            <w:r>
              <w:rPr>
                <w:rFonts w:ascii="Arial" w:cs="Arial" w:eastAsia="Arial" w:hAnsi="Arial"/>
                <w:sz w:val="11"/>
                <w:szCs w:val="11"/>
                <w:color w:val="auto"/>
                <w:highlight w:val="white"/>
              </w:rPr>
              <w:t>Other income (expense), net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(5,275)</w:t>
            </w:r>
          </w:p>
        </w:tc>
        <w:tc>
          <w:tcPr>
            <w:tcW w:w="1220" w:type="dxa"/>
            <w:vAlign w:val="bottom"/>
          </w:tcPr>
          <w:p>
            <w:pPr>
              <w:spacing w:after="0"/>
              <w:rPr>
                <w:sz w:val="11"/>
                <w:szCs w:val="11"/>
                <w:color w:val="auto"/>
              </w:rPr>
            </w:pPr>
          </w:p>
        </w:tc>
      </w:tr>
      <w:tr>
        <w:trPr>
          <w:trHeight w:val="128"/>
        </w:trPr>
        <w:tc>
          <w:tcPr>
            <w:tcW w:w="15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w w:val="99"/>
                <w:shd w:val="clear" w:color="auto" w:fill="CCEEFF"/>
              </w:rPr>
              <w:t>Income before taxes on income</w:t>
            </w: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right w:val="single" w:sz="8" w:color="CCEEFF"/>
            </w:tcBorders>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281,002</w:t>
            </w:r>
          </w:p>
        </w:tc>
        <w:tc>
          <w:tcPr>
            <w:tcW w:w="1220" w:type="dxa"/>
            <w:vAlign w:val="bottom"/>
          </w:tcPr>
          <w:p>
            <w:pPr>
              <w:spacing w:after="0"/>
              <w:rPr>
                <w:sz w:val="11"/>
                <w:szCs w:val="11"/>
                <w:color w:val="auto"/>
              </w:rPr>
            </w:pPr>
          </w:p>
        </w:tc>
      </w:tr>
      <w:tr>
        <w:trPr>
          <w:trHeight w:val="138"/>
        </w:trPr>
        <w:tc>
          <w:tcPr>
            <w:tcW w:w="1540" w:type="dxa"/>
            <w:vAlign w:val="bottom"/>
          </w:tcPr>
          <w:p>
            <w:pPr>
              <w:spacing w:after="0"/>
              <w:rPr>
                <w:sz w:val="20"/>
                <w:szCs w:val="20"/>
                <w:color w:val="auto"/>
              </w:rPr>
            </w:pPr>
            <w:r>
              <w:rPr>
                <w:rFonts w:ascii="Arial" w:cs="Arial" w:eastAsia="Arial" w:hAnsi="Arial"/>
                <w:sz w:val="11"/>
                <w:szCs w:val="11"/>
                <w:color w:val="auto"/>
                <w:highlight w:val="white"/>
              </w:rPr>
              <w:t>Segment assets</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841,076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880,987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w w:val="94"/>
              </w:rPr>
              <w:t>72,634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185,115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0"/>
              </w:rPr>
              <w:t>446,364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65,734</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89"/>
              </w:rPr>
              <w:t>(128,616)</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w w:val="85"/>
              </w:rPr>
              <w:t>2,363,294</w:t>
            </w:r>
          </w:p>
        </w:tc>
        <w:tc>
          <w:tcPr>
            <w:tcW w:w="1220" w:type="dxa"/>
            <w:vAlign w:val="bottom"/>
          </w:tcPr>
          <w:p>
            <w:pPr>
              <w:spacing w:after="0"/>
              <w:rPr>
                <w:sz w:val="12"/>
                <w:szCs w:val="12"/>
                <w:color w:val="auto"/>
              </w:rPr>
            </w:pPr>
          </w:p>
        </w:tc>
      </w:tr>
      <w:tr>
        <w:trPr>
          <w:trHeight w:val="404"/>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86"/>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387"/>
        </w:trPr>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-1619250</wp:posOffset>
            </wp:positionV>
            <wp:extent cx="4809490" cy="193357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809490" cy="19335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6"/>
          </w:tcPr>
          <w:p>
            <w:pPr>
              <w:jc w:val="right"/>
              <w:ind w:right="14"/>
              <w:spacing w:after="0"/>
              <w:rPr>
                <w:sz w:val="20"/>
                <w:szCs w:val="20"/>
                <w:color w:val="auto"/>
              </w:rPr>
            </w:pPr>
            <w:r>
              <w:rPr>
                <w:rFonts w:ascii="Arial" w:cs="Arial" w:eastAsia="Arial" w:hAnsi="Arial"/>
                <w:sz w:val="11"/>
                <w:szCs w:val="11"/>
                <w:b w:val="1"/>
                <w:bCs w:val="1"/>
                <w:color w:val="auto"/>
              </w:rPr>
              <w:t>Capital Expenditures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10"/>
          </w:tcPr>
          <w:p>
            <w:pPr>
              <w:ind w:left="140"/>
              <w:spacing w:after="0"/>
              <w:rPr>
                <w:sz w:val="20"/>
                <w:szCs w:val="20"/>
                <w:color w:val="auto"/>
              </w:rPr>
            </w:pPr>
            <w:r>
              <w:rPr>
                <w:rFonts w:ascii="Arial" w:cs="Arial" w:eastAsia="Arial" w:hAnsi="Arial"/>
                <w:sz w:val="11"/>
                <w:szCs w:val="11"/>
                <w:b w:val="1"/>
                <w:bCs w:val="1"/>
                <w:color w:val="auto"/>
              </w:rPr>
              <w:t>Depreciation and Amortization</w:t>
            </w:r>
          </w:p>
        </w:tc>
      </w:tr>
      <w:tr>
        <w:trPr>
          <w:trHeight w:val="118"/>
        </w:trPr>
        <w:tc>
          <w:tcPr>
            <w:tcW w:w="21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1"/>
                <w:szCs w:val="11"/>
                <w:b w:val="1"/>
                <w:bCs w:val="1"/>
                <w:color w:val="auto"/>
                <w:w w:val="97"/>
              </w:rPr>
              <w:t>2006</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1"/>
                <w:szCs w:val="11"/>
                <w:b w:val="1"/>
                <w:bCs w:val="1"/>
                <w:color w:val="auto"/>
                <w:w w:val="97"/>
              </w:rPr>
              <w:t>2005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1"/>
                <w:szCs w:val="11"/>
                <w:b w:val="1"/>
                <w:bCs w:val="1"/>
                <w:color w:val="auto"/>
                <w:w w:val="97"/>
              </w:rPr>
              <w:t>2004</w:t>
            </w:r>
          </w:p>
        </w:tc>
        <w:tc>
          <w:tcPr>
            <w:tcW w:w="2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1"/>
                <w:szCs w:val="11"/>
                <w:b w:val="1"/>
                <w:bCs w:val="1"/>
                <w:color w:val="auto"/>
                <w:w w:val="89"/>
              </w:rPr>
              <w:t>2006</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1"/>
                <w:szCs w:val="11"/>
                <w:b w:val="1"/>
                <w:bCs w:val="1"/>
                <w:color w:val="auto"/>
                <w:w w:val="89"/>
              </w:rPr>
              <w:t>2005</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1"/>
                <w:szCs w:val="11"/>
                <w:b w:val="1"/>
                <w:bCs w:val="1"/>
                <w:color w:val="auto"/>
                <w:w w:val="89"/>
              </w:rPr>
              <w:t>2004</w:t>
            </w:r>
          </w:p>
        </w:tc>
        <w:tc>
          <w:tcPr>
            <w:tcW w:w="20" w:type="dxa"/>
            <w:vAlign w:val="bottom"/>
          </w:tcPr>
          <w:p>
            <w:pPr>
              <w:spacing w:after="0"/>
              <w:rPr>
                <w:sz w:val="10"/>
                <w:szCs w:val="10"/>
                <w:color w:val="auto"/>
              </w:rPr>
            </w:pPr>
          </w:p>
        </w:tc>
      </w:tr>
      <w:tr>
        <w:trPr>
          <w:trHeight w:val="158"/>
        </w:trPr>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North America</w:t>
            </w: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19,451</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21,720</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20,733</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40,954</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40,646</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0"/>
              </w:rPr>
              <w:t>41,429</w:t>
            </w:r>
          </w:p>
        </w:tc>
        <w:tc>
          <w:tcPr>
            <w:tcW w:w="20" w:type="dxa"/>
            <w:vAlign w:val="bottom"/>
          </w:tcPr>
          <w:p>
            <w:pPr>
              <w:spacing w:after="0"/>
              <w:rPr>
                <w:sz w:val="13"/>
                <w:szCs w:val="13"/>
                <w:color w:val="auto"/>
              </w:rPr>
            </w:pPr>
          </w:p>
        </w:tc>
      </w:tr>
      <w:tr>
        <w:trPr>
          <w:trHeight w:val="165"/>
        </w:trPr>
        <w:tc>
          <w:tcPr>
            <w:tcW w:w="2160" w:type="dxa"/>
            <w:vAlign w:val="bottom"/>
            <w:gridSpan w:val="2"/>
          </w:tcPr>
          <w:p>
            <w:pPr>
              <w:spacing w:after="0"/>
              <w:rPr>
                <w:sz w:val="20"/>
                <w:szCs w:val="20"/>
                <w:color w:val="auto"/>
              </w:rPr>
            </w:pPr>
            <w:r>
              <w:rPr>
                <w:rFonts w:ascii="Arial" w:cs="Arial" w:eastAsia="Arial" w:hAnsi="Arial"/>
                <w:sz w:val="13"/>
                <w:szCs w:val="13"/>
                <w:color w:val="auto"/>
                <w:highlight w:val="white"/>
              </w:rPr>
              <w:t>Europe</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5"/>
              </w:rPr>
              <w:t>15,599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33,588</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24,800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0"/>
              </w:rPr>
              <w:t>27,911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0"/>
              </w:rPr>
              <w:t>29,444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32,102</w:t>
            </w:r>
          </w:p>
        </w:tc>
        <w:tc>
          <w:tcPr>
            <w:tcW w:w="20" w:type="dxa"/>
            <w:vAlign w:val="bottom"/>
          </w:tcPr>
          <w:p>
            <w:pPr>
              <w:spacing w:after="0"/>
              <w:rPr>
                <w:sz w:val="14"/>
                <w:szCs w:val="14"/>
                <w:color w:val="auto"/>
              </w:rPr>
            </w:pPr>
          </w:p>
        </w:tc>
      </w:tr>
      <w:tr>
        <w:trPr>
          <w:trHeight w:val="171"/>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India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4,216</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1,199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20" w:type="dxa"/>
            <w:vAlign w:val="bottom"/>
          </w:tcPr>
          <w:p>
            <w:pPr>
              <w:spacing w:after="0"/>
              <w:rPr>
                <w:sz w:val="14"/>
                <w:szCs w:val="14"/>
                <w:color w:val="auto"/>
              </w:rPr>
            </w:pPr>
          </w:p>
        </w:tc>
      </w:tr>
      <w:tr>
        <w:trPr>
          <w:trHeight w:val="165"/>
        </w:trPr>
        <w:tc>
          <w:tcPr>
            <w:tcW w:w="2160" w:type="dxa"/>
            <w:vAlign w:val="bottom"/>
            <w:gridSpan w:val="2"/>
          </w:tcPr>
          <w:p>
            <w:pPr>
              <w:spacing w:after="0"/>
              <w:rPr>
                <w:sz w:val="20"/>
                <w:szCs w:val="20"/>
                <w:color w:val="auto"/>
              </w:rPr>
            </w:pPr>
            <w:r>
              <w:rPr>
                <w:rFonts w:ascii="Arial" w:cs="Arial" w:eastAsia="Arial" w:hAnsi="Arial"/>
                <w:sz w:val="13"/>
                <w:szCs w:val="13"/>
                <w:color w:val="auto"/>
                <w:highlight w:val="white"/>
              </w:rPr>
              <w:t>Latin America</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2,824</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3,231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4,551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6,455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3,743</w:t>
            </w:r>
          </w:p>
        </w:tc>
        <w:tc>
          <w:tcPr>
            <w:tcW w:w="20" w:type="dxa"/>
            <w:vAlign w:val="bottom"/>
          </w:tcPr>
          <w:p>
            <w:pPr>
              <w:spacing w:after="0"/>
              <w:rPr>
                <w:sz w:val="14"/>
                <w:szCs w:val="14"/>
                <w:color w:val="auto"/>
              </w:rPr>
            </w:pPr>
          </w:p>
        </w:tc>
      </w:tr>
      <w:tr>
        <w:trPr>
          <w:trHeight w:val="171"/>
        </w:trPr>
        <w:tc>
          <w:tcPr>
            <w:tcW w:w="2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Asia Pacific</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10,283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25,026</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15,132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0"/>
              </w:rPr>
              <w:t>11,963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11,684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10,084</w:t>
            </w:r>
          </w:p>
        </w:tc>
        <w:tc>
          <w:tcPr>
            <w:tcW w:w="20" w:type="dxa"/>
            <w:vAlign w:val="bottom"/>
          </w:tcPr>
          <w:p>
            <w:pPr>
              <w:spacing w:after="0"/>
              <w:rPr>
                <w:sz w:val="14"/>
                <w:szCs w:val="14"/>
                <w:color w:val="auto"/>
              </w:rPr>
            </w:pPr>
          </w:p>
        </w:tc>
      </w:tr>
      <w:tr>
        <w:trPr>
          <w:trHeight w:val="158"/>
        </w:trPr>
        <w:tc>
          <w:tcPr>
            <w:tcW w:w="2160" w:type="dxa"/>
            <w:vAlign w:val="bottom"/>
            <w:gridSpan w:val="2"/>
          </w:tcPr>
          <w:p>
            <w:pPr>
              <w:spacing w:after="0"/>
              <w:rPr>
                <w:sz w:val="20"/>
                <w:szCs w:val="20"/>
                <w:color w:val="auto"/>
              </w:rPr>
            </w:pPr>
            <w:r>
              <w:rPr>
                <w:rFonts w:ascii="Arial" w:cs="Arial" w:eastAsia="Arial" w:hAnsi="Arial"/>
                <w:sz w:val="13"/>
                <w:szCs w:val="13"/>
                <w:color w:val="auto"/>
                <w:highlight w:val="white"/>
              </w:rPr>
              <w:t>Unallocated assets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7,932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6,059</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5,494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3,155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2,488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2,550</w:t>
            </w:r>
          </w:p>
        </w:tc>
        <w:tc>
          <w:tcPr>
            <w:tcW w:w="20" w:type="dxa"/>
            <w:vAlign w:val="bottom"/>
          </w:tcPr>
          <w:p>
            <w:pPr>
              <w:spacing w:after="0"/>
              <w:rPr>
                <w:sz w:val="13"/>
                <w:szCs w:val="13"/>
                <w:color w:val="auto"/>
              </w:rPr>
            </w:pPr>
          </w:p>
        </w:tc>
      </w:tr>
      <w:tr>
        <w:trPr>
          <w:trHeight w:val="158"/>
        </w:trPr>
        <w:tc>
          <w:tcPr>
            <w:tcW w:w="200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Consolidated</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58,282</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93,433</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70,607</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89,733</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91,928</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0"/>
              </w:rPr>
              <w:t>90,996</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-897255</wp:posOffset>
            </wp:positionV>
            <wp:extent cx="3924300" cy="9607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924300" cy="960755"/>
                    </a:xfrm>
                    <a:prstGeom prst="rect">
                      <a:avLst/>
                    </a:prstGeom>
                    <a:noFill/>
                  </pic:spPr>
                </pic:pic>
              </a:graphicData>
            </a:graphic>
          </wp:anchor>
        </w:drawing>
      </w:r>
    </w:p>
    <w:p>
      <w:pPr>
        <w:spacing w:after="0" w:line="159" w:lineRule="exact"/>
        <w:rPr>
          <w:sz w:val="20"/>
          <w:szCs w:val="20"/>
          <w:color w:val="auto"/>
        </w:rPr>
      </w:pPr>
    </w:p>
    <w:p>
      <w:pPr>
        <w:ind w:right="4239" w:firstLine="263"/>
        <w:spacing w:after="0" w:line="281" w:lineRule="auto"/>
        <w:rPr>
          <w:sz w:val="20"/>
          <w:szCs w:val="20"/>
          <w:color w:val="auto"/>
        </w:rPr>
      </w:pPr>
      <w:r>
        <w:rPr>
          <w:rFonts w:ascii="Arial" w:cs="Arial" w:eastAsia="Arial" w:hAnsi="Arial"/>
          <w:sz w:val="12"/>
          <w:szCs w:val="12"/>
          <w:color w:val="auto"/>
        </w:rPr>
        <w:t>Sales of fragrances were $1,200 million, $1,135 million and $1,123 million in 2006, 2005 and 2004, respectively. Sales of flavors were $895 million, $858 million and $911 million in 2006, 2005 and 2004, respectively. Sales in the United States, based on the final country of destination of the Company’s products, were $583 million, $537 million and $565 million in 2006, 2005 and 2004, respectively. No other country of destination exceeded 7% of consolidated sales. No customer accounted for 10% or more of sales. Total long-lived assets consists of net property, plant and equipment and net intangible assets and amounted to $1,241 million, $1,272 million and $1,291 million at December 31, 2006, 2005 and 2004, respectively; of the respective totals, $867 million, $946 million and $966 million were located in the United States. No other individual country had long-lived assets that exceeded 10% of total long-lived assets.</w:t>
      </w:r>
    </w:p>
    <w:p>
      <w:pPr>
        <w:spacing w:after="0" w:line="49" w:lineRule="exact"/>
        <w:rPr>
          <w:sz w:val="20"/>
          <w:szCs w:val="20"/>
          <w:color w:val="auto"/>
        </w:rPr>
      </w:pPr>
    </w:p>
    <w:p>
      <w:pPr>
        <w:ind w:right="4259" w:firstLine="263"/>
        <w:spacing w:after="0" w:line="279" w:lineRule="auto"/>
        <w:rPr>
          <w:sz w:val="20"/>
          <w:szCs w:val="20"/>
          <w:color w:val="auto"/>
        </w:rPr>
      </w:pPr>
      <w:r>
        <w:rPr>
          <w:rFonts w:ascii="Arial" w:cs="Arial" w:eastAsia="Arial" w:hAnsi="Arial"/>
          <w:sz w:val="13"/>
          <w:szCs w:val="13"/>
          <w:color w:val="auto"/>
        </w:rPr>
        <w:t>Net foreign exchange transactions resulted in a loss of $7 million in 2006, a gain of $3 million in 2005 and a loss of $3 million in 2004, and are included in Other (income) expense, net.</w:t>
      </w:r>
    </w:p>
    <w:p>
      <w:pPr>
        <w:spacing w:after="0" w:line="123"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14.</w:t>
        <w:tab/>
        <w:t>RETIREMENT BENEFITS</w:t>
      </w:r>
    </w:p>
    <w:p>
      <w:pPr>
        <w:spacing w:after="0" w:line="92" w:lineRule="exact"/>
        <w:rPr>
          <w:sz w:val="20"/>
          <w:szCs w:val="20"/>
          <w:color w:val="auto"/>
        </w:rPr>
      </w:pPr>
    </w:p>
    <w:p>
      <w:pPr>
        <w:ind w:right="4299" w:firstLine="263"/>
        <w:spacing w:after="0" w:line="284" w:lineRule="auto"/>
        <w:rPr>
          <w:sz w:val="20"/>
          <w:szCs w:val="20"/>
          <w:color w:val="auto"/>
        </w:rPr>
      </w:pPr>
      <w:r>
        <w:rPr>
          <w:rFonts w:ascii="Arial" w:cs="Arial" w:eastAsia="Arial" w:hAnsi="Arial"/>
          <w:sz w:val="12"/>
          <w:szCs w:val="12"/>
          <w:color w:val="auto"/>
        </w:rPr>
        <w:t>The Company and most of its subsidiaries have pension and/or other retirement benefit plans.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balance sheet accruals. Contributions to defined contribution plans are mainly determined as a percentage of salary.</w:t>
      </w:r>
    </w:p>
    <w:p>
      <w:pPr>
        <w:spacing w:after="0" w:line="49" w:lineRule="exact"/>
        <w:rPr>
          <w:sz w:val="20"/>
          <w:szCs w:val="20"/>
          <w:color w:val="auto"/>
        </w:rPr>
      </w:pPr>
    </w:p>
    <w:p>
      <w:pPr>
        <w:ind w:right="4239" w:firstLine="263"/>
        <w:spacing w:after="0" w:line="287" w:lineRule="auto"/>
        <w:rPr>
          <w:sz w:val="20"/>
          <w:szCs w:val="20"/>
          <w:color w:val="auto"/>
        </w:rPr>
      </w:pPr>
      <w:r>
        <w:rPr>
          <w:rFonts w:ascii="Arial" w:cs="Arial" w:eastAsia="Arial" w:hAnsi="Arial"/>
          <w:sz w:val="12"/>
          <w:szCs w:val="12"/>
          <w:color w:val="auto"/>
        </w:rPr>
        <w:t>In addition to pension benefits, certain health care and life insurance benefits are provided to qualifying United States employees upon retirement. Such coverage is provided through insurance plans with premiums based on benefits paid. The Company does not generally provide health care or life insurance coverage for retired employees of subsidiaries outside the United States; such benefits are generally provided by government-sponsored plans, and the cost of such programs is not significant to the Company.</w:t>
      </w:r>
    </w:p>
    <w:p>
      <w:pPr>
        <w:sectPr>
          <w:pgSz w:w="11900" w:h="16838" w:orient="portrait"/>
          <w:cols w:equalWidth="0" w:num="1">
            <w:col w:w="10239"/>
          </w:cols>
          <w:pgMar w:left="220" w:top="131" w:right="1440" w:bottom="0" w:gutter="0" w:footer="0" w:header="0"/>
        </w:sectPr>
      </w:pPr>
    </w:p>
    <w:bookmarkStart w:id="31" w:name="page32"/>
    <w:bookmarkEnd w:id="31"/>
    <w:p>
      <w:pPr>
        <w:ind w:right="4459" w:firstLine="263"/>
        <w:spacing w:after="0" w:line="279" w:lineRule="auto"/>
        <w:rPr>
          <w:sz w:val="20"/>
          <w:szCs w:val="20"/>
          <w:color w:val="auto"/>
        </w:rPr>
      </w:pPr>
      <w:r>
        <w:rPr>
          <w:rFonts w:ascii="Arial" w:cs="Arial" w:eastAsia="Arial" w:hAnsi="Arial"/>
          <w:sz w:val="13"/>
          <w:szCs w:val="13"/>
          <w:color w:val="auto"/>
        </w:rPr>
        <w:t>The plan assets and benefit obligations of the Company’s pension plans are measured at December 31 of each year.</w:t>
      </w:r>
    </w:p>
    <w:p>
      <w:pPr>
        <w:spacing w:after="0" w:line="48" w:lineRule="exact"/>
        <w:rPr>
          <w:sz w:val="20"/>
          <w:szCs w:val="20"/>
          <w:color w:val="auto"/>
        </w:rPr>
      </w:pPr>
    </w:p>
    <w:p>
      <w:pPr>
        <w:ind w:right="4259" w:firstLine="263"/>
        <w:spacing w:after="0" w:line="283" w:lineRule="auto"/>
        <w:rPr>
          <w:sz w:val="20"/>
          <w:szCs w:val="20"/>
          <w:color w:val="auto"/>
        </w:rPr>
      </w:pPr>
      <w:r>
        <w:rPr>
          <w:rFonts w:ascii="Arial" w:cs="Arial" w:eastAsia="Arial" w:hAnsi="Arial"/>
          <w:sz w:val="12"/>
          <w:szCs w:val="12"/>
          <w:color w:val="auto"/>
        </w:rPr>
        <w:t>In 2006, the Company adopted FAS 158 which requires balance sheet recognition of the funded status of each defined benefit pension plan, retiree health care and other postretirement and postemployment benefit plans. An overfunded plan is recognized as an asset; an underfunded plan is recognized as a liability. The initial impact of the standard, due to unrecognized prior service costs or credits and net actuarial gains or losses as well as subsequent changes in the funded status, is recognized as a component of Accumulated other comprehensive income in Shareholders’ Equity. Where applicable, additional minimum pension liabilities (‘‘AML’’) and related intangible assets previously recognized, were eliminated on adoption of FAS 158.</w:t>
      </w:r>
    </w:p>
    <w:p>
      <w:pPr>
        <w:spacing w:after="0" w:line="48" w:lineRule="exact"/>
        <w:rPr>
          <w:sz w:val="20"/>
          <w:szCs w:val="20"/>
          <w:color w:val="auto"/>
        </w:rPr>
      </w:pPr>
    </w:p>
    <w:p>
      <w:pPr>
        <w:ind w:right="4239" w:firstLine="263"/>
        <w:spacing w:after="0" w:line="260" w:lineRule="auto"/>
        <w:rPr>
          <w:sz w:val="20"/>
          <w:szCs w:val="20"/>
          <w:color w:val="auto"/>
        </w:rPr>
      </w:pPr>
      <w:r>
        <w:rPr>
          <w:rFonts w:ascii="Arial" w:cs="Arial" w:eastAsia="Arial" w:hAnsi="Arial"/>
          <w:sz w:val="13"/>
          <w:szCs w:val="13"/>
          <w:color w:val="auto"/>
        </w:rPr>
        <w:t>At December 31, 2005, the Company recorded in AOCI an AML of $147 million ($100 million, net of taxes), as required by FAS 87, ‘‘Employers’ Accounting for Pensions’’. The AML is reflected in Retirement liabilities and is prescribed when the Accumulated Benefit Obligation (‘‘ABO’’) in the plan exceeds the fair value of the underlying pension plan assets and accrued pension liabilities. The adjustment relates to plans in the United States, the United Kingdom, Germany, Ireland and Japan.</w:t>
      </w:r>
    </w:p>
    <w:p>
      <w:pPr>
        <w:spacing w:after="0" w:line="189"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incremental effect of applying FAS 158 on individual line items in the Consolidated Balance Sheet at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December 31, 2006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3848735" cy="755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848735" cy="7556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5"/>
          </w:tcPr>
          <w:p>
            <w:pPr>
              <w:jc w:val="right"/>
              <w:ind w:right="180"/>
              <w:spacing w:after="0"/>
              <w:rPr>
                <w:sz w:val="20"/>
                <w:szCs w:val="20"/>
                <w:color w:val="auto"/>
              </w:rPr>
            </w:pPr>
            <w:r>
              <w:rPr>
                <w:rFonts w:ascii="Arial" w:cs="Arial" w:eastAsia="Arial" w:hAnsi="Arial"/>
                <w:sz w:val="11"/>
                <w:szCs w:val="11"/>
                <w:b w:val="1"/>
                <w:bCs w:val="1"/>
                <w:color w:val="auto"/>
                <w:w w:val="87"/>
              </w:rPr>
              <w:t>Before application</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9"/>
              </w:rPr>
              <w:t>After application</w:t>
            </w:r>
          </w:p>
        </w:tc>
        <w:tc>
          <w:tcPr>
            <w:tcW w:w="0" w:type="dxa"/>
            <w:vAlign w:val="bottom"/>
          </w:tcPr>
          <w:p>
            <w:pPr>
              <w:spacing w:after="0"/>
              <w:rPr>
                <w:sz w:val="1"/>
                <w:szCs w:val="1"/>
                <w:color w:val="auto"/>
              </w:rPr>
            </w:pPr>
          </w:p>
        </w:tc>
      </w:tr>
      <w:tr>
        <w:trPr>
          <w:trHeight w:val="136"/>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(DOLLARS IN THOUSANDS)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of FAS 158</w:t>
            </w: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Adjustments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7"/>
              </w:rPr>
              <w:t>of FAS 158</w:t>
            </w:r>
          </w:p>
        </w:tc>
        <w:tc>
          <w:tcPr>
            <w:tcW w:w="0" w:type="dxa"/>
            <w:vAlign w:val="bottom"/>
          </w:tcPr>
          <w:p>
            <w:pPr>
              <w:spacing w:after="0"/>
              <w:rPr>
                <w:sz w:val="1"/>
                <w:szCs w:val="1"/>
                <w:color w:val="auto"/>
              </w:rPr>
            </w:pPr>
          </w:p>
        </w:tc>
      </w:tr>
      <w:tr>
        <w:trPr>
          <w:trHeight w:val="158"/>
        </w:trPr>
        <w:tc>
          <w:tcPr>
            <w:tcW w:w="22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Deferred income taxes - current</w:t>
            </w: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jc w:val="right"/>
              <w:ind w:right="59"/>
              <w:spacing w:after="0" w:line="14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35"/>
              <w:spacing w:after="0" w:line="149" w:lineRule="exact"/>
              <w:rPr>
                <w:sz w:val="20"/>
                <w:szCs w:val="20"/>
                <w:color w:val="auto"/>
              </w:rPr>
            </w:pPr>
            <w:r>
              <w:rPr>
                <w:rFonts w:ascii="Arial" w:cs="Arial" w:eastAsia="Arial" w:hAnsi="Arial"/>
                <w:sz w:val="13"/>
                <w:szCs w:val="13"/>
                <w:color w:val="auto"/>
                <w:w w:val="90"/>
              </w:rPr>
              <w:t>34,226</w:t>
            </w: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55,222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top w:val="single" w:sz="8" w:color="auto"/>
              <w:right w:val="single" w:sz="8" w:color="CCEEFF"/>
            </w:tcBorders>
            <w:shd w:val="clear" w:color="auto" w:fill="CCEEFF"/>
          </w:tcPr>
          <w:p>
            <w:pPr>
              <w:jc w:val="right"/>
              <w:ind w:right="299"/>
              <w:spacing w:after="0" w:line="14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2"/>
                <w:szCs w:val="12"/>
                <w:color w:val="auto"/>
                <w:w w:val="70"/>
              </w:rPr>
              <w:t>89,448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Prepaid expenses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right"/>
              <w:ind w:right="35"/>
              <w:spacing w:after="0"/>
              <w:rPr>
                <w:sz w:val="20"/>
                <w:szCs w:val="20"/>
                <w:color w:val="auto"/>
              </w:rPr>
            </w:pPr>
            <w:r>
              <w:rPr>
                <w:rFonts w:ascii="Arial" w:cs="Arial" w:eastAsia="Arial" w:hAnsi="Arial"/>
                <w:sz w:val="13"/>
                <w:szCs w:val="13"/>
                <w:color w:val="auto"/>
              </w:rPr>
              <w:t>250,332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33"/>
              <w:spacing w:after="0"/>
              <w:rPr>
                <w:sz w:val="20"/>
                <w:szCs w:val="20"/>
                <w:color w:val="auto"/>
              </w:rPr>
            </w:pPr>
            <w:r>
              <w:rPr>
                <w:rFonts w:ascii="Arial" w:cs="Arial" w:eastAsia="Arial" w:hAnsi="Arial"/>
                <w:sz w:val="13"/>
                <w:szCs w:val="13"/>
                <w:color w:val="auto"/>
              </w:rPr>
              <w:t>(226,997)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2"/>
          </w:tcPr>
          <w:p>
            <w:pPr>
              <w:jc w:val="right"/>
              <w:ind w:right="15"/>
              <w:spacing w:after="0"/>
              <w:rPr>
                <w:sz w:val="20"/>
                <w:szCs w:val="20"/>
                <w:color w:val="auto"/>
              </w:rPr>
            </w:pPr>
            <w:r>
              <w:rPr>
                <w:rFonts w:ascii="Arial" w:cs="Arial" w:eastAsia="Arial" w:hAnsi="Arial"/>
                <w:sz w:val="12"/>
                <w:szCs w:val="12"/>
                <w:color w:val="auto"/>
                <w:w w:val="70"/>
              </w:rPr>
              <w:t>23,335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Total Current Assets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5"/>
              <w:spacing w:after="0"/>
              <w:rPr>
                <w:sz w:val="20"/>
                <w:szCs w:val="20"/>
                <w:color w:val="auto"/>
              </w:rPr>
            </w:pPr>
            <w:r>
              <w:rPr>
                <w:rFonts w:ascii="Arial" w:cs="Arial" w:eastAsia="Arial" w:hAnsi="Arial"/>
                <w:sz w:val="13"/>
                <w:szCs w:val="13"/>
                <w:color w:val="auto"/>
                <w:w w:val="89"/>
              </w:rPr>
              <w:t>1,251,578</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(171,775)</w:t>
            </w:r>
          </w:p>
        </w:tc>
        <w:tc>
          <w:tcPr>
            <w:tcW w:w="940" w:type="dxa"/>
            <w:vAlign w:val="bottom"/>
            <w:gridSpan w:val="4"/>
            <w:shd w:val="clear" w:color="auto" w:fill="CCEEFF"/>
          </w:tcPr>
          <w:p>
            <w:pPr>
              <w:jc w:val="right"/>
              <w:ind w:right="15"/>
              <w:spacing w:after="0"/>
              <w:rPr>
                <w:sz w:val="20"/>
                <w:szCs w:val="20"/>
                <w:color w:val="auto"/>
              </w:rPr>
            </w:pPr>
            <w:r>
              <w:rPr>
                <w:rFonts w:ascii="Arial" w:cs="Arial" w:eastAsia="Arial" w:hAnsi="Arial"/>
                <w:sz w:val="13"/>
                <w:szCs w:val="13"/>
                <w:color w:val="auto"/>
              </w:rPr>
              <w:t>1,079,803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Other Assets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right"/>
              <w:ind w:right="35"/>
              <w:spacing w:after="0"/>
              <w:rPr>
                <w:sz w:val="20"/>
                <w:szCs w:val="20"/>
                <w:color w:val="auto"/>
              </w:rPr>
            </w:pPr>
            <w:r>
              <w:rPr>
                <w:rFonts w:ascii="Arial" w:cs="Arial" w:eastAsia="Arial" w:hAnsi="Arial"/>
                <w:sz w:val="13"/>
                <w:szCs w:val="13"/>
                <w:color w:val="auto"/>
              </w:rPr>
              <w:t>108,620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49,641</w:t>
            </w:r>
          </w:p>
        </w:tc>
        <w:tc>
          <w:tcPr>
            <w:tcW w:w="80" w:type="dxa"/>
            <w:vAlign w:val="bottom"/>
          </w:tcPr>
          <w:p>
            <w:pPr>
              <w:spacing w:after="0"/>
              <w:rPr>
                <w:sz w:val="14"/>
                <w:szCs w:val="14"/>
                <w:color w:val="auto"/>
              </w:rPr>
            </w:pPr>
          </w:p>
        </w:tc>
        <w:tc>
          <w:tcPr>
            <w:tcW w:w="940" w:type="dxa"/>
            <w:vAlign w:val="bottom"/>
            <w:gridSpan w:val="4"/>
          </w:tcPr>
          <w:p>
            <w:pPr>
              <w:jc w:val="right"/>
              <w:ind w:right="15"/>
              <w:spacing w:after="0"/>
              <w:rPr>
                <w:sz w:val="20"/>
                <w:szCs w:val="20"/>
                <w:color w:val="auto"/>
              </w:rPr>
            </w:pPr>
            <w:r>
              <w:rPr>
                <w:rFonts w:ascii="Arial" w:cs="Arial" w:eastAsia="Arial" w:hAnsi="Arial"/>
                <w:sz w:val="13"/>
                <w:szCs w:val="13"/>
                <w:color w:val="auto"/>
              </w:rPr>
              <w:t>158,261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Intangible Assets, net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0"/>
              </w:rPr>
              <w:t>81,245</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(1,111)</w:t>
            </w: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2"/>
                <w:szCs w:val="12"/>
                <w:color w:val="auto"/>
                <w:w w:val="70"/>
              </w:rPr>
              <w:t>80,134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Total Assets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right"/>
              <w:ind w:right="35"/>
              <w:spacing w:after="0"/>
              <w:rPr>
                <w:sz w:val="20"/>
                <w:szCs w:val="20"/>
                <w:color w:val="auto"/>
              </w:rPr>
            </w:pPr>
            <w:r>
              <w:rPr>
                <w:rFonts w:ascii="Arial" w:cs="Arial" w:eastAsia="Arial" w:hAnsi="Arial"/>
                <w:sz w:val="13"/>
                <w:szCs w:val="13"/>
                <w:color w:val="auto"/>
                <w:w w:val="89"/>
              </w:rPr>
              <w:t>2,602,149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33"/>
              <w:spacing w:after="0"/>
              <w:rPr>
                <w:sz w:val="20"/>
                <w:szCs w:val="20"/>
                <w:color w:val="auto"/>
              </w:rPr>
            </w:pPr>
            <w:r>
              <w:rPr>
                <w:rFonts w:ascii="Arial" w:cs="Arial" w:eastAsia="Arial" w:hAnsi="Arial"/>
                <w:sz w:val="13"/>
                <w:szCs w:val="13"/>
                <w:color w:val="auto"/>
              </w:rPr>
              <w:t>(123,245)</w:t>
            </w:r>
          </w:p>
        </w:tc>
        <w:tc>
          <w:tcPr>
            <w:tcW w:w="940" w:type="dxa"/>
            <w:vAlign w:val="bottom"/>
            <w:gridSpan w:val="4"/>
          </w:tcPr>
          <w:p>
            <w:pPr>
              <w:jc w:val="right"/>
              <w:ind w:right="15"/>
              <w:spacing w:after="0"/>
              <w:rPr>
                <w:sz w:val="20"/>
                <w:szCs w:val="20"/>
                <w:color w:val="auto"/>
              </w:rPr>
            </w:pPr>
            <w:r>
              <w:rPr>
                <w:rFonts w:ascii="Arial" w:cs="Arial" w:eastAsia="Arial" w:hAnsi="Arial"/>
                <w:sz w:val="13"/>
                <w:szCs w:val="13"/>
                <w:color w:val="auto"/>
              </w:rPr>
              <w:t>2,478,904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current liabilities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(167,487)</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(447)</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(167,934)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Total Current Liabilities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(446,324)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33"/>
              <w:spacing w:after="0"/>
              <w:rPr>
                <w:sz w:val="20"/>
                <w:szCs w:val="20"/>
                <w:color w:val="auto"/>
              </w:rPr>
            </w:pPr>
            <w:r>
              <w:rPr>
                <w:rFonts w:ascii="Arial" w:cs="Arial" w:eastAsia="Arial" w:hAnsi="Arial"/>
                <w:sz w:val="13"/>
                <w:szCs w:val="13"/>
                <w:color w:val="auto"/>
              </w:rPr>
              <w:t>(447)</w:t>
            </w: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(446,771)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Retirement liabilities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(139,407)</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(31,312)</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(170,719)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Total Other Liabilities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right"/>
              <w:spacing w:after="0"/>
              <w:rPr>
                <w:sz w:val="20"/>
                <w:szCs w:val="20"/>
                <w:color w:val="auto"/>
              </w:rPr>
            </w:pPr>
            <w:r>
              <w:rPr>
                <w:rFonts w:ascii="Arial" w:cs="Arial" w:eastAsia="Arial" w:hAnsi="Arial"/>
                <w:sz w:val="13"/>
                <w:szCs w:val="13"/>
                <w:color w:val="auto"/>
              </w:rPr>
              <w:t>(1,095,653)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33"/>
              <w:spacing w:after="0"/>
              <w:rPr>
                <w:sz w:val="20"/>
                <w:szCs w:val="20"/>
                <w:color w:val="auto"/>
              </w:rPr>
            </w:pPr>
            <w:r>
              <w:rPr>
                <w:rFonts w:ascii="Arial" w:cs="Arial" w:eastAsia="Arial" w:hAnsi="Arial"/>
                <w:sz w:val="13"/>
                <w:szCs w:val="13"/>
                <w:color w:val="auto"/>
              </w:rPr>
              <w:t>(31,312)</w:t>
            </w: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(1,126,965)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Minimum pension liability adjustment (net of tax)</w:t>
            </w:r>
          </w:p>
        </w:tc>
        <w:tc>
          <w:tcPr>
            <w:tcW w:w="36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7,549</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(7,549)</w:t>
            </w: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Pension and postemployment liability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Arial" w:cs="Arial" w:eastAsia="Arial" w:hAnsi="Arial"/>
                <w:sz w:val="13"/>
                <w:szCs w:val="13"/>
                <w:color w:val="auto"/>
                <w:highlight w:val="white"/>
              </w:rPr>
              <w:t>adjustment (net of tax)</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162,553</w:t>
            </w:r>
          </w:p>
        </w:tc>
        <w:tc>
          <w:tcPr>
            <w:tcW w:w="80" w:type="dxa"/>
            <w:vAlign w:val="bottom"/>
          </w:tcPr>
          <w:p>
            <w:pPr>
              <w:spacing w:after="0"/>
              <w:rPr>
                <w:sz w:val="14"/>
                <w:szCs w:val="14"/>
                <w:color w:val="auto"/>
              </w:rPr>
            </w:pPr>
          </w:p>
        </w:tc>
        <w:tc>
          <w:tcPr>
            <w:tcW w:w="940" w:type="dxa"/>
            <w:vAlign w:val="bottom"/>
            <w:gridSpan w:val="4"/>
          </w:tcPr>
          <w:p>
            <w:pPr>
              <w:jc w:val="right"/>
              <w:ind w:right="15"/>
              <w:spacing w:after="0"/>
              <w:rPr>
                <w:sz w:val="20"/>
                <w:szCs w:val="20"/>
                <w:color w:val="auto"/>
              </w:rPr>
            </w:pPr>
            <w:r>
              <w:rPr>
                <w:rFonts w:ascii="Arial" w:cs="Arial" w:eastAsia="Arial" w:hAnsi="Arial"/>
                <w:sz w:val="13"/>
                <w:szCs w:val="13"/>
                <w:color w:val="auto"/>
              </w:rPr>
              <w:t>162,553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Total Shareholders’ Equity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(1,060,172)</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155,004</w:t>
            </w: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(905,168)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w w:val="97"/>
              </w:rPr>
              <w:t>Total Liabilities and Shareholders’ Equity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right"/>
              <w:spacing w:after="0"/>
              <w:rPr>
                <w:sz w:val="20"/>
                <w:szCs w:val="20"/>
                <w:color w:val="auto"/>
              </w:rPr>
            </w:pPr>
            <w:r>
              <w:rPr>
                <w:rFonts w:ascii="Arial" w:cs="Arial" w:eastAsia="Arial" w:hAnsi="Arial"/>
                <w:sz w:val="13"/>
                <w:szCs w:val="13"/>
                <w:color w:val="auto"/>
              </w:rPr>
              <w:t>(2,602,149)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123,245</w:t>
            </w:r>
          </w:p>
        </w:tc>
        <w:tc>
          <w:tcPr>
            <w:tcW w:w="8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(2,478,904)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3100" w:type="dxa"/>
            <w:vAlign w:val="bottom"/>
            <w:gridSpan w:val="7"/>
          </w:tcPr>
          <w:p>
            <w:pPr>
              <w:jc w:val="right"/>
              <w:spacing w:after="0"/>
              <w:rPr>
                <w:sz w:val="20"/>
                <w:szCs w:val="20"/>
                <w:color w:val="auto"/>
              </w:rPr>
            </w:pPr>
            <w:r>
              <w:rPr>
                <w:rFonts w:ascii="Arial" w:cs="Arial" w:eastAsia="Arial" w:hAnsi="Arial"/>
                <w:sz w:val="13"/>
                <w:szCs w:val="13"/>
                <w:color w:val="auto"/>
              </w:rPr>
              <w:t>Pension expense included the following components: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1"/>
                <w:szCs w:val="11"/>
                <w:b w:val="1"/>
                <w:bCs w:val="1"/>
                <w:color w:val="auto"/>
                <w:w w:val="89"/>
              </w:rPr>
              <w:t>U.S. Plans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1"/>
                <w:szCs w:val="11"/>
                <w:b w:val="1"/>
                <w:bCs w:val="1"/>
                <w:color w:val="auto"/>
                <w:w w:val="91"/>
              </w:rPr>
              <w:t>Non-U.S. Plans</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Pr>
          <w:p>
            <w:pPr>
              <w:spacing w:after="0"/>
              <w:rPr>
                <w:sz w:val="10"/>
                <w:szCs w:val="10"/>
                <w:color w:val="auto"/>
              </w:rPr>
            </w:pPr>
          </w:p>
        </w:tc>
        <w:tc>
          <w:tcPr>
            <w:tcW w:w="440" w:type="dxa"/>
            <w:vAlign w:val="bottom"/>
            <w:gridSpan w:val="2"/>
          </w:tcPr>
          <w:p>
            <w:pPr>
              <w:jc w:val="right"/>
              <w:ind w:right="94"/>
              <w:spacing w:after="0" w:line="119" w:lineRule="exact"/>
              <w:rPr>
                <w:sz w:val="20"/>
                <w:szCs w:val="20"/>
                <w:color w:val="auto"/>
              </w:rPr>
            </w:pPr>
            <w:r>
              <w:rPr>
                <w:rFonts w:ascii="Arial" w:cs="Arial" w:eastAsia="Arial" w:hAnsi="Arial"/>
                <w:sz w:val="11"/>
                <w:szCs w:val="11"/>
                <w:b w:val="1"/>
                <w:bCs w:val="1"/>
                <w:color w:val="auto"/>
              </w:rPr>
              <w:t>2006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tcPr>
          <w:p>
            <w:pPr>
              <w:jc w:val="right"/>
              <w:ind w:right="159"/>
              <w:spacing w:after="0" w:line="119" w:lineRule="exact"/>
              <w:rPr>
                <w:sz w:val="20"/>
                <w:szCs w:val="20"/>
                <w:color w:val="auto"/>
              </w:rPr>
            </w:pPr>
            <w:r>
              <w:rPr>
                <w:rFonts w:ascii="Arial" w:cs="Arial" w:eastAsia="Arial" w:hAnsi="Arial"/>
                <w:sz w:val="11"/>
                <w:szCs w:val="11"/>
                <w:b w:val="1"/>
                <w:bCs w:val="1"/>
                <w:color w:val="auto"/>
                <w:w w:val="97"/>
              </w:rPr>
              <w:t>2005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115"/>
              <w:spacing w:after="0" w:line="119" w:lineRule="exact"/>
              <w:rPr>
                <w:sz w:val="20"/>
                <w:szCs w:val="20"/>
                <w:color w:val="auto"/>
              </w:rPr>
            </w:pPr>
            <w:r>
              <w:rPr>
                <w:rFonts w:ascii="Arial" w:cs="Arial" w:eastAsia="Arial" w:hAnsi="Arial"/>
                <w:sz w:val="11"/>
                <w:szCs w:val="11"/>
                <w:b w:val="1"/>
                <w:bCs w:val="1"/>
                <w:color w:val="auto"/>
              </w:rPr>
              <w:t>2004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ind w:right="95"/>
              <w:spacing w:after="0" w:line="119" w:lineRule="exact"/>
              <w:rPr>
                <w:sz w:val="20"/>
                <w:szCs w:val="20"/>
                <w:color w:val="auto"/>
              </w:rPr>
            </w:pPr>
            <w:r>
              <w:rPr>
                <w:rFonts w:ascii="Arial" w:cs="Arial" w:eastAsia="Arial" w:hAnsi="Arial"/>
                <w:sz w:val="11"/>
                <w:szCs w:val="11"/>
                <w:b w:val="1"/>
                <w:bCs w:val="1"/>
                <w:color w:val="auto"/>
                <w:w w:val="89"/>
              </w:rPr>
              <w:t>2006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59"/>
              <w:spacing w:after="0" w:line="119" w:lineRule="exact"/>
              <w:rPr>
                <w:sz w:val="20"/>
                <w:szCs w:val="20"/>
                <w:color w:val="auto"/>
              </w:rPr>
            </w:pPr>
            <w:r>
              <w:rPr>
                <w:rFonts w:ascii="Arial" w:cs="Arial" w:eastAsia="Arial" w:hAnsi="Arial"/>
                <w:sz w:val="11"/>
                <w:szCs w:val="11"/>
                <w:b w:val="1"/>
                <w:bCs w:val="1"/>
                <w:color w:val="auto"/>
                <w:w w:val="97"/>
              </w:rPr>
              <w:t>2005</w:t>
            </w:r>
          </w:p>
        </w:tc>
        <w:tc>
          <w:tcPr>
            <w:tcW w:w="80" w:type="dxa"/>
            <w:vAlign w:val="bottom"/>
          </w:tcPr>
          <w:p>
            <w:pPr>
              <w:spacing w:after="0"/>
              <w:rPr>
                <w:sz w:val="10"/>
                <w:szCs w:val="10"/>
                <w:color w:val="auto"/>
              </w:rPr>
            </w:pPr>
          </w:p>
        </w:tc>
        <w:tc>
          <w:tcPr>
            <w:tcW w:w="2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2004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Service cost for benefits earned</w:t>
            </w: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9,941</w:t>
            </w: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3"/>
                <w:szCs w:val="13"/>
                <w:color w:val="auto"/>
              </w:rPr>
              <w:t>9,381</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8,650</w:t>
            </w: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5"/>
              </w:rPr>
              <w:t>12,739</w:t>
            </w: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right w:val="single" w:sz="8" w:color="CCEEFF"/>
            </w:tcBorders>
            <w:gridSpan w:val="2"/>
            <w:shd w:val="clear" w:color="auto" w:fill="CCEEFF"/>
          </w:tcPr>
          <w:p>
            <w:pPr>
              <w:jc w:val="right"/>
              <w:ind w:right="79"/>
              <w:spacing w:after="0" w:line="149" w:lineRule="exact"/>
              <w:rPr>
                <w:sz w:val="20"/>
                <w:szCs w:val="20"/>
                <w:color w:val="auto"/>
              </w:rPr>
            </w:pPr>
            <w:r>
              <w:rPr>
                <w:rFonts w:ascii="Arial" w:cs="Arial" w:eastAsia="Arial" w:hAnsi="Arial"/>
                <w:sz w:val="13"/>
                <w:szCs w:val="13"/>
                <w:color w:val="auto"/>
              </w:rPr>
              <w:t>10,317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9,085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Interest cost on projected benefit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140"/>
              <w:spacing w:after="0"/>
              <w:rPr>
                <w:sz w:val="20"/>
                <w:szCs w:val="20"/>
                <w:color w:val="auto"/>
              </w:rPr>
            </w:pPr>
            <w:r>
              <w:rPr>
                <w:rFonts w:ascii="Arial" w:cs="Arial" w:eastAsia="Arial" w:hAnsi="Arial"/>
                <w:sz w:val="13"/>
                <w:szCs w:val="13"/>
                <w:color w:val="auto"/>
                <w:shd w:val="clear" w:color="auto" w:fill="CCEEFF"/>
              </w:rPr>
              <w:t>obligation</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21,716</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21,218</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20,225</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3"/>
                <w:szCs w:val="13"/>
                <w:color w:val="auto"/>
                <w:w w:val="95"/>
              </w:rPr>
              <w:t>29,391</w:t>
            </w: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3"/>
                <w:szCs w:val="13"/>
                <w:color w:val="auto"/>
              </w:rPr>
              <w:t>28,701</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26,313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Expected return on plan assets</w:t>
            </w:r>
          </w:p>
        </w:tc>
        <w:tc>
          <w:tcPr>
            <w:tcW w:w="1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w w:val="99"/>
              </w:rPr>
              <w:t>(21,919)</w:t>
            </w:r>
          </w:p>
        </w:tc>
        <w:tc>
          <w:tcPr>
            <w:tcW w:w="10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4"/>
              </w:rPr>
              <w:t>(21,406)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(20,828)</w:t>
            </w:r>
          </w:p>
        </w:tc>
        <w:tc>
          <w:tcPr>
            <w:tcW w:w="140" w:type="dxa"/>
            <w:vAlign w:val="bottom"/>
          </w:tcPr>
          <w:p>
            <w:pPr>
              <w:spacing w:after="0"/>
              <w:rPr>
                <w:sz w:val="14"/>
                <w:szCs w:val="14"/>
                <w:color w:val="auto"/>
              </w:rPr>
            </w:pPr>
          </w:p>
        </w:tc>
        <w:tc>
          <w:tcPr>
            <w:tcW w:w="560" w:type="dxa"/>
            <w:vAlign w:val="bottom"/>
            <w:gridSpan w:val="2"/>
          </w:tcPr>
          <w:p>
            <w:pPr>
              <w:jc w:val="right"/>
              <w:ind w:right="67"/>
              <w:spacing w:after="0"/>
              <w:rPr>
                <w:sz w:val="20"/>
                <w:szCs w:val="20"/>
                <w:color w:val="auto"/>
              </w:rPr>
            </w:pPr>
            <w:r>
              <w:rPr>
                <w:rFonts w:ascii="Arial" w:cs="Arial" w:eastAsia="Arial" w:hAnsi="Arial"/>
                <w:sz w:val="13"/>
                <w:szCs w:val="13"/>
                <w:color w:val="auto"/>
                <w:w w:val="86"/>
              </w:rPr>
              <w:t>(39,767)</w:t>
            </w:r>
          </w:p>
        </w:tc>
        <w:tc>
          <w:tcPr>
            <w:tcW w:w="8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3"/>
                <w:szCs w:val="13"/>
                <w:color w:val="auto"/>
                <w:w w:val="94"/>
              </w:rPr>
              <w:t>(32,514)</w:t>
            </w: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86"/>
              </w:rPr>
              <w:t>(28,314)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Net amortization and deferrals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7,436</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5,357</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8,753</w:t>
            </w: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3"/>
                <w:szCs w:val="13"/>
                <w:color w:val="auto"/>
              </w:rPr>
              <w:t>8,457</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Settlement and curtailment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0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(3,168)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Special termination benefits</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20" w:type="dxa"/>
            <w:vAlign w:val="bottom"/>
            <w:gridSpan w:val="2"/>
          </w:tcPr>
          <w:p>
            <w:pPr>
              <w:spacing w:after="0"/>
              <w:rPr>
                <w:sz w:val="20"/>
                <w:szCs w:val="20"/>
                <w:color w:val="auto"/>
              </w:rPr>
            </w:pPr>
            <w:r>
              <w:rPr>
                <w:rFonts w:ascii="Arial" w:cs="Arial" w:eastAsia="Arial" w:hAnsi="Arial"/>
                <w:sz w:val="13"/>
                <w:szCs w:val="13"/>
                <w:color w:val="auto"/>
                <w:highlight w:val="white"/>
              </w:rPr>
              <w:t>Defined benefit plan expense</w:t>
            </w: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17,174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14,550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7"/>
              <w:spacing w:after="0"/>
              <w:rPr>
                <w:sz w:val="20"/>
                <w:szCs w:val="20"/>
                <w:color w:val="auto"/>
              </w:rPr>
            </w:pPr>
            <w:r>
              <w:rPr>
                <w:rFonts w:ascii="Arial" w:cs="Arial" w:eastAsia="Arial" w:hAnsi="Arial"/>
                <w:sz w:val="13"/>
                <w:szCs w:val="13"/>
                <w:color w:val="auto"/>
                <w:w w:val="95"/>
              </w:rPr>
              <w:t>11,116</w:t>
            </w:r>
          </w:p>
        </w:tc>
        <w:tc>
          <w:tcPr>
            <w:tcW w:w="8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3"/>
                <w:szCs w:val="13"/>
                <w:color w:val="auto"/>
              </w:rPr>
              <w:t>14,961</w:t>
            </w: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10,799</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Defined contribution and other</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320" w:type="dxa"/>
            <w:vAlign w:val="bottom"/>
            <w:gridSpan w:val="2"/>
          </w:tcPr>
          <w:p>
            <w:pPr>
              <w:ind w:left="140"/>
              <w:spacing w:after="0"/>
              <w:rPr>
                <w:sz w:val="20"/>
                <w:szCs w:val="20"/>
                <w:color w:val="auto"/>
              </w:rPr>
            </w:pPr>
            <w:r>
              <w:rPr>
                <w:rFonts w:ascii="Arial" w:cs="Arial" w:eastAsia="Arial" w:hAnsi="Arial"/>
                <w:sz w:val="13"/>
                <w:szCs w:val="13"/>
                <w:color w:val="auto"/>
                <w:highlight w:val="white"/>
              </w:rPr>
              <w:t>retirement plan expense</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3,527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2,884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07"/>
              <w:spacing w:after="0"/>
              <w:rPr>
                <w:sz w:val="20"/>
                <w:szCs w:val="20"/>
                <w:color w:val="auto"/>
              </w:rPr>
            </w:pPr>
            <w:r>
              <w:rPr>
                <w:rFonts w:ascii="Arial" w:cs="Arial" w:eastAsia="Arial" w:hAnsi="Arial"/>
                <w:sz w:val="13"/>
                <w:szCs w:val="13"/>
                <w:color w:val="auto"/>
              </w:rPr>
              <w:t>3,526</w:t>
            </w:r>
          </w:p>
        </w:tc>
        <w:tc>
          <w:tcPr>
            <w:tcW w:w="80" w:type="dxa"/>
            <w:vAlign w:val="bottom"/>
          </w:tcPr>
          <w:p>
            <w:pPr>
              <w:spacing w:after="0"/>
              <w:rPr>
                <w:sz w:val="13"/>
                <w:szCs w:val="13"/>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3"/>
                <w:szCs w:val="13"/>
                <w:color w:val="auto"/>
              </w:rPr>
              <w:t>3,265</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3,610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Total pension expense</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20,701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right w:val="single" w:sz="8" w:color="CCEEFF"/>
            </w:tcBorders>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17,434</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13,146</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14,642</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right w:val="single" w:sz="8" w:color="CCEEFF"/>
            </w:tcBorders>
            <w:gridSpan w:val="2"/>
            <w:shd w:val="clear" w:color="auto" w:fill="CCEEFF"/>
          </w:tcPr>
          <w:p>
            <w:pPr>
              <w:jc w:val="right"/>
              <w:ind w:right="79"/>
              <w:spacing w:after="0" w:line="148" w:lineRule="exact"/>
              <w:rPr>
                <w:sz w:val="20"/>
                <w:szCs w:val="20"/>
                <w:color w:val="auto"/>
              </w:rPr>
            </w:pPr>
            <w:r>
              <w:rPr>
                <w:rFonts w:ascii="Arial" w:cs="Arial" w:eastAsia="Arial" w:hAnsi="Arial"/>
                <w:sz w:val="13"/>
                <w:szCs w:val="13"/>
                <w:color w:val="auto"/>
              </w:rPr>
              <w:t>18,226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14,409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-3471545</wp:posOffset>
            </wp:positionV>
            <wp:extent cx="3961765" cy="35350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961765" cy="353504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amounts are expected to be recognized in defined benefit plans expense in the coming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50" cy="6286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3798570"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798570" cy="635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8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U.S. Plans</w:t>
            </w: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w w:val="88"/>
              </w:rPr>
              <w:t>Non-U.S. Plans</w:t>
            </w:r>
          </w:p>
        </w:tc>
      </w:tr>
      <w:tr>
        <w:trPr>
          <w:trHeight w:val="158"/>
        </w:trPr>
        <w:tc>
          <w:tcPr>
            <w:tcW w:w="4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Loss recognition</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$ 5,058</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1"/>
              <w:spacing w:after="0" w:line="149" w:lineRule="exact"/>
              <w:rPr>
                <w:sz w:val="20"/>
                <w:szCs w:val="20"/>
                <w:color w:val="auto"/>
              </w:rPr>
            </w:pPr>
            <w:r>
              <w:rPr>
                <w:rFonts w:ascii="Arial" w:cs="Arial" w:eastAsia="Arial" w:hAnsi="Arial"/>
                <w:sz w:val="13"/>
                <w:szCs w:val="13"/>
                <w:color w:val="auto"/>
              </w:rPr>
              <w:t>$ 5,037</w:t>
            </w:r>
          </w:p>
        </w:tc>
      </w:tr>
      <w:tr>
        <w:trPr>
          <w:trHeight w:val="167"/>
        </w:trPr>
        <w:tc>
          <w:tcPr>
            <w:tcW w:w="4220" w:type="dxa"/>
            <w:vAlign w:val="bottom"/>
          </w:tcPr>
          <w:p>
            <w:pPr>
              <w:spacing w:after="0"/>
              <w:rPr>
                <w:sz w:val="20"/>
                <w:szCs w:val="20"/>
                <w:color w:val="auto"/>
              </w:rPr>
            </w:pPr>
            <w:r>
              <w:rPr>
                <w:rFonts w:ascii="Arial" w:cs="Arial" w:eastAsia="Arial" w:hAnsi="Arial"/>
                <w:sz w:val="13"/>
                <w:szCs w:val="13"/>
                <w:color w:val="auto"/>
                <w:highlight w:val="white"/>
              </w:rPr>
              <w:t>Prior service cost recognition</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1,142</w:t>
            </w:r>
          </w:p>
        </w:tc>
        <w:tc>
          <w:tcPr>
            <w:tcW w:w="1020" w:type="dxa"/>
            <w:vAlign w:val="bottom"/>
            <w:gridSpan w:val="2"/>
          </w:tcPr>
          <w:p>
            <w:pPr>
              <w:jc w:val="right"/>
              <w:ind w:right="121"/>
              <w:spacing w:after="0"/>
              <w:rPr>
                <w:sz w:val="20"/>
                <w:szCs w:val="20"/>
                <w:color w:val="auto"/>
              </w:rPr>
            </w:pPr>
            <w:r>
              <w:rPr>
                <w:rFonts w:ascii="Arial" w:cs="Arial" w:eastAsia="Arial" w:hAnsi="Arial"/>
                <w:sz w:val="13"/>
                <w:szCs w:val="13"/>
                <w:color w:val="auto"/>
              </w:rPr>
              <w:t>203</w:t>
            </w:r>
          </w:p>
        </w:tc>
      </w:tr>
      <w:tr>
        <w:trPr>
          <w:trHeight w:val="169"/>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Net initial asset recognition</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3798570" cy="43307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798570" cy="433070"/>
                    </a:xfrm>
                    <a:prstGeom prst="rect">
                      <a:avLst/>
                    </a:prstGeom>
                    <a:noFill/>
                  </pic:spPr>
                </pic:pic>
              </a:graphicData>
            </a:graphic>
          </wp:anchor>
        </w:drawing>
      </w:r>
    </w:p>
    <w:p>
      <w:pPr>
        <w:spacing w:after="0" w:line="159" w:lineRule="exact"/>
        <w:rPr>
          <w:sz w:val="20"/>
          <w:szCs w:val="20"/>
          <w:color w:val="auto"/>
        </w:rPr>
      </w:pPr>
    </w:p>
    <w:p>
      <w:pPr>
        <w:ind w:right="4459" w:firstLine="263"/>
        <w:spacing w:after="0" w:line="279" w:lineRule="auto"/>
        <w:rPr>
          <w:sz w:val="20"/>
          <w:szCs w:val="20"/>
          <w:color w:val="auto"/>
        </w:rPr>
      </w:pPr>
      <w:r>
        <w:rPr>
          <w:rFonts w:ascii="Arial" w:cs="Arial" w:eastAsia="Arial" w:hAnsi="Arial"/>
          <w:sz w:val="13"/>
          <w:szCs w:val="13"/>
          <w:color w:val="auto"/>
        </w:rPr>
        <w:t>The following weighted-average actuarial assumptions were used to determine expense in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3754755"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754755" cy="635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U.S. Plans</w:t>
            </w: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w w:val="93"/>
              </w:rPr>
              <w:t>Non-U.S. Plans</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8"/>
        </w:trPr>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w w:val="89"/>
              </w:rPr>
              <w:t>2006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w w:val="89"/>
              </w:rPr>
              <w:t>2005</w:t>
            </w:r>
          </w:p>
        </w:tc>
        <w:tc>
          <w:tcPr>
            <w:tcW w:w="280" w:type="dxa"/>
            <w:vAlign w:val="bottom"/>
          </w:tcPr>
          <w:p>
            <w:pPr>
              <w:spacing w:after="0"/>
              <w:rPr>
                <w:sz w:val="10"/>
                <w:szCs w:val="10"/>
                <w:color w:val="auto"/>
              </w:rPr>
            </w:pPr>
          </w:p>
        </w:tc>
        <w:tc>
          <w:tcPr>
            <w:tcW w:w="280" w:type="dxa"/>
            <w:vAlign w:val="bottom"/>
            <w:tcBorders>
              <w:bottom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w w:val="89"/>
              </w:rPr>
              <w:t>2004</w:t>
            </w:r>
          </w:p>
        </w:tc>
        <w:tc>
          <w:tcPr>
            <w:tcW w:w="260" w:type="dxa"/>
            <w:vAlign w:val="bottom"/>
          </w:tcPr>
          <w:p>
            <w:pPr>
              <w:spacing w:after="0"/>
              <w:rPr>
                <w:sz w:val="10"/>
                <w:szCs w:val="10"/>
                <w:color w:val="auto"/>
              </w:rPr>
            </w:pPr>
          </w:p>
        </w:tc>
        <w:tc>
          <w:tcPr>
            <w:tcW w:w="280" w:type="dxa"/>
            <w:vAlign w:val="bottom"/>
            <w:tcBorders>
              <w:bottom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w w:val="89"/>
              </w:rPr>
              <w:t>2006</w:t>
            </w:r>
          </w:p>
        </w:tc>
        <w:tc>
          <w:tcPr>
            <w:tcW w:w="300" w:type="dxa"/>
            <w:vAlign w:val="bottom"/>
          </w:tcPr>
          <w:p>
            <w:pPr>
              <w:spacing w:after="0"/>
              <w:rPr>
                <w:sz w:val="10"/>
                <w:szCs w:val="10"/>
                <w:color w:val="auto"/>
              </w:rPr>
            </w:pPr>
          </w:p>
        </w:tc>
        <w:tc>
          <w:tcPr>
            <w:tcW w:w="26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w w:val="89"/>
              </w:rPr>
              <w:t>2005</w:t>
            </w:r>
          </w:p>
        </w:tc>
        <w:tc>
          <w:tcPr>
            <w:tcW w:w="300" w:type="dxa"/>
            <w:vAlign w:val="bottom"/>
          </w:tcPr>
          <w:p>
            <w:pPr>
              <w:spacing w:after="0"/>
              <w:rPr>
                <w:sz w:val="10"/>
                <w:szCs w:val="10"/>
                <w:color w:val="auto"/>
              </w:rPr>
            </w:pPr>
          </w:p>
        </w:tc>
        <w:tc>
          <w:tcPr>
            <w:tcW w:w="300" w:type="dxa"/>
            <w:vAlign w:val="bottom"/>
            <w:tcBorders>
              <w:bottom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w w:val="97"/>
              </w:rPr>
              <w:t>2004</w:t>
            </w:r>
          </w:p>
        </w:tc>
        <w:tc>
          <w:tcPr>
            <w:tcW w:w="100" w:type="dxa"/>
            <w:vAlign w:val="bottom"/>
          </w:tcPr>
          <w:p>
            <w:pPr>
              <w:spacing w:after="0"/>
              <w:rPr>
                <w:sz w:val="10"/>
                <w:szCs w:val="10"/>
                <w:color w:val="auto"/>
              </w:rPr>
            </w:pPr>
          </w:p>
        </w:tc>
      </w:tr>
      <w:tr>
        <w:trPr>
          <w:trHeight w:val="138"/>
        </w:trPr>
        <w:tc>
          <w:tcPr>
            <w:tcW w:w="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8"/>
                <w:shd w:val="clear" w:color="auto" w:fill="CCEEFF"/>
              </w:rPr>
              <w:t>Discount rate</w:t>
            </w: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gridSpan w:val="2"/>
          </w:tcPr>
          <w:p>
            <w:pPr>
              <w:ind w:left="40"/>
              <w:spacing w:after="0" w:line="138" w:lineRule="exact"/>
              <w:rPr>
                <w:sz w:val="20"/>
                <w:szCs w:val="20"/>
                <w:color w:val="auto"/>
              </w:rPr>
            </w:pPr>
            <w:r>
              <w:rPr>
                <w:rFonts w:ascii="Arial" w:cs="Arial" w:eastAsia="Arial" w:hAnsi="Arial"/>
                <w:sz w:val="13"/>
                <w:szCs w:val="13"/>
                <w:color w:val="auto"/>
                <w:w w:val="92"/>
              </w:rPr>
              <w:t>5.75%</w:t>
            </w:r>
          </w:p>
        </w:tc>
        <w:tc>
          <w:tcPr>
            <w:tcW w:w="140" w:type="dxa"/>
            <w:vAlign w:val="bottom"/>
          </w:tcPr>
          <w:p>
            <w:pPr>
              <w:spacing w:after="0"/>
              <w:rPr>
                <w:sz w:val="12"/>
                <w:szCs w:val="12"/>
                <w:color w:val="auto"/>
              </w:rPr>
            </w:pPr>
          </w:p>
        </w:tc>
        <w:tc>
          <w:tcPr>
            <w:tcW w:w="54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6.00%</w:t>
            </w:r>
          </w:p>
        </w:tc>
        <w:tc>
          <w:tcPr>
            <w:tcW w:w="54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6.25%</w:t>
            </w:r>
          </w:p>
        </w:tc>
        <w:tc>
          <w:tcPr>
            <w:tcW w:w="5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4.57%</w:t>
            </w:r>
          </w:p>
        </w:tc>
        <w:tc>
          <w:tcPr>
            <w:tcW w:w="56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5.03%</w:t>
            </w:r>
          </w:p>
        </w:tc>
        <w:tc>
          <w:tcPr>
            <w:tcW w:w="40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86"/>
              </w:rPr>
              <w:t>5.25%</w:t>
            </w:r>
          </w:p>
        </w:tc>
      </w:tr>
      <w:tr>
        <w:trPr>
          <w:trHeight w:val="176"/>
        </w:trPr>
        <w:tc>
          <w:tcPr>
            <w:tcW w:w="2900" w:type="dxa"/>
            <w:vAlign w:val="bottom"/>
            <w:gridSpan w:val="3"/>
          </w:tcPr>
          <w:p>
            <w:pPr>
              <w:spacing w:after="0"/>
              <w:rPr>
                <w:sz w:val="20"/>
                <w:szCs w:val="20"/>
                <w:color w:val="auto"/>
              </w:rPr>
            </w:pPr>
            <w:r>
              <w:rPr>
                <w:rFonts w:ascii="Arial" w:cs="Arial" w:eastAsia="Arial" w:hAnsi="Arial"/>
                <w:sz w:val="13"/>
                <w:szCs w:val="13"/>
                <w:color w:val="auto"/>
                <w:highlight w:val="white"/>
              </w:rPr>
              <w:t>Expected return on plan assets</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w w:val="92"/>
              </w:rPr>
              <w:t>8.25%</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8.25%</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8.25%</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6.99%</w:t>
            </w:r>
          </w:p>
        </w:tc>
        <w:tc>
          <w:tcPr>
            <w:tcW w:w="560" w:type="dxa"/>
            <w:vAlign w:val="bottom"/>
            <w:gridSpan w:val="2"/>
          </w:tcPr>
          <w:p>
            <w:pPr>
              <w:ind w:left="40"/>
              <w:spacing w:after="0"/>
              <w:rPr>
                <w:sz w:val="20"/>
                <w:szCs w:val="20"/>
                <w:color w:val="auto"/>
              </w:rPr>
            </w:pPr>
            <w:r>
              <w:rPr>
                <w:rFonts w:ascii="Arial" w:cs="Arial" w:eastAsia="Arial" w:hAnsi="Arial"/>
                <w:sz w:val="13"/>
                <w:szCs w:val="13"/>
                <w:color w:val="auto"/>
              </w:rPr>
              <w:t>6.86%</w:t>
            </w:r>
          </w:p>
        </w:tc>
        <w:tc>
          <w:tcPr>
            <w:tcW w:w="400" w:type="dxa"/>
            <w:vAlign w:val="bottom"/>
            <w:gridSpan w:val="2"/>
          </w:tcPr>
          <w:p>
            <w:pPr>
              <w:ind w:left="60"/>
              <w:spacing w:after="0"/>
              <w:rPr>
                <w:sz w:val="20"/>
                <w:szCs w:val="20"/>
                <w:color w:val="auto"/>
              </w:rPr>
            </w:pPr>
            <w:r>
              <w:rPr>
                <w:rFonts w:ascii="Arial" w:cs="Arial" w:eastAsia="Arial" w:hAnsi="Arial"/>
                <w:sz w:val="13"/>
                <w:szCs w:val="13"/>
                <w:color w:val="auto"/>
                <w:w w:val="86"/>
              </w:rPr>
              <w:t>6.82%</w:t>
            </w:r>
          </w:p>
        </w:tc>
      </w:tr>
      <w:tr>
        <w:trPr>
          <w:trHeight w:val="160"/>
        </w:trPr>
        <w:tc>
          <w:tcPr>
            <w:tcW w:w="16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Rate of compensation increase</w:t>
            </w:r>
          </w:p>
        </w:tc>
        <w:tc>
          <w:tcPr>
            <w:tcW w:w="128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w w:val="92"/>
              </w:rPr>
              <w:t>3.75%</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3.75%</w:t>
            </w:r>
          </w:p>
        </w:tc>
        <w:tc>
          <w:tcPr>
            <w:tcW w:w="540" w:type="dxa"/>
            <w:vAlign w:val="bottom"/>
            <w:gridSpan w:val="2"/>
          </w:tcPr>
          <w:p>
            <w:pPr>
              <w:ind w:left="40"/>
              <w:spacing w:after="0"/>
              <w:rPr>
                <w:sz w:val="20"/>
                <w:szCs w:val="20"/>
                <w:color w:val="auto"/>
              </w:rPr>
            </w:pPr>
            <w:r>
              <w:rPr>
                <w:rFonts w:ascii="Arial" w:cs="Arial" w:eastAsia="Arial" w:hAnsi="Arial"/>
                <w:sz w:val="13"/>
                <w:szCs w:val="13"/>
                <w:color w:val="auto"/>
              </w:rPr>
              <w:t>3.75%</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2.46%</w:t>
            </w:r>
          </w:p>
        </w:tc>
        <w:tc>
          <w:tcPr>
            <w:tcW w:w="560" w:type="dxa"/>
            <w:vAlign w:val="bottom"/>
            <w:gridSpan w:val="2"/>
          </w:tcPr>
          <w:p>
            <w:pPr>
              <w:ind w:left="40"/>
              <w:spacing w:after="0"/>
              <w:rPr>
                <w:sz w:val="20"/>
                <w:szCs w:val="20"/>
                <w:color w:val="auto"/>
              </w:rPr>
            </w:pPr>
            <w:r>
              <w:rPr>
                <w:rFonts w:ascii="Arial" w:cs="Arial" w:eastAsia="Arial" w:hAnsi="Arial"/>
                <w:sz w:val="13"/>
                <w:szCs w:val="13"/>
                <w:color w:val="auto"/>
              </w:rPr>
              <w:t>2.41%</w:t>
            </w:r>
          </w:p>
        </w:tc>
        <w:tc>
          <w:tcPr>
            <w:tcW w:w="400" w:type="dxa"/>
            <w:vAlign w:val="bottom"/>
            <w:gridSpan w:val="2"/>
          </w:tcPr>
          <w:p>
            <w:pPr>
              <w:ind w:left="60"/>
              <w:spacing w:after="0"/>
              <w:rPr>
                <w:sz w:val="20"/>
                <w:szCs w:val="20"/>
                <w:color w:val="auto"/>
              </w:rPr>
            </w:pPr>
            <w:r>
              <w:rPr>
                <w:rFonts w:ascii="Arial" w:cs="Arial" w:eastAsia="Arial" w:hAnsi="Arial"/>
                <w:sz w:val="13"/>
                <w:szCs w:val="13"/>
                <w:color w:val="auto"/>
                <w:w w:val="86"/>
              </w:rPr>
              <w:t>2.52%</w:t>
            </w:r>
          </w:p>
        </w:tc>
      </w:tr>
      <w:tr>
        <w:trPr>
          <w:trHeight w:val="414"/>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233045</wp:posOffset>
            </wp:positionV>
            <wp:extent cx="4809490"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-708025</wp:posOffset>
            </wp:positionV>
            <wp:extent cx="6350" cy="63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-708025</wp:posOffset>
            </wp:positionV>
            <wp:extent cx="6350"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-708025</wp:posOffset>
            </wp:positionV>
            <wp:extent cx="6350"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-708025</wp:posOffset>
            </wp:positionV>
            <wp:extent cx="6350"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-619760</wp:posOffset>
            </wp:positionV>
            <wp:extent cx="6350"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-619760</wp:posOffset>
            </wp:positionV>
            <wp:extent cx="6350"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-619760</wp:posOffset>
            </wp:positionV>
            <wp:extent cx="6350"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-619760</wp:posOffset>
            </wp:positionV>
            <wp:extent cx="6350"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-619760</wp:posOffset>
            </wp:positionV>
            <wp:extent cx="6350"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-619760</wp:posOffset>
            </wp:positionV>
            <wp:extent cx="6350"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-619760</wp:posOffset>
            </wp:positionV>
            <wp:extent cx="6350"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-619760</wp:posOffset>
            </wp:positionV>
            <wp:extent cx="6350"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-619760</wp:posOffset>
            </wp:positionV>
            <wp:extent cx="6350"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-619760</wp:posOffset>
            </wp:positionV>
            <wp:extent cx="6350" cy="63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-619760</wp:posOffset>
            </wp:positionV>
            <wp:extent cx="6350"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-619760</wp:posOffset>
            </wp:positionV>
            <wp:extent cx="6350"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-569595</wp:posOffset>
            </wp:positionV>
            <wp:extent cx="3779520" cy="3829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779520"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Changes in pension benefit obligations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898900"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898900"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Arial" w:cs="Arial" w:eastAsia="Arial" w:hAnsi="Arial"/>
                <w:sz w:val="11"/>
                <w:szCs w:val="11"/>
                <w:b w:val="1"/>
                <w:bCs w:val="1"/>
                <w:color w:val="auto"/>
              </w:rPr>
              <w:t>U.S. Plans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ind w:left="220"/>
              <w:spacing w:after="0"/>
              <w:rPr>
                <w:sz w:val="20"/>
                <w:szCs w:val="20"/>
                <w:color w:val="auto"/>
              </w:rPr>
            </w:pPr>
            <w:r>
              <w:rPr>
                <w:rFonts w:ascii="Arial" w:cs="Arial" w:eastAsia="Arial" w:hAnsi="Arial"/>
                <w:sz w:val="11"/>
                <w:szCs w:val="11"/>
                <w:b w:val="1"/>
                <w:bCs w:val="1"/>
                <w:color w:val="auto"/>
              </w:rPr>
              <w:t>Non-U.S. Plans</w:t>
            </w:r>
          </w:p>
        </w:tc>
        <w:tc>
          <w:tcPr>
            <w:tcW w:w="0" w:type="dxa"/>
            <w:vAlign w:val="bottom"/>
          </w:tcPr>
          <w:p>
            <w:pPr>
              <w:spacing w:after="0"/>
              <w:rPr>
                <w:sz w:val="1"/>
                <w:szCs w:val="1"/>
                <w:color w:val="auto"/>
              </w:rPr>
            </w:pPr>
          </w:p>
        </w:tc>
      </w:tr>
      <w:tr>
        <w:trPr>
          <w:trHeight w:val="118"/>
        </w:trPr>
        <w:tc>
          <w:tcPr>
            <w:tcW w:w="33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1"/>
                <w:szCs w:val="11"/>
                <w:b w:val="1"/>
                <w:bCs w:val="1"/>
                <w:color w:val="auto"/>
                <w:w w:val="97"/>
              </w:rPr>
              <w:t>2005</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Benefit obligation at beginning of year</w:t>
            </w: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378,209</w:t>
            </w: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9"/>
              </w:rPr>
              <w:t>345,061</w:t>
            </w: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614,211</w:t>
            </w: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619,728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Service cost for benefits earned</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9,941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9,381</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12,739</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Interest cost on projected benefit obligation</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21,716</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21,218</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29,391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Actuarial (gain) loss</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(12,213)</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20,867</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(32,001)</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48,899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Plan amendments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928</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Plan participants’ contributions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1,448</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Benefits paid</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(18,983)</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(19,246)</w:t>
            </w:r>
          </w:p>
        </w:tc>
        <w:tc>
          <w:tcPr>
            <w:tcW w:w="10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(22,983)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(21,484)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Curtailments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Translation adjustments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79,592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(73,369)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Benefit obligation at end of year</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378,670</w:t>
            </w:r>
          </w:p>
        </w:tc>
        <w:tc>
          <w:tcPr>
            <w:tcW w:w="2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w w:val="89"/>
              </w:rPr>
              <w:t>378,209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680,950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614,211</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-1217295</wp:posOffset>
            </wp:positionV>
            <wp:extent cx="3905250" cy="128079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905250" cy="128079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changes in pension plan assets were:</w:t>
      </w:r>
    </w:p>
    <w:p>
      <w:pPr>
        <w:sectPr>
          <w:pgSz w:w="11900" w:h="16838" w:orient="portrait"/>
          <w:cols w:equalWidth="0" w:num="1">
            <w:col w:w="10239"/>
          </w:cols>
          <w:pgMar w:left="220" w:top="210" w:right="1440"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6"/>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b w:val="1"/>
                <w:bCs w:val="1"/>
                <w:color w:val="auto"/>
              </w:rPr>
              <w:t>U.S. Plans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6"/>
          </w:tcPr>
          <w:p>
            <w:pPr>
              <w:ind w:left="22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33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1"/>
                <w:szCs w:val="11"/>
                <w:b w:val="1"/>
                <w:bCs w:val="1"/>
                <w:color w:val="auto"/>
              </w:rPr>
              <w:t>2006</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w w:val="97"/>
              </w:rPr>
              <w:t>2005</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1"/>
                <w:szCs w:val="11"/>
                <w:b w:val="1"/>
                <w:bCs w:val="1"/>
                <w:color w:val="auto"/>
              </w:rPr>
              <w:t>2006</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r>
      <w:tr>
        <w:trPr>
          <w:trHeight w:val="158"/>
        </w:trPr>
        <w:tc>
          <w:tcPr>
            <w:tcW w:w="3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Fair value of plan assets at beginning of year</w:t>
            </w: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294,190</w:t>
            </w: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11"/>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9"/>
              </w:rPr>
              <w:t>278,646</w:t>
            </w: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535,089</w:t>
            </w: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3"/>
              </w:rPr>
              <w:t>493,385</w:t>
            </w:r>
          </w:p>
        </w:tc>
        <w:tc>
          <w:tcPr>
            <w:tcW w:w="40" w:type="dxa"/>
            <w:vAlign w:val="bottom"/>
          </w:tcPr>
          <w:p>
            <w:pPr>
              <w:spacing w:after="0"/>
              <w:rPr>
                <w:sz w:val="13"/>
                <w:szCs w:val="13"/>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Actual return on plan assets</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37,487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10,513</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45,749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69,452</w:t>
            </w:r>
          </w:p>
        </w:tc>
        <w:tc>
          <w:tcPr>
            <w:tcW w:w="40" w:type="dxa"/>
            <w:vAlign w:val="bottom"/>
          </w:tcPr>
          <w:p>
            <w:pPr>
              <w:spacing w:after="0"/>
              <w:rPr>
                <w:sz w:val="14"/>
                <w:szCs w:val="14"/>
                <w:color w:val="auto"/>
              </w:rPr>
            </w:pP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Employer contributions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23,363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24,277</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59,214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53,869</w:t>
            </w:r>
          </w:p>
        </w:tc>
        <w:tc>
          <w:tcPr>
            <w:tcW w:w="40" w:type="dxa"/>
            <w:vAlign w:val="bottom"/>
          </w:tcPr>
          <w:p>
            <w:pPr>
              <w:spacing w:after="0"/>
              <w:rPr>
                <w:sz w:val="14"/>
                <w:szCs w:val="14"/>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Participants contributions</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1,448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1,419</w:t>
            </w:r>
          </w:p>
        </w:tc>
        <w:tc>
          <w:tcPr>
            <w:tcW w:w="40" w:type="dxa"/>
            <w:vAlign w:val="bottom"/>
          </w:tcPr>
          <w:p>
            <w:pPr>
              <w:spacing w:after="0"/>
              <w:rPr>
                <w:sz w:val="14"/>
                <w:szCs w:val="14"/>
                <w:color w:val="auto"/>
              </w:rPr>
            </w:pPr>
          </w:p>
        </w:tc>
      </w:tr>
      <w:tr>
        <w:trPr>
          <w:trHeight w:val="171"/>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Benefits paid</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9"/>
              </w:rPr>
              <w:t>(18,983)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(19,246)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(22,983)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(21,484)</w:t>
            </w:r>
          </w:p>
        </w:tc>
        <w:tc>
          <w:tcPr>
            <w:tcW w:w="40" w:type="dxa"/>
            <w:vAlign w:val="bottom"/>
          </w:tcPr>
          <w:p>
            <w:pPr>
              <w:spacing w:after="0"/>
              <w:rPr>
                <w:sz w:val="14"/>
                <w:szCs w:val="14"/>
                <w:color w:val="auto"/>
              </w:rPr>
            </w:pPr>
          </w:p>
        </w:tc>
      </w:tr>
      <w:tr>
        <w:trPr>
          <w:trHeight w:val="158"/>
        </w:trPr>
        <w:tc>
          <w:tcPr>
            <w:tcW w:w="3320" w:type="dxa"/>
            <w:vAlign w:val="bottom"/>
            <w:gridSpan w:val="2"/>
          </w:tcPr>
          <w:p>
            <w:pPr>
              <w:spacing w:after="0"/>
              <w:rPr>
                <w:sz w:val="20"/>
                <w:szCs w:val="20"/>
                <w:color w:val="auto"/>
              </w:rPr>
            </w:pPr>
            <w:r>
              <w:rPr>
                <w:rFonts w:ascii="Arial" w:cs="Arial" w:eastAsia="Arial" w:hAnsi="Arial"/>
                <w:sz w:val="13"/>
                <w:szCs w:val="13"/>
                <w:color w:val="auto"/>
                <w:highlight w:val="white"/>
              </w:rPr>
              <w:t>Translation adjustments</w:t>
            </w: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75,778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0"/>
              </w:rPr>
              <w:t>(61,552)</w:t>
            </w:r>
          </w:p>
        </w:tc>
        <w:tc>
          <w:tcPr>
            <w:tcW w:w="40" w:type="dxa"/>
            <w:vAlign w:val="bottom"/>
          </w:tcPr>
          <w:p>
            <w:pPr>
              <w:spacing w:after="0"/>
              <w:rPr>
                <w:sz w:val="13"/>
                <w:szCs w:val="13"/>
                <w:color w:val="auto"/>
              </w:rPr>
            </w:pPr>
          </w:p>
        </w:tc>
      </w:tr>
      <w:tr>
        <w:trPr>
          <w:trHeight w:val="158"/>
        </w:trPr>
        <w:tc>
          <w:tcPr>
            <w:tcW w:w="316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Fair value of plan assets at end of year</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336,057</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9"/>
              </w:rPr>
              <w:t>294,190</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694,295</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3"/>
              </w:rPr>
              <w:t>535,089</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6350" cy="628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clrChange>
                        <a:clrFrom>
                          <a:srgbClr val="FFFFFF"/>
                        </a:clrFrom>
                        <a:clrTo>
                          <a:srgbClr val="FFFFFF">
                            <a:alpha val="0"/>
                          </a:srgbClr>
                        </a:clrTo>
                      </a:clrChange>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page">
              <wp:posOffset>139065</wp:posOffset>
            </wp:positionH>
            <wp:positionV relativeFrom="page">
              <wp:posOffset>195580</wp:posOffset>
            </wp:positionV>
            <wp:extent cx="3898900"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8989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-897255</wp:posOffset>
            </wp:positionV>
            <wp:extent cx="3905250" cy="9607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905250" cy="96075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funded status of the pension plans at December 31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880485"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880485" cy="6350"/>
                    </a:xfrm>
                    <a:prstGeom prst="rect">
                      <a:avLst/>
                    </a:prstGeom>
                    <a:noFill/>
                  </pic:spPr>
                </pic:pic>
              </a:graphicData>
            </a:graphic>
          </wp:anchor>
        </w:drawing>
      </w:r>
    </w:p>
    <w:p>
      <w:pPr>
        <w:sectPr>
          <w:pgSz w:w="11900" w:h="16838" w:orient="portrait"/>
          <w:cols w:equalWidth="0" w:num="1">
            <w:col w:w="10239"/>
          </w:cols>
          <w:pgMar w:left="220" w:top="310" w:right="1440" w:bottom="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015490"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015490" cy="6350"/>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-125730</wp:posOffset>
            </wp:positionV>
            <wp:extent cx="6350"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-125730</wp:posOffset>
            </wp:positionV>
            <wp:extent cx="6350" cy="63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-37465</wp:posOffset>
            </wp:positionV>
            <wp:extent cx="6350" cy="63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-37465</wp:posOffset>
            </wp:positionV>
            <wp:extent cx="6350" cy="63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right="120"/>
        <w:spacing w:after="0" w:line="269" w:lineRule="auto"/>
        <w:rPr>
          <w:sz w:val="20"/>
          <w:szCs w:val="20"/>
          <w:color w:val="auto"/>
        </w:rPr>
      </w:pPr>
      <w:r>
        <w:rPr>
          <w:rFonts w:ascii="Arial" w:cs="Arial" w:eastAsia="Arial" w:hAnsi="Arial"/>
          <w:sz w:val="13"/>
          <w:szCs w:val="13"/>
          <w:color w:val="auto"/>
          <w:shd w:val="clear" w:color="auto" w:fill="CCEEFF"/>
        </w:rPr>
        <w:t xml:space="preserve">Plan assets greater (less) than projected benefit obligation </w:t>
      </w:r>
      <w:r>
        <w:rPr>
          <w:rFonts w:ascii="Arial" w:cs="Arial" w:eastAsia="Arial" w:hAnsi="Arial"/>
          <w:sz w:val="13"/>
          <w:szCs w:val="13"/>
          <w:color w:val="auto"/>
          <w:highlight w:val="white"/>
          <w:shd w:val="clear" w:color="auto" w:fill="CCEEFF"/>
        </w:rPr>
        <w:t>Post measurement date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3880485" cy="21336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880485" cy="213360"/>
                    </a:xfrm>
                    <a:prstGeom prst="rect">
                      <a:avLst/>
                    </a:prstGeom>
                    <a:noFill/>
                  </pic:spPr>
                </pic:pic>
              </a:graphicData>
            </a:graphic>
          </wp:anchor>
        </w:drawing>
      </w:r>
    </w:p>
    <w:p>
      <w:pPr>
        <w:ind w:left="140" w:hanging="131"/>
        <w:spacing w:after="0" w:line="261" w:lineRule="auto"/>
        <w:rPr>
          <w:sz w:val="20"/>
          <w:szCs w:val="20"/>
          <w:color w:val="auto"/>
        </w:rPr>
      </w:pPr>
      <w:r>
        <w:rPr>
          <w:rFonts w:ascii="Arial" w:cs="Arial" w:eastAsia="Arial" w:hAnsi="Arial"/>
          <w:sz w:val="13"/>
          <w:szCs w:val="13"/>
          <w:color w:val="auto"/>
          <w:shd w:val="clear" w:color="auto" w:fill="CCEEFF"/>
        </w:rPr>
        <w:t>Remaining balance of unrecognized net liability established at adoption of FAS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3880485" cy="3136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880485" cy="313690"/>
                    </a:xfrm>
                    <a:prstGeom prst="rect">
                      <a:avLst/>
                    </a:prstGeom>
                    <a:noFill/>
                  </pic:spPr>
                </pic:pic>
              </a:graphicData>
            </a:graphic>
          </wp:anchor>
        </w:drawing>
      </w:r>
    </w:p>
    <w:p>
      <w:pPr>
        <w:ind w:right="1480"/>
        <w:spacing w:after="0" w:line="285" w:lineRule="auto"/>
        <w:rPr>
          <w:sz w:val="20"/>
          <w:szCs w:val="20"/>
          <w:color w:val="auto"/>
        </w:rPr>
      </w:pPr>
      <w:r>
        <w:rPr>
          <w:rFonts w:ascii="Arial" w:cs="Arial" w:eastAsia="Arial" w:hAnsi="Arial"/>
          <w:sz w:val="13"/>
          <w:szCs w:val="13"/>
          <w:color w:val="auto"/>
          <w:highlight w:val="white"/>
        </w:rPr>
        <w:t xml:space="preserve">Unrecognized prior service cost </w:t>
      </w:r>
      <w:r>
        <w:rPr>
          <w:rFonts w:ascii="Arial" w:cs="Arial" w:eastAsia="Arial" w:hAnsi="Arial"/>
          <w:sz w:val="13"/>
          <w:szCs w:val="13"/>
          <w:color w:val="auto"/>
          <w:highlight w:val="white"/>
          <w:shd w:val="clear" w:color="auto" w:fill="CCEEFF"/>
        </w:rPr>
        <w:t>Unrecognized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3880485" cy="28892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880485" cy="28892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Net asset (liability)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b w:val="1"/>
                <w:bCs w:val="1"/>
                <w:color w:val="auto"/>
              </w:rPr>
              <w:t>U.S. Plans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21"/>
              <w:spacing w:after="0" w:line="119" w:lineRule="exact"/>
              <w:rPr>
                <w:sz w:val="20"/>
                <w:szCs w:val="20"/>
                <w:color w:val="auto"/>
              </w:rPr>
            </w:pPr>
            <w:r>
              <w:rPr>
                <w:rFonts w:ascii="Arial" w:cs="Arial" w:eastAsia="Arial" w:hAnsi="Arial"/>
                <w:sz w:val="11"/>
                <w:szCs w:val="11"/>
                <w:b w:val="1"/>
                <w:bCs w:val="1"/>
                <w:color w:val="auto"/>
              </w:rPr>
              <w:t>2006</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w w:val="89"/>
              </w:rPr>
              <w:t>2005</w:t>
            </w:r>
          </w:p>
        </w:tc>
        <w:tc>
          <w:tcPr>
            <w:tcW w:w="20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rPr>
              <w:t>2006</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0"/>
                <w:szCs w:val="10"/>
                <w:color w:val="auto"/>
              </w:rPr>
            </w:pPr>
          </w:p>
        </w:tc>
      </w:tr>
      <w:tr>
        <w:trPr>
          <w:trHeight w:val="149"/>
        </w:trPr>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6"/>
              </w:rPr>
              <w:t>(42,613)</w:t>
            </w:r>
          </w:p>
        </w:tc>
        <w:tc>
          <w:tcPr>
            <w:tcW w:w="180" w:type="dxa"/>
            <w:vAlign w:val="bottom"/>
          </w:tcPr>
          <w:p>
            <w:pPr>
              <w:spacing w:after="0"/>
              <w:rPr>
                <w:sz w:val="12"/>
                <w:szCs w:val="12"/>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82"/>
              </w:rPr>
              <w:t>(84,019)</w:t>
            </w:r>
          </w:p>
        </w:tc>
        <w:tc>
          <w:tcPr>
            <w:tcW w:w="20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ind w:left="40"/>
              <w:spacing w:after="0"/>
              <w:rPr>
                <w:sz w:val="20"/>
                <w:szCs w:val="20"/>
                <w:color w:val="auto"/>
              </w:rPr>
            </w:pPr>
            <w:r>
              <w:rPr>
                <w:rFonts w:ascii="Arial" w:cs="Arial" w:eastAsia="Arial" w:hAnsi="Arial"/>
                <w:sz w:val="13"/>
                <w:szCs w:val="13"/>
                <w:color w:val="auto"/>
                <w:w w:val="85"/>
              </w:rPr>
              <w:t>13,345</w:t>
            </w:r>
          </w:p>
        </w:tc>
        <w:tc>
          <w:tcPr>
            <w:tcW w:w="20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0"/>
              </w:rPr>
              <w:t>(79,122)</w:t>
            </w: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114</w:t>
            </w:r>
          </w:p>
        </w:tc>
      </w:tr>
      <w:tr>
        <w:trPr>
          <w:trHeight w:val="32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62</w:t>
            </w: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11,894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3,215</w:t>
            </w: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83,754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w w:val="93"/>
              </w:rPr>
              <w:t>179,895</w:t>
            </w:r>
          </w:p>
        </w:tc>
      </w:tr>
      <w:tr>
        <w:trPr>
          <w:trHeight w:val="149"/>
        </w:trPr>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(42,613</w:t>
            </w:r>
          </w:p>
        </w:tc>
        <w:tc>
          <w:tcPr>
            <w:tcW w:w="180" w:type="dxa"/>
            <w:vAlign w:val="bottom"/>
          </w:tcPr>
          <w:p>
            <w:pPr>
              <w:jc w:val="right"/>
              <w:ind w:right="155"/>
              <w:spacing w:after="0"/>
              <w:rPr>
                <w:sz w:val="20"/>
                <w:szCs w:val="20"/>
                <w:color w:val="auto"/>
              </w:rPr>
            </w:pPr>
            <w:r>
              <w:rPr>
                <w:rFonts w:ascii="Arial" w:cs="Arial" w:eastAsia="Arial" w:hAnsi="Arial"/>
                <w:sz w:val="1"/>
                <w:szCs w:val="1"/>
                <w:color w:val="auto"/>
                <w:w w:val="4294967281"/>
              </w:rPr>
              <w:t>)</w:t>
            </w: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11,629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w w:val="85"/>
              </w:rPr>
              <w:t>13,345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104,164</w:t>
            </w:r>
          </w:p>
        </w:tc>
        <w:tc>
          <w:tcPr>
            <w:tcW w:w="60" w:type="dxa"/>
            <w:vAlign w:val="bottom"/>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-890905</wp:posOffset>
            </wp:positionV>
            <wp:extent cx="6350"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-890905</wp:posOffset>
            </wp:positionV>
            <wp:extent cx="6350"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-803275</wp:posOffset>
            </wp:positionV>
            <wp:extent cx="6350"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-803275</wp:posOffset>
            </wp:positionV>
            <wp:extent cx="6350"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-803275</wp:posOffset>
            </wp:positionV>
            <wp:extent cx="6350"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-803275</wp:posOffset>
            </wp:positionV>
            <wp:extent cx="6350"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1268730</wp:posOffset>
            </wp:positionH>
            <wp:positionV relativeFrom="paragraph">
              <wp:posOffset>-803275</wp:posOffset>
            </wp:positionV>
            <wp:extent cx="6350" cy="63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-803275</wp:posOffset>
            </wp:positionV>
            <wp:extent cx="6350"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-551815</wp:posOffset>
            </wp:positionV>
            <wp:extent cx="6350"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-344805</wp:posOffset>
            </wp:positionV>
            <wp:extent cx="6350"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-238125</wp:posOffset>
            </wp:positionV>
            <wp:extent cx="6350"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-131445</wp:posOffset>
            </wp:positionV>
            <wp:extent cx="6350"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1758950</wp:posOffset>
            </wp:positionH>
            <wp:positionV relativeFrom="paragraph">
              <wp:posOffset>-24765</wp:posOffset>
            </wp:positionV>
            <wp:extent cx="6350"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160" w:space="180"/>
            <w:col w:w="6899"/>
          </w:cols>
          <w:pgMar w:left="220" w:top="310" w:right="1440" w:bottom="0" w:gutter="0" w:footer="0" w:header="0"/>
          <w:type w:val="continuous"/>
        </w:sectPr>
      </w:pPr>
    </w:p>
    <w:p>
      <w:pPr>
        <w:ind w:left="260"/>
        <w:spacing w:after="0"/>
        <w:rPr>
          <w:sz w:val="20"/>
          <w:szCs w:val="20"/>
          <w:color w:val="auto"/>
        </w:rPr>
      </w:pPr>
      <w:r>
        <w:rPr>
          <w:rFonts w:ascii="Arial" w:cs="Arial" w:eastAsia="Arial" w:hAnsi="Arial"/>
          <w:sz w:val="13"/>
          <w:szCs w:val="13"/>
          <w:color w:val="auto"/>
        </w:rPr>
        <w:t>The amounts recognized in the Consolidated Balance Sheet after the adoption of FAS 158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3779520" cy="755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779520" cy="7556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4"/>
              </w:rPr>
              <w:t>Postretirement</w:t>
            </w:r>
          </w:p>
        </w:tc>
      </w:tr>
      <w:tr>
        <w:trPr>
          <w:trHeight w:val="129"/>
        </w:trPr>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89"/>
              </w:rPr>
              <w:t>U.S. Plans</w:t>
            </w:r>
          </w:p>
        </w:tc>
        <w:tc>
          <w:tcPr>
            <w:tcW w:w="7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Non-U.S. Plans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2"/>
              </w:rPr>
              <w:t>Benefits</w:t>
            </w:r>
          </w:p>
        </w:tc>
      </w:tr>
      <w:tr>
        <w:trPr>
          <w:trHeight w:val="136"/>
        </w:trPr>
        <w:tc>
          <w:tcPr>
            <w:tcW w:w="2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2006</w:t>
            </w: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1"/>
              </w:rPr>
              <w:t>2006</w:t>
            </w:r>
          </w:p>
        </w:tc>
        <w:tc>
          <w:tcPr>
            <w:tcW w:w="80" w:type="dxa"/>
            <w:vAlign w:val="bottom"/>
            <w:tcBorders>
              <w:bottom w:val="single" w:sz="8" w:color="auto"/>
            </w:tcBorders>
          </w:tcPr>
          <w:p>
            <w:pPr>
              <w:spacing w:after="0"/>
              <w:rPr>
                <w:sz w:val="11"/>
                <w:szCs w:val="11"/>
                <w:color w:val="auto"/>
              </w:rPr>
            </w:pPr>
          </w:p>
        </w:tc>
      </w:tr>
      <w:tr>
        <w:trPr>
          <w:trHeight w:val="158"/>
        </w:trPr>
        <w:tc>
          <w:tcPr>
            <w:tcW w:w="21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Non current assets</w:t>
            </w: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33,886</w:t>
            </w: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r>
      <w:tr>
        <w:trPr>
          <w:trHeight w:val="167"/>
        </w:trPr>
        <w:tc>
          <w:tcPr>
            <w:tcW w:w="2180" w:type="dxa"/>
            <w:vAlign w:val="bottom"/>
          </w:tcPr>
          <w:p>
            <w:pPr>
              <w:spacing w:after="0"/>
              <w:rPr>
                <w:sz w:val="20"/>
                <w:szCs w:val="20"/>
                <w:color w:val="auto"/>
              </w:rPr>
            </w:pPr>
            <w:r>
              <w:rPr>
                <w:rFonts w:ascii="Arial" w:cs="Arial" w:eastAsia="Arial" w:hAnsi="Arial"/>
                <w:sz w:val="13"/>
                <w:szCs w:val="13"/>
                <w:color w:val="auto"/>
                <w:highlight w:val="white"/>
              </w:rPr>
              <w:t>Current liabilities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(2,520)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(3,330)</w:t>
            </w:r>
          </w:p>
        </w:tc>
      </w:tr>
      <w:tr>
        <w:trPr>
          <w:trHeight w:val="155"/>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Noncurrent liabilities</w:t>
            </w: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4"/>
              </w:rPr>
              <w:t>(40,093)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(19,979)</w:t>
            </w: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(101,165)</w:t>
            </w:r>
          </w:p>
        </w:tc>
      </w:tr>
      <w:tr>
        <w:trPr>
          <w:trHeight w:val="20"/>
        </w:trPr>
        <w:tc>
          <w:tcPr>
            <w:tcW w:w="21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3"/>
        </w:trPr>
        <w:tc>
          <w:tcPr>
            <w:tcW w:w="2180" w:type="dxa"/>
            <w:vAlign w:val="bottom"/>
          </w:tcPr>
          <w:p>
            <w:pPr>
              <w:spacing w:after="0"/>
              <w:rPr>
                <w:sz w:val="20"/>
                <w:szCs w:val="20"/>
                <w:color w:val="auto"/>
              </w:rPr>
            </w:pPr>
            <w:r>
              <w:rPr>
                <w:rFonts w:ascii="Arial" w:cs="Arial" w:eastAsia="Arial" w:hAnsi="Arial"/>
                <w:sz w:val="13"/>
                <w:szCs w:val="13"/>
                <w:color w:val="auto"/>
                <w:highlight w:val="white"/>
              </w:rPr>
              <w:t>Net amount recognized</w:t>
            </w:r>
          </w:p>
        </w:tc>
        <w:tc>
          <w:tcPr>
            <w:tcW w:w="122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w w:val="94"/>
              </w:rPr>
              <w:t>(42,613)</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13,345</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(104,495</w:t>
            </w:r>
            <w:r>
              <w:rPr>
                <w:rFonts w:ascii="Arial" w:cs="Arial" w:eastAsia="Arial" w:hAnsi="Arial"/>
                <w:sz w:val="13"/>
                <w:szCs w:val="13"/>
                <w:color w:val="auto"/>
                <w:highlight w:val="white"/>
                <w:w w:val="96"/>
              </w:rPr>
              <w:t>)</w:t>
            </w:r>
          </w:p>
        </w:tc>
      </w:tr>
      <w:tr>
        <w:trPr>
          <w:trHeight w:val="394"/>
        </w:trPr>
        <w:tc>
          <w:tcPr>
            <w:tcW w:w="218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-821055</wp:posOffset>
            </wp:positionV>
            <wp:extent cx="4809490" cy="10991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809490" cy="109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amounts recognized in AOCI at December 31, 2006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3804920"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804920"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8"/>
          </w:tcPr>
          <w:p>
            <w:pPr>
              <w:jc w:val="center"/>
              <w:ind w:right="160"/>
              <w:spacing w:after="0"/>
              <w:rPr>
                <w:sz w:val="20"/>
                <w:szCs w:val="20"/>
                <w:color w:val="auto"/>
              </w:rPr>
            </w:pPr>
            <w:r>
              <w:rPr>
                <w:rFonts w:ascii="Arial" w:cs="Arial" w:eastAsia="Arial" w:hAnsi="Arial"/>
                <w:sz w:val="11"/>
                <w:szCs w:val="11"/>
                <w:b w:val="1"/>
                <w:bCs w:val="1"/>
                <w:color w:val="auto"/>
                <w:w w:val="84"/>
              </w:rPr>
              <w:t>Postretirement</w:t>
            </w:r>
          </w:p>
        </w:tc>
      </w:tr>
      <w:tr>
        <w:trPr>
          <w:trHeight w:val="136"/>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5"/>
              </w:rPr>
              <w:t>U.S. Plans</w:t>
            </w:r>
          </w:p>
        </w:tc>
        <w:tc>
          <w:tcPr>
            <w:tcW w:w="120" w:type="dxa"/>
            <w:vAlign w:val="bottom"/>
          </w:tcPr>
          <w:p>
            <w:pPr>
              <w:spacing w:after="0"/>
              <w:rPr>
                <w:sz w:val="11"/>
                <w:szCs w:val="11"/>
                <w:color w:val="auto"/>
              </w:rPr>
            </w:pPr>
          </w:p>
        </w:tc>
        <w:tc>
          <w:tcPr>
            <w:tcW w:w="780" w:type="dxa"/>
            <w:vAlign w:val="bottom"/>
            <w:gridSpan w:val="7"/>
          </w:tcPr>
          <w:p>
            <w:pPr>
              <w:jc w:val="center"/>
              <w:spacing w:after="0"/>
              <w:rPr>
                <w:sz w:val="20"/>
                <w:szCs w:val="20"/>
                <w:color w:val="auto"/>
              </w:rPr>
            </w:pPr>
            <w:r>
              <w:rPr>
                <w:rFonts w:ascii="Arial" w:cs="Arial" w:eastAsia="Arial" w:hAnsi="Arial"/>
                <w:sz w:val="11"/>
                <w:szCs w:val="11"/>
                <w:b w:val="1"/>
                <w:bCs w:val="1"/>
                <w:color w:val="auto"/>
                <w:w w:val="86"/>
              </w:rPr>
              <w:t>Non-U.S. Plans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7"/>
          </w:tcPr>
          <w:p>
            <w:pPr>
              <w:jc w:val="center"/>
              <w:ind w:right="360"/>
              <w:spacing w:after="0"/>
              <w:rPr>
                <w:sz w:val="20"/>
                <w:szCs w:val="20"/>
                <w:color w:val="auto"/>
              </w:rPr>
            </w:pPr>
            <w:r>
              <w:rPr>
                <w:rFonts w:ascii="Arial" w:cs="Arial" w:eastAsia="Arial" w:hAnsi="Arial"/>
                <w:sz w:val="11"/>
                <w:szCs w:val="11"/>
                <w:b w:val="1"/>
                <w:bCs w:val="1"/>
                <w:color w:val="auto"/>
                <w:w w:val="87"/>
              </w:rPr>
              <w:t>Benefits</w:t>
            </w:r>
          </w:p>
        </w:tc>
      </w:tr>
      <w:tr>
        <w:trPr>
          <w:trHeight w:val="138"/>
        </w:trPr>
        <w:tc>
          <w:tcPr>
            <w:tcW w:w="3340" w:type="dxa"/>
            <w:vAlign w:val="bottom"/>
            <w:gridSpan w:val="3"/>
          </w:tcPr>
          <w:p>
            <w:pPr>
              <w:spacing w:after="0"/>
              <w:rPr>
                <w:sz w:val="20"/>
                <w:szCs w:val="20"/>
                <w:color w:val="auto"/>
              </w:rPr>
            </w:pPr>
            <w:r>
              <w:rPr>
                <w:rFonts w:ascii="Arial" w:cs="Arial" w:eastAsia="Arial" w:hAnsi="Arial"/>
                <w:sz w:val="11"/>
                <w:szCs w:val="11"/>
                <w:b w:val="1"/>
                <w:bCs w:val="1"/>
                <w:color w:val="auto"/>
              </w:rPr>
              <w:t>(DOLLARS IN THOUSANDS)</w:t>
            </w:r>
          </w:p>
        </w:tc>
        <w:tc>
          <w:tcPr>
            <w:tcW w:w="620" w:type="dxa"/>
            <w:vAlign w:val="bottom"/>
            <w:gridSpan w:val="4"/>
          </w:tcPr>
          <w:p>
            <w:pPr>
              <w:jc w:val="right"/>
              <w:ind w:right="21"/>
              <w:spacing w:after="0"/>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3"/>
          </w:tcPr>
          <w:p>
            <w:pPr>
              <w:jc w:val="center"/>
              <w:ind w:right="14"/>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3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Net actuarial loss</w:t>
            </w:r>
          </w:p>
        </w:tc>
        <w:tc>
          <w:tcPr>
            <w:tcW w:w="40" w:type="dxa"/>
            <w:vAlign w:val="bottom"/>
            <w:tcBorders>
              <w:top w:val="single" w:sz="8" w:color="auto"/>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w w:val="94"/>
              </w:rPr>
              <w:t>$ 50,637</w:t>
            </w: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center"/>
              <w:ind w:left="1"/>
              <w:spacing w:after="0" w:line="14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right w:val="single" w:sz="8" w:color="CCEEFF"/>
            </w:tcBorders>
            <w:gridSpan w:val="5"/>
            <w:shd w:val="clear" w:color="auto" w:fill="CCEEFF"/>
          </w:tcPr>
          <w:p>
            <w:pPr>
              <w:jc w:val="right"/>
              <w:ind w:right="54"/>
              <w:spacing w:after="0" w:line="149" w:lineRule="exact"/>
              <w:rPr>
                <w:sz w:val="20"/>
                <w:szCs w:val="20"/>
                <w:color w:val="auto"/>
              </w:rPr>
            </w:pPr>
            <w:r>
              <w:rPr>
                <w:rFonts w:ascii="Arial" w:cs="Arial" w:eastAsia="Arial" w:hAnsi="Arial"/>
                <w:sz w:val="13"/>
                <w:szCs w:val="13"/>
                <w:color w:val="auto"/>
                <w:w w:val="93"/>
              </w:rPr>
              <w:t>154,315</w:t>
            </w:r>
          </w:p>
        </w:tc>
        <w:tc>
          <w:tcPr>
            <w:tcW w:w="180" w:type="dxa"/>
            <w:vAlign w:val="bottom"/>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gridSpan w:val="4"/>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46,335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3340" w:type="dxa"/>
            <w:vAlign w:val="bottom"/>
            <w:gridSpan w:val="3"/>
          </w:tcPr>
          <w:p>
            <w:pPr>
              <w:spacing w:after="0"/>
              <w:rPr>
                <w:sz w:val="20"/>
                <w:szCs w:val="20"/>
                <w:color w:val="auto"/>
              </w:rPr>
            </w:pPr>
            <w:r>
              <w:rPr>
                <w:rFonts w:ascii="Arial" w:cs="Arial" w:eastAsia="Arial" w:hAnsi="Arial"/>
                <w:sz w:val="13"/>
                <w:szCs w:val="13"/>
                <w:color w:val="auto"/>
                <w:highlight w:val="white"/>
              </w:rPr>
              <w:t>Prior service cost (credit)</w:t>
            </w:r>
          </w:p>
        </w:tc>
        <w:tc>
          <w:tcPr>
            <w:tcW w:w="800" w:type="dxa"/>
            <w:vAlign w:val="bottom"/>
            <w:gridSpan w:val="5"/>
          </w:tcPr>
          <w:p>
            <w:pPr>
              <w:jc w:val="right"/>
              <w:ind w:right="120"/>
              <w:spacing w:after="0"/>
              <w:rPr>
                <w:sz w:val="20"/>
                <w:szCs w:val="20"/>
                <w:color w:val="auto"/>
              </w:rPr>
            </w:pPr>
            <w:r>
              <w:rPr>
                <w:rFonts w:ascii="Arial" w:cs="Arial" w:eastAsia="Arial" w:hAnsi="Arial"/>
                <w:sz w:val="13"/>
                <w:szCs w:val="13"/>
                <w:color w:val="auto"/>
              </w:rPr>
              <w:t>9,794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54"/>
              <w:spacing w:after="0"/>
              <w:rPr>
                <w:sz w:val="20"/>
                <w:szCs w:val="20"/>
                <w:color w:val="auto"/>
              </w:rPr>
            </w:pPr>
            <w:r>
              <w:rPr>
                <w:rFonts w:ascii="Arial" w:cs="Arial" w:eastAsia="Arial" w:hAnsi="Arial"/>
                <w:sz w:val="13"/>
                <w:szCs w:val="13"/>
                <w:color w:val="auto"/>
              </w:rPr>
              <w:t>1,923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3"/>
                <w:szCs w:val="13"/>
                <w:color w:val="auto"/>
                <w:w w:val="99"/>
              </w:rPr>
              <w:t>(23,682)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Unrecognized net initial asset</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3"/>
                <w:szCs w:val="13"/>
                <w:color w:val="auto"/>
                <w:w w:val="86"/>
              </w:rPr>
              <w:t>(27)</w:t>
            </w: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340" w:type="dxa"/>
            <w:vAlign w:val="bottom"/>
            <w:gridSpan w:val="3"/>
          </w:tcPr>
          <w:p>
            <w:pPr>
              <w:spacing w:after="0"/>
              <w:rPr>
                <w:sz w:val="20"/>
                <w:szCs w:val="20"/>
                <w:color w:val="auto"/>
              </w:rPr>
            </w:pPr>
            <w:r>
              <w:rPr>
                <w:rFonts w:ascii="Arial" w:cs="Arial" w:eastAsia="Arial" w:hAnsi="Arial"/>
                <w:sz w:val="13"/>
                <w:szCs w:val="13"/>
                <w:color w:val="auto"/>
                <w:highlight w:val="white"/>
              </w:rPr>
              <w:t>Total AOCI (before tax effects)</w:t>
            </w:r>
          </w:p>
        </w:tc>
        <w:tc>
          <w:tcPr>
            <w:tcW w:w="180" w:type="dxa"/>
            <w:vAlign w:val="bottom"/>
            <w:gridSpan w:val="3"/>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$ 60,431</w:t>
            </w:r>
          </w:p>
        </w:tc>
        <w:tc>
          <w:tcPr>
            <w:tcW w:w="320" w:type="dxa"/>
            <w:vAlign w:val="bottom"/>
            <w:gridSpan w:val="3"/>
          </w:tcPr>
          <w:p>
            <w:pPr>
              <w:jc w:val="center"/>
              <w:ind w:left="118"/>
              <w:spacing w:after="0"/>
              <w:rPr>
                <w:sz w:val="20"/>
                <w:szCs w:val="20"/>
                <w:color w:val="auto"/>
              </w:rPr>
            </w:pPr>
            <w:r>
              <w:rPr>
                <w:rFonts w:ascii="Arial" w:cs="Arial" w:eastAsia="Arial" w:hAnsi="Arial"/>
                <w:sz w:val="13"/>
                <w:szCs w:val="13"/>
                <w:color w:val="auto"/>
                <w:w w:val="82"/>
              </w:rPr>
              <w:t>$</w:t>
            </w:r>
          </w:p>
        </w:tc>
        <w:tc>
          <w:tcPr>
            <w:tcW w:w="580" w:type="dxa"/>
            <w:vAlign w:val="bottom"/>
            <w:gridSpan w:val="5"/>
          </w:tcPr>
          <w:p>
            <w:pPr>
              <w:jc w:val="right"/>
              <w:ind w:right="54"/>
              <w:spacing w:after="0"/>
              <w:rPr>
                <w:sz w:val="20"/>
                <w:szCs w:val="20"/>
                <w:color w:val="auto"/>
              </w:rPr>
            </w:pPr>
            <w:r>
              <w:rPr>
                <w:rFonts w:ascii="Arial" w:cs="Arial" w:eastAsia="Arial" w:hAnsi="Arial"/>
                <w:sz w:val="13"/>
                <w:szCs w:val="13"/>
                <w:color w:val="auto"/>
                <w:w w:val="93"/>
              </w:rPr>
              <w:t>156,211</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4"/>
          </w:tcPr>
          <w:p>
            <w:pPr>
              <w:jc w:val="right"/>
              <w:ind w:right="120"/>
              <w:spacing w:after="0"/>
              <w:rPr>
                <w:sz w:val="20"/>
                <w:szCs w:val="20"/>
                <w:color w:val="auto"/>
              </w:rPr>
            </w:pPr>
            <w:r>
              <w:rPr>
                <w:rFonts w:ascii="Arial" w:cs="Arial" w:eastAsia="Arial" w:hAnsi="Arial"/>
                <w:sz w:val="13"/>
                <w:szCs w:val="13"/>
                <w:color w:val="auto"/>
              </w:rPr>
              <w:t>22,653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3340" w:type="dxa"/>
            <w:vAlign w:val="bottom"/>
            <w:gridSpan w:val="3"/>
          </w:tcPr>
          <w:p>
            <w:pPr>
              <w:ind w:left="260"/>
              <w:spacing w:after="0"/>
              <w:rPr>
                <w:sz w:val="20"/>
                <w:szCs w:val="20"/>
                <w:color w:val="auto"/>
              </w:rPr>
            </w:pPr>
            <w:r>
              <w:rPr>
                <w:rFonts w:ascii="Arial" w:cs="Arial" w:eastAsia="Arial" w:hAnsi="Arial"/>
                <w:sz w:val="13"/>
                <w:szCs w:val="13"/>
                <w:color w:val="auto"/>
              </w:rPr>
              <w:t>The ABO at December 31 was: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ind w:left="320"/>
              <w:spacing w:after="0"/>
              <w:rPr>
                <w:sz w:val="20"/>
                <w:szCs w:val="20"/>
                <w:color w:val="auto"/>
              </w:rPr>
            </w:pPr>
            <w:r>
              <w:rPr>
                <w:rFonts w:ascii="Arial" w:cs="Arial" w:eastAsia="Arial" w:hAnsi="Arial"/>
                <w:sz w:val="11"/>
                <w:szCs w:val="11"/>
                <w:b w:val="1"/>
                <w:bCs w:val="1"/>
                <w:color w:val="auto"/>
              </w:rPr>
              <w:t>U.S. Plans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9"/>
          </w:tcPr>
          <w:p>
            <w:pPr>
              <w:ind w:left="12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33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Pr>
          <w:p>
            <w:pPr>
              <w:spacing w:after="0"/>
              <w:rPr>
                <w:sz w:val="10"/>
                <w:szCs w:val="10"/>
                <w:color w:val="auto"/>
              </w:rPr>
            </w:pPr>
          </w:p>
        </w:tc>
        <w:tc>
          <w:tcPr>
            <w:tcW w:w="5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1"/>
                <w:szCs w:val="11"/>
                <w:b w:val="1"/>
                <w:bCs w:val="1"/>
                <w:color w:val="auto"/>
                <w:w w:val="81"/>
              </w:rPr>
              <w:t>2006</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4"/>
          </w:tcPr>
          <w:p>
            <w:pPr>
              <w:jc w:val="right"/>
              <w:ind w:right="77"/>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121"/>
              <w:spacing w:after="0" w:line="119" w:lineRule="exact"/>
              <w:rPr>
                <w:sz w:val="20"/>
                <w:szCs w:val="20"/>
                <w:color w:val="auto"/>
              </w:rPr>
            </w:pPr>
            <w:r>
              <w:rPr>
                <w:rFonts w:ascii="Arial" w:cs="Arial" w:eastAsia="Arial" w:hAnsi="Arial"/>
                <w:sz w:val="11"/>
                <w:szCs w:val="11"/>
                <w:b w:val="1"/>
                <w:bCs w:val="1"/>
                <w:color w:val="auto"/>
                <w:w w:val="73"/>
              </w:rPr>
              <w:t>2006</w:t>
            </w:r>
          </w:p>
        </w:tc>
        <w:tc>
          <w:tcPr>
            <w:tcW w:w="580" w:type="dxa"/>
            <w:vAlign w:val="bottom"/>
            <w:tcBorders>
              <w:top w:val="single" w:sz="8" w:color="auto"/>
            </w:tcBorders>
            <w:gridSpan w:val="4"/>
          </w:tcPr>
          <w:p>
            <w:pPr>
              <w:jc w:val="right"/>
              <w:ind w:right="40"/>
              <w:spacing w:after="0" w:line="119" w:lineRule="exact"/>
              <w:rPr>
                <w:sz w:val="20"/>
                <w:szCs w:val="20"/>
                <w:color w:val="auto"/>
              </w:rPr>
            </w:pPr>
            <w:r>
              <w:rPr>
                <w:rFonts w:ascii="Arial" w:cs="Arial" w:eastAsia="Arial" w:hAnsi="Arial"/>
                <w:sz w:val="11"/>
                <w:szCs w:val="11"/>
                <w:b w:val="1"/>
                <w:bCs w:val="1"/>
                <w:color w:val="auto"/>
              </w:rPr>
              <w:t>2005</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3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ABO</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top w:val="single" w:sz="8" w:color="auto"/>
              <w:right w:val="single" w:sz="8" w:color="CCEEFF"/>
            </w:tcBorders>
            <w:gridSpan w:val="4"/>
            <w:shd w:val="clear" w:color="auto" w:fill="CCEEFF"/>
          </w:tcPr>
          <w:p>
            <w:pPr>
              <w:jc w:val="center"/>
              <w:ind w:right="140"/>
              <w:spacing w:after="0" w:line="149" w:lineRule="exact"/>
              <w:rPr>
                <w:sz w:val="20"/>
                <w:szCs w:val="20"/>
                <w:color w:val="auto"/>
              </w:rPr>
            </w:pPr>
            <w:r>
              <w:rPr>
                <w:rFonts w:ascii="Arial" w:cs="Arial" w:eastAsia="Arial" w:hAnsi="Arial"/>
                <w:sz w:val="13"/>
                <w:szCs w:val="13"/>
                <w:color w:val="auto"/>
                <w:w w:val="96"/>
              </w:rPr>
              <w:t>$ 361,723</w:t>
            </w:r>
          </w:p>
        </w:tc>
        <w:tc>
          <w:tcPr>
            <w:tcW w:w="580" w:type="dxa"/>
            <w:vAlign w:val="bottom"/>
            <w:tcBorders>
              <w:top w:val="single" w:sz="8" w:color="auto"/>
            </w:tcBorders>
            <w:gridSpan w:val="5"/>
            <w:shd w:val="clear" w:color="auto" w:fill="CCEEFF"/>
          </w:tcPr>
          <w:p>
            <w:pPr>
              <w:jc w:val="right"/>
              <w:spacing w:after="0" w:line="149" w:lineRule="exact"/>
              <w:rPr>
                <w:sz w:val="20"/>
                <w:szCs w:val="20"/>
                <w:color w:val="auto"/>
              </w:rPr>
            </w:pPr>
            <w:r>
              <w:rPr>
                <w:rFonts w:ascii="Arial" w:cs="Arial" w:eastAsia="Arial" w:hAnsi="Arial"/>
                <w:sz w:val="13"/>
                <w:szCs w:val="13"/>
                <w:color w:val="auto"/>
                <w:w w:val="96"/>
              </w:rPr>
              <w:t>$ 359,512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73"/>
              </w:rPr>
              <w:t>$ 646,816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3"/>
                <w:szCs w:val="13"/>
                <w:color w:val="auto"/>
                <w:w w:val="96"/>
              </w:rPr>
              <w:t>$ 575,783</w:t>
            </w:r>
          </w:p>
        </w:tc>
        <w:tc>
          <w:tcPr>
            <w:tcW w:w="20" w:type="dxa"/>
            <w:vAlign w:val="bottom"/>
          </w:tcPr>
          <w:p>
            <w:pPr>
              <w:spacing w:after="0"/>
              <w:rPr>
                <w:sz w:val="13"/>
                <w:szCs w:val="13"/>
                <w:color w:val="auto"/>
              </w:rPr>
            </w:pPr>
          </w:p>
        </w:tc>
      </w:tr>
      <w:tr>
        <w:trPr>
          <w:trHeight w:val="345"/>
        </w:trPr>
        <w:tc>
          <w:tcPr>
            <w:tcW w:w="5040" w:type="dxa"/>
            <w:vAlign w:val="bottom"/>
            <w:gridSpan w:val="16"/>
          </w:tcPr>
          <w:p>
            <w:pPr>
              <w:ind w:left="260"/>
              <w:spacing w:after="0"/>
              <w:rPr>
                <w:sz w:val="20"/>
                <w:szCs w:val="20"/>
                <w:color w:val="auto"/>
              </w:rPr>
            </w:pPr>
            <w:r>
              <w:rPr>
                <w:rFonts w:ascii="Arial" w:cs="Arial" w:eastAsia="Arial" w:hAnsi="Arial"/>
                <w:sz w:val="13"/>
                <w:szCs w:val="13"/>
                <w:color w:val="auto"/>
                <w:w w:val="93"/>
              </w:rPr>
              <w:t>The following information relates to pension plans with an ABO in excess of plan 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ind w:left="320"/>
              <w:spacing w:after="0"/>
              <w:rPr>
                <w:sz w:val="20"/>
                <w:szCs w:val="20"/>
                <w:color w:val="auto"/>
              </w:rPr>
            </w:pPr>
            <w:r>
              <w:rPr>
                <w:rFonts w:ascii="Arial" w:cs="Arial" w:eastAsia="Arial" w:hAnsi="Arial"/>
                <w:sz w:val="11"/>
                <w:szCs w:val="11"/>
                <w:b w:val="1"/>
                <w:bCs w:val="1"/>
                <w:color w:val="auto"/>
              </w:rPr>
              <w:t>U.S. Plans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9"/>
          </w:tcPr>
          <w:p>
            <w:pPr>
              <w:ind w:left="8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33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20" w:type="dxa"/>
            <w:vAlign w:val="bottom"/>
            <w:gridSpan w:val="2"/>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1"/>
                <w:szCs w:val="11"/>
                <w:b w:val="1"/>
                <w:bCs w:val="1"/>
                <w:color w:val="auto"/>
                <w:w w:val="81"/>
              </w:rPr>
              <w:t>2006</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1"/>
                <w:szCs w:val="11"/>
                <w:b w:val="1"/>
                <w:bCs w:val="1"/>
                <w:color w:val="auto"/>
                <w:w w:val="81"/>
              </w:rPr>
              <w:t>2005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9"/>
              </w:rPr>
              <w:t>2006</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4"/>
          </w:tcPr>
          <w:p>
            <w:pPr>
              <w:jc w:val="right"/>
              <w:ind w:right="100"/>
              <w:spacing w:after="0" w:line="119" w:lineRule="exact"/>
              <w:rPr>
                <w:sz w:val="20"/>
                <w:szCs w:val="20"/>
                <w:color w:val="auto"/>
              </w:rPr>
            </w:pPr>
            <w:r>
              <w:rPr>
                <w:rFonts w:ascii="Arial" w:cs="Arial" w:eastAsia="Arial" w:hAnsi="Arial"/>
                <w:sz w:val="11"/>
                <w:szCs w:val="11"/>
                <w:b w:val="1"/>
                <w:bCs w:val="1"/>
                <w:color w:val="auto"/>
              </w:rPr>
              <w:t>2005</w:t>
            </w: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8"/>
        </w:trPr>
        <w:tc>
          <w:tcPr>
            <w:tcW w:w="33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Projected benefit obligation</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w w:val="94"/>
              </w:rPr>
              <w:t>$ 41,927</w:t>
            </w: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3"/>
                <w:szCs w:val="13"/>
                <w:color w:val="auto"/>
                <w:w w:val="89"/>
              </w:rPr>
              <w:t>$ 378,209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top w:val="single" w:sz="8" w:color="auto"/>
              <w:right w:val="single" w:sz="8" w:color="CCEEFF"/>
            </w:tcBorders>
            <w:gridSpan w:val="3"/>
            <w:shd w:val="clear" w:color="auto" w:fill="CCEEFF"/>
          </w:tcPr>
          <w:p>
            <w:pPr>
              <w:jc w:val="right"/>
              <w:ind w:right="21"/>
              <w:spacing w:after="0" w:line="149" w:lineRule="exact"/>
              <w:rPr>
                <w:sz w:val="20"/>
                <w:szCs w:val="20"/>
                <w:color w:val="auto"/>
              </w:rPr>
            </w:pPr>
            <w:r>
              <w:rPr>
                <w:rFonts w:ascii="Arial" w:cs="Arial" w:eastAsia="Arial" w:hAnsi="Arial"/>
                <w:sz w:val="13"/>
                <w:szCs w:val="13"/>
                <w:color w:val="auto"/>
                <w:w w:val="94"/>
              </w:rPr>
              <w:t>$ 43,973</w:t>
            </w:r>
          </w:p>
        </w:tc>
        <w:tc>
          <w:tcPr>
            <w:tcW w:w="80" w:type="dxa"/>
            <w:vAlign w:val="bottom"/>
            <w:shd w:val="clear" w:color="auto" w:fill="CCEEFF"/>
          </w:tcPr>
          <w:p>
            <w:pPr>
              <w:spacing w:after="0"/>
              <w:rPr>
                <w:sz w:val="13"/>
                <w:szCs w:val="13"/>
                <w:color w:val="auto"/>
              </w:rPr>
            </w:pPr>
          </w:p>
        </w:tc>
        <w:tc>
          <w:tcPr>
            <w:tcW w:w="58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3"/>
                <w:szCs w:val="13"/>
                <w:color w:val="auto"/>
                <w:w w:val="96"/>
              </w:rPr>
              <w:t>$ 299,012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3340" w:type="dxa"/>
            <w:vAlign w:val="bottom"/>
            <w:gridSpan w:val="3"/>
          </w:tcPr>
          <w:p>
            <w:pPr>
              <w:spacing w:after="0"/>
              <w:rPr>
                <w:sz w:val="20"/>
                <w:szCs w:val="20"/>
                <w:color w:val="auto"/>
              </w:rPr>
            </w:pPr>
            <w:r>
              <w:rPr>
                <w:rFonts w:ascii="Arial" w:cs="Arial" w:eastAsia="Arial" w:hAnsi="Arial"/>
                <w:sz w:val="13"/>
                <w:szCs w:val="13"/>
                <w:color w:val="auto"/>
                <w:highlight w:val="white"/>
              </w:rPr>
              <w:t>Accumulated benefit obligation</w:t>
            </w:r>
          </w:p>
        </w:tc>
        <w:tc>
          <w:tcPr>
            <w:tcW w:w="800" w:type="dxa"/>
            <w:vAlign w:val="bottom"/>
            <w:gridSpan w:val="5"/>
          </w:tcPr>
          <w:p>
            <w:pPr>
              <w:jc w:val="right"/>
              <w:ind w:right="180"/>
              <w:spacing w:after="0"/>
              <w:rPr>
                <w:sz w:val="20"/>
                <w:szCs w:val="20"/>
                <w:color w:val="auto"/>
              </w:rPr>
            </w:pPr>
            <w:r>
              <w:rPr>
                <w:rFonts w:ascii="Arial" w:cs="Arial" w:eastAsia="Arial" w:hAnsi="Arial"/>
                <w:sz w:val="13"/>
                <w:szCs w:val="13"/>
                <w:color w:val="auto"/>
              </w:rPr>
              <w:t>41,823</w:t>
            </w:r>
          </w:p>
        </w:tc>
        <w:tc>
          <w:tcPr>
            <w:tcW w:w="580" w:type="dxa"/>
            <w:vAlign w:val="bottom"/>
            <w:gridSpan w:val="5"/>
          </w:tcPr>
          <w:p>
            <w:pPr>
              <w:jc w:val="right"/>
              <w:ind w:right="40"/>
              <w:spacing w:after="0"/>
              <w:rPr>
                <w:sz w:val="20"/>
                <w:szCs w:val="20"/>
                <w:color w:val="auto"/>
              </w:rPr>
            </w:pPr>
            <w:r>
              <w:rPr>
                <w:rFonts w:ascii="Arial" w:cs="Arial" w:eastAsia="Arial" w:hAnsi="Arial"/>
                <w:sz w:val="13"/>
                <w:szCs w:val="13"/>
                <w:color w:val="auto"/>
              </w:rPr>
              <w:t>359,512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w w:val="85"/>
              </w:rPr>
              <w:t>38,524</w:t>
            </w:r>
          </w:p>
        </w:tc>
        <w:tc>
          <w:tcPr>
            <w:tcW w:w="660" w:type="dxa"/>
            <w:vAlign w:val="bottom"/>
            <w:gridSpan w:val="5"/>
          </w:tcPr>
          <w:p>
            <w:pPr>
              <w:jc w:val="right"/>
              <w:spacing w:after="0"/>
              <w:rPr>
                <w:sz w:val="20"/>
                <w:szCs w:val="20"/>
                <w:color w:val="auto"/>
              </w:rPr>
            </w:pPr>
            <w:r>
              <w:rPr>
                <w:rFonts w:ascii="Arial" w:cs="Arial" w:eastAsia="Arial" w:hAnsi="Arial"/>
                <w:sz w:val="13"/>
                <w:szCs w:val="13"/>
                <w:color w:val="auto"/>
              </w:rPr>
              <w:t>294,193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Fair value of plan assets</w:t>
            </w:r>
          </w:p>
        </w:tc>
        <w:tc>
          <w:tcPr>
            <w:tcW w:w="40" w:type="dxa"/>
            <w:vAlign w:val="bottom"/>
            <w:gridSpan w:val="2"/>
            <w:shd w:val="clear" w:color="auto" w:fill="CCEEFF"/>
          </w:tcPr>
          <w:p>
            <w:pPr>
              <w:spacing w:after="0"/>
              <w:rPr>
                <w:sz w:val="14"/>
                <w:szCs w:val="1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4,761</w:t>
            </w: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294,190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85"/>
              </w:rPr>
              <w:t>23,432</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242,970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-2240915</wp:posOffset>
            </wp:positionV>
            <wp:extent cx="3905250" cy="23044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905250" cy="2304415"/>
                    </a:xfrm>
                    <a:prstGeom prst="rect">
                      <a:avLst/>
                    </a:prstGeom>
                    <a:noFill/>
                  </pic:spPr>
                </pic:pic>
              </a:graphicData>
            </a:graphic>
          </wp:anchor>
        </w:drawing>
      </w:r>
    </w:p>
    <w:p>
      <w:pPr>
        <w:spacing w:after="0" w:line="159" w:lineRule="exact"/>
        <w:rPr>
          <w:sz w:val="20"/>
          <w:szCs w:val="20"/>
          <w:color w:val="auto"/>
        </w:rPr>
      </w:pPr>
    </w:p>
    <w:p>
      <w:pPr>
        <w:ind w:right="4659" w:firstLine="263"/>
        <w:spacing w:after="0" w:line="279" w:lineRule="auto"/>
        <w:rPr>
          <w:sz w:val="20"/>
          <w:szCs w:val="20"/>
          <w:color w:val="auto"/>
        </w:rPr>
      </w:pPr>
      <w:r>
        <w:rPr>
          <w:rFonts w:ascii="Arial" w:cs="Arial" w:eastAsia="Arial" w:hAnsi="Arial"/>
          <w:sz w:val="13"/>
          <w:szCs w:val="13"/>
          <w:color w:val="auto"/>
        </w:rPr>
        <w:t>The following weighted average assumptions were used to determine the Company’s pension benefit obligations under the plans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773805"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773805" cy="635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7"/>
          </w:tcPr>
          <w:p>
            <w:pPr>
              <w:jc w:val="right"/>
              <w:ind w:right="500"/>
              <w:spacing w:after="0"/>
              <w:rPr>
                <w:sz w:val="20"/>
                <w:szCs w:val="20"/>
                <w:color w:val="auto"/>
              </w:rPr>
            </w:pPr>
            <w:r>
              <w:rPr>
                <w:rFonts w:ascii="Arial" w:cs="Arial" w:eastAsia="Arial" w:hAnsi="Arial"/>
                <w:sz w:val="11"/>
                <w:szCs w:val="11"/>
                <w:b w:val="1"/>
                <w:bCs w:val="1"/>
                <w:color w:val="auto"/>
                <w:w w:val="85"/>
              </w:rPr>
              <w:t>U.S. Plans</w:t>
            </w:r>
          </w:p>
        </w:tc>
        <w:tc>
          <w:tcPr>
            <w:tcW w:w="80" w:type="dxa"/>
            <w:vAlign w:val="bottom"/>
          </w:tcPr>
          <w:p>
            <w:pPr>
              <w:spacing w:after="0"/>
              <w:rPr>
                <w:sz w:val="11"/>
                <w:szCs w:val="11"/>
                <w:color w:val="auto"/>
              </w:rPr>
            </w:pPr>
          </w:p>
        </w:tc>
        <w:tc>
          <w:tcPr>
            <w:tcW w:w="104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bottom w:val="single" w:sz="8" w:color="auto"/>
            </w:tcBorders>
            <w:gridSpan w:val="2"/>
          </w:tcPr>
          <w:p>
            <w:pPr>
              <w:ind w:left="40"/>
              <w:spacing w:after="0" w:line="119" w:lineRule="exact"/>
              <w:rPr>
                <w:sz w:val="20"/>
                <w:szCs w:val="20"/>
                <w:color w:val="auto"/>
              </w:rPr>
            </w:pPr>
            <w:r>
              <w:rPr>
                <w:rFonts w:ascii="Arial" w:cs="Arial" w:eastAsia="Arial" w:hAnsi="Arial"/>
                <w:sz w:val="11"/>
                <w:szCs w:val="11"/>
                <w:b w:val="1"/>
                <w:bCs w:val="1"/>
                <w:color w:val="auto"/>
                <w:w w:val="81"/>
              </w:rPr>
              <w:t>2006</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w w:val="89"/>
              </w:rPr>
              <w:t>2005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bottom w:val="single" w:sz="8" w:color="auto"/>
            </w:tcBorders>
            <w:gridSpan w:val="2"/>
          </w:tcPr>
          <w:p>
            <w:pPr>
              <w:ind w:left="80"/>
              <w:spacing w:after="0" w:line="119" w:lineRule="exact"/>
              <w:rPr>
                <w:sz w:val="20"/>
                <w:szCs w:val="20"/>
                <w:color w:val="auto"/>
              </w:rPr>
            </w:pPr>
            <w:r>
              <w:rPr>
                <w:rFonts w:ascii="Arial" w:cs="Arial" w:eastAsia="Arial" w:hAnsi="Arial"/>
                <w:sz w:val="11"/>
                <w:szCs w:val="11"/>
                <w:b w:val="1"/>
                <w:bCs w:val="1"/>
                <w:color w:val="auto"/>
              </w:rPr>
              <w:t>2006</w:t>
            </w: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ind w:left="80"/>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r>
      <w:tr>
        <w:trPr>
          <w:trHeight w:val="158"/>
        </w:trPr>
        <w:tc>
          <w:tcPr>
            <w:tcW w:w="37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Discount rate</w:t>
            </w:r>
          </w:p>
        </w:tc>
        <w:tc>
          <w:tcPr>
            <w:tcW w:w="20" w:type="dxa"/>
            <w:vAlign w:val="bottom"/>
            <w:shd w:val="clear" w:color="auto" w:fill="CCEEFF"/>
          </w:tcPr>
          <w:p>
            <w:pPr>
              <w:spacing w:after="0"/>
              <w:rPr>
                <w:sz w:val="13"/>
                <w:szCs w:val="13"/>
                <w:color w:val="auto"/>
              </w:rPr>
            </w:pPr>
          </w:p>
        </w:tc>
        <w:tc>
          <w:tcPr>
            <w:tcW w:w="4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3"/>
                <w:szCs w:val="13"/>
                <w:color w:val="auto"/>
                <w:w w:val="97"/>
              </w:rPr>
              <w:t>6.00%</w:t>
            </w:r>
          </w:p>
        </w:tc>
        <w:tc>
          <w:tcPr>
            <w:tcW w:w="16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w w:val="97"/>
              </w:rPr>
              <w:t>5.75%</w:t>
            </w:r>
          </w:p>
        </w:tc>
        <w:tc>
          <w:tcPr>
            <w:tcW w:w="700" w:type="dxa"/>
            <w:vAlign w:val="bottom"/>
            <w:gridSpan w:val="4"/>
            <w:shd w:val="clear" w:color="auto" w:fill="CCEEFF"/>
          </w:tcPr>
          <w:p>
            <w:pPr>
              <w:ind w:left="80"/>
              <w:spacing w:after="0" w:line="149" w:lineRule="exact"/>
              <w:rPr>
                <w:sz w:val="20"/>
                <w:szCs w:val="20"/>
                <w:color w:val="auto"/>
              </w:rPr>
            </w:pPr>
            <w:r>
              <w:rPr>
                <w:rFonts w:ascii="Arial" w:cs="Arial" w:eastAsia="Arial" w:hAnsi="Arial"/>
                <w:sz w:val="13"/>
                <w:szCs w:val="13"/>
                <w:color w:val="auto"/>
              </w:rPr>
              <w:t>4.95%</w:t>
            </w:r>
          </w:p>
        </w:tc>
        <w:tc>
          <w:tcPr>
            <w:tcW w:w="38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75"/>
              </w:rPr>
              <w:t>4.57%</w:t>
            </w:r>
          </w:p>
        </w:tc>
        <w:tc>
          <w:tcPr>
            <w:tcW w:w="40" w:type="dxa"/>
            <w:vAlign w:val="bottom"/>
          </w:tcPr>
          <w:p>
            <w:pPr>
              <w:spacing w:after="0"/>
              <w:rPr>
                <w:sz w:val="13"/>
                <w:szCs w:val="13"/>
                <w:color w:val="auto"/>
              </w:rPr>
            </w:pPr>
          </w:p>
        </w:tc>
      </w:tr>
      <w:tr>
        <w:trPr>
          <w:trHeight w:val="165"/>
        </w:trPr>
        <w:tc>
          <w:tcPr>
            <w:tcW w:w="3720" w:type="dxa"/>
            <w:vAlign w:val="bottom"/>
            <w:gridSpan w:val="2"/>
          </w:tcPr>
          <w:p>
            <w:pPr>
              <w:spacing w:after="0"/>
              <w:rPr>
                <w:sz w:val="20"/>
                <w:szCs w:val="20"/>
                <w:color w:val="auto"/>
              </w:rPr>
            </w:pPr>
            <w:r>
              <w:rPr>
                <w:rFonts w:ascii="Arial" w:cs="Arial" w:eastAsia="Arial" w:hAnsi="Arial"/>
                <w:sz w:val="13"/>
                <w:szCs w:val="13"/>
                <w:color w:val="auto"/>
                <w:highlight w:val="white"/>
              </w:rPr>
              <w:t>Rate of compensation increase</w:t>
            </w:r>
          </w:p>
        </w:tc>
        <w:tc>
          <w:tcPr>
            <w:tcW w:w="420" w:type="dxa"/>
            <w:vAlign w:val="bottom"/>
            <w:gridSpan w:val="3"/>
          </w:tcPr>
          <w:p>
            <w:pPr>
              <w:ind w:left="40"/>
              <w:spacing w:after="0"/>
              <w:rPr>
                <w:sz w:val="20"/>
                <w:szCs w:val="20"/>
                <w:color w:val="auto"/>
              </w:rPr>
            </w:pPr>
            <w:r>
              <w:rPr>
                <w:rFonts w:ascii="Arial" w:cs="Arial" w:eastAsia="Arial" w:hAnsi="Arial"/>
                <w:sz w:val="13"/>
                <w:szCs w:val="13"/>
                <w:color w:val="auto"/>
                <w:w w:val="97"/>
              </w:rPr>
              <w:t>3.75%</w:t>
            </w:r>
          </w:p>
        </w:tc>
        <w:tc>
          <w:tcPr>
            <w:tcW w:w="160" w:type="dxa"/>
            <w:vAlign w:val="bottom"/>
          </w:tcPr>
          <w:p>
            <w:pPr>
              <w:spacing w:after="0"/>
              <w:rPr>
                <w:sz w:val="14"/>
                <w:szCs w:val="14"/>
                <w:color w:val="auto"/>
              </w:rPr>
            </w:pPr>
          </w:p>
        </w:tc>
        <w:tc>
          <w:tcPr>
            <w:tcW w:w="580" w:type="dxa"/>
            <w:vAlign w:val="bottom"/>
            <w:gridSpan w:val="4"/>
          </w:tcPr>
          <w:p>
            <w:pPr>
              <w:jc w:val="right"/>
              <w:ind w:right="200"/>
              <w:spacing w:after="0"/>
              <w:rPr>
                <w:sz w:val="20"/>
                <w:szCs w:val="20"/>
                <w:color w:val="auto"/>
              </w:rPr>
            </w:pPr>
            <w:r>
              <w:rPr>
                <w:rFonts w:ascii="Arial" w:cs="Arial" w:eastAsia="Arial" w:hAnsi="Arial"/>
                <w:sz w:val="13"/>
                <w:szCs w:val="13"/>
                <w:color w:val="auto"/>
                <w:w w:val="97"/>
              </w:rPr>
              <w:t>3.75%</w:t>
            </w:r>
          </w:p>
        </w:tc>
        <w:tc>
          <w:tcPr>
            <w:tcW w:w="700" w:type="dxa"/>
            <w:vAlign w:val="bottom"/>
            <w:gridSpan w:val="4"/>
          </w:tcPr>
          <w:p>
            <w:pPr>
              <w:ind w:left="80"/>
              <w:spacing w:after="0"/>
              <w:rPr>
                <w:sz w:val="20"/>
                <w:szCs w:val="20"/>
                <w:color w:val="auto"/>
              </w:rPr>
            </w:pPr>
            <w:r>
              <w:rPr>
                <w:rFonts w:ascii="Arial" w:cs="Arial" w:eastAsia="Arial" w:hAnsi="Arial"/>
                <w:sz w:val="13"/>
                <w:szCs w:val="13"/>
                <w:color w:val="auto"/>
              </w:rPr>
              <w:t>2.54%</w:t>
            </w:r>
          </w:p>
        </w:tc>
        <w:tc>
          <w:tcPr>
            <w:tcW w:w="380" w:type="dxa"/>
            <w:vAlign w:val="bottom"/>
          </w:tcPr>
          <w:p>
            <w:pPr>
              <w:ind w:left="80"/>
              <w:spacing w:after="0"/>
              <w:rPr>
                <w:sz w:val="20"/>
                <w:szCs w:val="20"/>
                <w:color w:val="auto"/>
              </w:rPr>
            </w:pPr>
            <w:r>
              <w:rPr>
                <w:rFonts w:ascii="Arial" w:cs="Arial" w:eastAsia="Arial" w:hAnsi="Arial"/>
                <w:sz w:val="13"/>
                <w:szCs w:val="13"/>
                <w:color w:val="auto"/>
                <w:w w:val="75"/>
              </w:rPr>
              <w:t>2.46%</w:t>
            </w:r>
          </w:p>
        </w:tc>
        <w:tc>
          <w:tcPr>
            <w:tcW w:w="40" w:type="dxa"/>
            <w:vAlign w:val="bottom"/>
          </w:tcPr>
          <w:p>
            <w:pPr>
              <w:spacing w:after="0"/>
              <w:rPr>
                <w:sz w:val="14"/>
                <w:szCs w:val="14"/>
                <w:color w:val="auto"/>
              </w:rPr>
            </w:pPr>
          </w:p>
        </w:tc>
      </w:tr>
      <w:tr>
        <w:trPr>
          <w:trHeight w:val="340"/>
        </w:trPr>
        <w:tc>
          <w:tcPr>
            <w:tcW w:w="6000" w:type="dxa"/>
            <w:vAlign w:val="bottom"/>
            <w:gridSpan w:val="16"/>
          </w:tcPr>
          <w:p>
            <w:pPr>
              <w:ind w:left="260"/>
              <w:spacing w:after="0"/>
              <w:rPr>
                <w:sz w:val="20"/>
                <w:szCs w:val="20"/>
                <w:color w:val="auto"/>
              </w:rPr>
            </w:pPr>
            <w:r>
              <w:rPr>
                <w:rFonts w:ascii="Arial" w:cs="Arial" w:eastAsia="Arial" w:hAnsi="Arial"/>
                <w:sz w:val="13"/>
                <w:szCs w:val="13"/>
                <w:color w:val="auto"/>
                <w:w w:val="93"/>
              </w:rPr>
              <w:t>The Company’s pension plan asset allocation for U.S. and non-U.S. plans at December 31, 2006 and 2005</w:t>
            </w:r>
          </w:p>
        </w:tc>
      </w:tr>
      <w:tr>
        <w:trPr>
          <w:trHeight w:val="165"/>
        </w:trPr>
        <w:tc>
          <w:tcPr>
            <w:tcW w:w="3720" w:type="dxa"/>
            <w:vAlign w:val="bottom"/>
            <w:gridSpan w:val="2"/>
          </w:tcPr>
          <w:p>
            <w:pPr>
              <w:spacing w:after="0"/>
              <w:rPr>
                <w:sz w:val="20"/>
                <w:szCs w:val="20"/>
                <w:color w:val="auto"/>
              </w:rPr>
            </w:pPr>
            <w:r>
              <w:rPr>
                <w:rFonts w:ascii="Arial" w:cs="Arial" w:eastAsia="Arial" w:hAnsi="Arial"/>
                <w:sz w:val="13"/>
                <w:szCs w:val="13"/>
                <w:color w:val="auto"/>
              </w:rPr>
              <w:t>is: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46"/>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6"/>
          </w:tcPr>
          <w:p>
            <w:pPr>
              <w:jc w:val="right"/>
              <w:ind w:right="360"/>
              <w:spacing w:after="0"/>
              <w:rPr>
                <w:sz w:val="20"/>
                <w:szCs w:val="20"/>
                <w:color w:val="auto"/>
              </w:rPr>
            </w:pPr>
            <w:r>
              <w:rPr>
                <w:rFonts w:ascii="Arial" w:cs="Arial" w:eastAsia="Arial" w:hAnsi="Arial"/>
                <w:sz w:val="11"/>
                <w:szCs w:val="11"/>
                <w:b w:val="1"/>
                <w:bCs w:val="1"/>
                <w:color w:val="auto"/>
                <w:w w:val="96"/>
              </w:rPr>
              <w:t>U.S. Plans</w:t>
            </w:r>
          </w:p>
        </w:tc>
        <w:tc>
          <w:tcPr>
            <w:tcW w:w="80" w:type="dxa"/>
            <w:vAlign w:val="bottom"/>
          </w:tcPr>
          <w:p>
            <w:pPr>
              <w:spacing w:after="0"/>
              <w:rPr>
                <w:sz w:val="24"/>
                <w:szCs w:val="24"/>
                <w:color w:val="auto"/>
              </w:rPr>
            </w:pPr>
          </w:p>
        </w:tc>
        <w:tc>
          <w:tcPr>
            <w:tcW w:w="1040" w:type="dxa"/>
            <w:vAlign w:val="bottom"/>
            <w:gridSpan w:val="5"/>
          </w:tcPr>
          <w:p>
            <w:pPr>
              <w:ind w:left="160"/>
              <w:spacing w:after="0"/>
              <w:rPr>
                <w:sz w:val="20"/>
                <w:szCs w:val="20"/>
                <w:color w:val="auto"/>
              </w:rPr>
            </w:pPr>
            <w:r>
              <w:rPr>
                <w:rFonts w:ascii="Arial" w:cs="Arial" w:eastAsia="Arial" w:hAnsi="Arial"/>
                <w:sz w:val="11"/>
                <w:szCs w:val="11"/>
                <w:b w:val="1"/>
                <w:bCs w:val="1"/>
                <w:color w:val="auto"/>
              </w:rPr>
              <w:t>Non-U.S. Plans</w:t>
            </w:r>
          </w:p>
        </w:tc>
      </w:tr>
      <w:tr>
        <w:trPr>
          <w:trHeight w:val="118"/>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w w:val="81"/>
              </w:rPr>
              <w:t>2006</w:t>
            </w: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1"/>
                <w:szCs w:val="11"/>
                <w:b w:val="1"/>
                <w:bCs w:val="1"/>
                <w:color w:val="auto"/>
              </w:rPr>
              <w:t>2005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2006</w:t>
            </w: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Pr>
          <w:p>
            <w:pPr>
              <w:spacing w:after="0"/>
              <w:rPr>
                <w:sz w:val="10"/>
                <w:szCs w:val="10"/>
                <w:color w:val="auto"/>
              </w:rPr>
            </w:pPr>
          </w:p>
        </w:tc>
      </w:tr>
      <w:tr>
        <w:trPr>
          <w:trHeight w:val="143"/>
        </w:trPr>
        <w:tc>
          <w:tcPr>
            <w:tcW w:w="370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shd w:val="clear" w:color="auto" w:fill="CCEEFF"/>
              </w:rPr>
              <w:t>Asset category:</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0"/>
        </w:trPr>
        <w:tc>
          <w:tcPr>
            <w:tcW w:w="3720" w:type="dxa"/>
            <w:vAlign w:val="bottom"/>
            <w:gridSpan w:val="2"/>
          </w:tcPr>
          <w:p>
            <w:pPr>
              <w:spacing w:after="0"/>
              <w:rPr>
                <w:sz w:val="20"/>
                <w:szCs w:val="20"/>
                <w:color w:val="auto"/>
              </w:rPr>
            </w:pPr>
            <w:r>
              <w:rPr>
                <w:rFonts w:ascii="Arial" w:cs="Arial" w:eastAsia="Arial" w:hAnsi="Arial"/>
                <w:sz w:val="13"/>
                <w:szCs w:val="13"/>
                <w:color w:val="auto"/>
              </w:rPr>
              <w:t>Equities</w:t>
            </w:r>
          </w:p>
        </w:tc>
        <w:tc>
          <w:tcPr>
            <w:tcW w:w="580" w:type="dxa"/>
            <w:vAlign w:val="bottom"/>
            <w:gridSpan w:val="4"/>
          </w:tcPr>
          <w:p>
            <w:pPr>
              <w:jc w:val="right"/>
              <w:ind w:right="60"/>
              <w:spacing w:after="0"/>
              <w:rPr>
                <w:sz w:val="20"/>
                <w:szCs w:val="20"/>
                <w:color w:val="auto"/>
              </w:rPr>
            </w:pPr>
            <w:r>
              <w:rPr>
                <w:rFonts w:ascii="Arial" w:cs="Arial" w:eastAsia="Arial" w:hAnsi="Arial"/>
                <w:sz w:val="13"/>
                <w:szCs w:val="13"/>
                <w:color w:val="auto"/>
              </w:rPr>
              <w:t>74%</w:t>
            </w:r>
          </w:p>
        </w:tc>
        <w:tc>
          <w:tcPr>
            <w:tcW w:w="580" w:type="dxa"/>
            <w:vAlign w:val="bottom"/>
            <w:gridSpan w:val="4"/>
          </w:tcPr>
          <w:p>
            <w:pPr>
              <w:jc w:val="right"/>
              <w:ind w:right="140"/>
              <w:spacing w:after="0"/>
              <w:rPr>
                <w:sz w:val="20"/>
                <w:szCs w:val="20"/>
                <w:color w:val="auto"/>
              </w:rPr>
            </w:pPr>
            <w:r>
              <w:rPr>
                <w:rFonts w:ascii="Arial" w:cs="Arial" w:eastAsia="Arial" w:hAnsi="Arial"/>
                <w:sz w:val="13"/>
                <w:szCs w:val="13"/>
                <w:color w:val="auto"/>
              </w:rPr>
              <w:t>70%</w:t>
            </w:r>
          </w:p>
        </w:tc>
        <w:tc>
          <w:tcPr>
            <w:tcW w:w="700" w:type="dxa"/>
            <w:vAlign w:val="bottom"/>
            <w:gridSpan w:val="4"/>
          </w:tcPr>
          <w:p>
            <w:pPr>
              <w:ind w:left="180"/>
              <w:spacing w:after="0"/>
              <w:rPr>
                <w:sz w:val="20"/>
                <w:szCs w:val="20"/>
                <w:color w:val="auto"/>
              </w:rPr>
            </w:pPr>
            <w:r>
              <w:rPr>
                <w:rFonts w:ascii="Arial" w:cs="Arial" w:eastAsia="Arial" w:hAnsi="Arial"/>
                <w:sz w:val="13"/>
                <w:szCs w:val="13"/>
                <w:color w:val="auto"/>
              </w:rPr>
              <w:t>39%</w:t>
            </w:r>
          </w:p>
        </w:tc>
        <w:tc>
          <w:tcPr>
            <w:tcW w:w="380" w:type="dxa"/>
            <w:vAlign w:val="bottom"/>
          </w:tcPr>
          <w:p>
            <w:pPr>
              <w:ind w:left="140"/>
              <w:spacing w:after="0"/>
              <w:rPr>
                <w:sz w:val="20"/>
                <w:szCs w:val="20"/>
                <w:color w:val="auto"/>
              </w:rPr>
            </w:pPr>
            <w:r>
              <w:rPr>
                <w:rFonts w:ascii="Arial" w:cs="Arial" w:eastAsia="Arial" w:hAnsi="Arial"/>
                <w:sz w:val="13"/>
                <w:szCs w:val="13"/>
                <w:color w:val="auto"/>
                <w:w w:val="84"/>
              </w:rPr>
              <w:t>39%</w:t>
            </w:r>
          </w:p>
        </w:tc>
        <w:tc>
          <w:tcPr>
            <w:tcW w:w="40" w:type="dxa"/>
            <w:vAlign w:val="bottom"/>
          </w:tcPr>
          <w:p>
            <w:pPr>
              <w:spacing w:after="0"/>
              <w:rPr>
                <w:sz w:val="13"/>
                <w:szCs w:val="13"/>
                <w:color w:val="auto"/>
              </w:rPr>
            </w:pPr>
          </w:p>
        </w:tc>
      </w:tr>
      <w:tr>
        <w:trPr>
          <w:trHeight w:val="17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Bonds</w:t>
            </w:r>
          </w:p>
        </w:tc>
        <w:tc>
          <w:tcPr>
            <w:tcW w:w="2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7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36%</w:t>
            </w:r>
          </w:p>
        </w:tc>
        <w:tc>
          <w:tcPr>
            <w:tcW w:w="3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4"/>
              </w:rPr>
              <w:t>36%</w:t>
            </w:r>
          </w:p>
        </w:tc>
        <w:tc>
          <w:tcPr>
            <w:tcW w:w="40" w:type="dxa"/>
            <w:vAlign w:val="bottom"/>
          </w:tcPr>
          <w:p>
            <w:pPr>
              <w:spacing w:after="0"/>
              <w:rPr>
                <w:sz w:val="14"/>
                <w:szCs w:val="14"/>
                <w:color w:val="auto"/>
              </w:rPr>
            </w:pPr>
          </w:p>
        </w:tc>
      </w:tr>
      <w:tr>
        <w:trPr>
          <w:trHeight w:val="165"/>
        </w:trPr>
        <w:tc>
          <w:tcPr>
            <w:tcW w:w="3720" w:type="dxa"/>
            <w:vAlign w:val="bottom"/>
            <w:gridSpan w:val="2"/>
          </w:tcPr>
          <w:p>
            <w:pPr>
              <w:spacing w:after="0"/>
              <w:rPr>
                <w:sz w:val="20"/>
                <w:szCs w:val="20"/>
                <w:color w:val="auto"/>
              </w:rPr>
            </w:pPr>
            <w:r>
              <w:rPr>
                <w:rFonts w:ascii="Arial" w:cs="Arial" w:eastAsia="Arial" w:hAnsi="Arial"/>
                <w:sz w:val="13"/>
                <w:szCs w:val="13"/>
                <w:color w:val="auto"/>
                <w:highlight w:val="white"/>
              </w:rPr>
              <w:t>Real estate</w:t>
            </w:r>
          </w:p>
        </w:tc>
        <w:tc>
          <w:tcPr>
            <w:tcW w:w="180" w:type="dxa"/>
            <w:vAlign w:val="bottom"/>
          </w:tcPr>
          <w:p>
            <w:pPr>
              <w:spacing w:after="0"/>
              <w:rPr>
                <w:sz w:val="14"/>
                <w:szCs w:val="1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4"/>
                <w:szCs w:val="14"/>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3"/>
                <w:szCs w:val="13"/>
                <w:color w:val="auto"/>
              </w:rPr>
              <w:t>n/a</w:t>
            </w:r>
          </w:p>
        </w:tc>
        <w:tc>
          <w:tcPr>
            <w:tcW w:w="700" w:type="dxa"/>
            <w:vAlign w:val="bottom"/>
            <w:gridSpan w:val="4"/>
          </w:tcPr>
          <w:p>
            <w:pPr>
              <w:ind w:left="200"/>
              <w:spacing w:after="0"/>
              <w:rPr>
                <w:sz w:val="20"/>
                <w:szCs w:val="20"/>
                <w:color w:val="auto"/>
              </w:rPr>
            </w:pPr>
            <w:r>
              <w:rPr>
                <w:rFonts w:ascii="Arial" w:cs="Arial" w:eastAsia="Arial" w:hAnsi="Arial"/>
                <w:sz w:val="13"/>
                <w:szCs w:val="13"/>
                <w:color w:val="auto"/>
              </w:rPr>
              <w:t>11%</w:t>
            </w:r>
          </w:p>
        </w:tc>
        <w:tc>
          <w:tcPr>
            <w:tcW w:w="380" w:type="dxa"/>
            <w:vAlign w:val="bottom"/>
          </w:tcPr>
          <w:p>
            <w:pPr>
              <w:ind w:left="140"/>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r>
      <w:tr>
        <w:trPr>
          <w:trHeight w:val="17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Other cash and short-term investments</w:t>
            </w:r>
          </w:p>
        </w:tc>
        <w:tc>
          <w:tcPr>
            <w:tcW w:w="2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5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17%</w:t>
            </w:r>
          </w:p>
        </w:tc>
        <w:tc>
          <w:tcPr>
            <w:tcW w:w="700" w:type="dxa"/>
            <w:vAlign w:val="bottom"/>
            <w:gridSpan w:val="4"/>
            <w:shd w:val="clear" w:color="auto" w:fill="CCEEFF"/>
          </w:tcPr>
          <w:p>
            <w:pPr>
              <w:ind w:left="180"/>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4"/>
              </w:rPr>
              <w:t>14%</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-1581785</wp:posOffset>
            </wp:positionV>
            <wp:extent cx="3779520" cy="16452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779520" cy="1645285"/>
                    </a:xfrm>
                    <a:prstGeom prst="rect">
                      <a:avLst/>
                    </a:prstGeom>
                    <a:noFill/>
                  </pic:spPr>
                </pic:pic>
              </a:graphicData>
            </a:graphic>
          </wp:anchor>
        </w:drawing>
      </w:r>
    </w:p>
    <w:p>
      <w:pPr>
        <w:spacing w:after="0" w:line="159" w:lineRule="exact"/>
        <w:rPr>
          <w:sz w:val="20"/>
          <w:szCs w:val="20"/>
          <w:color w:val="auto"/>
        </w:rPr>
      </w:pPr>
    </w:p>
    <w:p>
      <w:pPr>
        <w:ind w:right="4259" w:firstLine="263"/>
        <w:spacing w:after="0" w:line="279" w:lineRule="auto"/>
        <w:rPr>
          <w:sz w:val="20"/>
          <w:szCs w:val="20"/>
          <w:color w:val="auto"/>
        </w:rPr>
      </w:pPr>
      <w:r>
        <w:rPr>
          <w:rFonts w:ascii="Arial" w:cs="Arial" w:eastAsia="Arial" w:hAnsi="Arial"/>
          <w:sz w:val="12"/>
          <w:szCs w:val="12"/>
          <w:color w:val="auto"/>
        </w:rPr>
        <w:t>With respect to the U.S. plans, the expected return on plan assets was determined based on an asset allocation model using the current benchmark allocation, real rates of return by asset class and an anticipated inflation rate. The benchmark asset allocation was approximately 10 – 20% employed in cash and fixed income investments expected to yield 1.0%; 10 – 20% employed in corporate and government bonds expected to yield 2.1%; and 65 – 75% in equity investments with a long-term expected yield of 8.5 – 9.3%. The inflation rate assumed in the model was 2.5%. The plan has employed a similar asset allocation strategy for the previous 20 years and has achieved a compound annual rate of return of 9.6%. In 2006, the percentage of assets held in equities increased primarily as a result of the performance of the equity investments. There has been no change in the Company’s long term asset allocation. Equity investments include the Company’s common stock valued at $26 million (8.0% of total plan assets) and $17 million (6.0% of total plan assets) at December 31, 2006 and 2005, respectively. The discount rate used for determining future pension obligations for each individual plan is based on a review of long-term bonds that receive a high rating from a recognized rating agency. The discount rate was based on the internal rate of return for a</w:t>
      </w:r>
    </w:p>
    <w:p>
      <w:pPr>
        <w:sectPr>
          <w:pgSz w:w="11900" w:h="16838" w:orient="portrait"/>
          <w:cols w:equalWidth="0" w:num="1">
            <w:col w:w="10239"/>
          </w:cols>
          <w:pgMar w:left="220" w:top="310" w:right="1440" w:bottom="0" w:gutter="0" w:footer="0" w:header="0"/>
          <w:type w:val="continuous"/>
        </w:sectPr>
      </w:pPr>
    </w:p>
    <w:bookmarkStart w:id="33" w:name="page34"/>
    <w:bookmarkEnd w:id="33"/>
    <w:p>
      <w:pPr>
        <w:ind w:left="294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419"/>
        <w:spacing w:after="0" w:line="322" w:lineRule="auto"/>
        <w:rPr>
          <w:sz w:val="20"/>
          <w:szCs w:val="20"/>
          <w:color w:val="auto"/>
        </w:rPr>
      </w:pPr>
      <w:r>
        <w:rPr>
          <w:rFonts w:ascii="Arial" w:cs="Arial" w:eastAsia="Arial" w:hAnsi="Arial"/>
          <w:sz w:val="12"/>
          <w:szCs w:val="12"/>
          <w:color w:val="auto"/>
        </w:rPr>
        <w:t>portfolio of Moody’s Aa3-rated high quality bonds with maturities that are consistent with the projected future benefit payment obligations of the plan. The rate of compensation increase is based on plan experience.</w:t>
      </w:r>
    </w:p>
    <w:p>
      <w:pPr>
        <w:spacing w:after="0" w:line="25" w:lineRule="exact"/>
        <w:rPr>
          <w:sz w:val="20"/>
          <w:szCs w:val="20"/>
          <w:color w:val="auto"/>
        </w:rPr>
      </w:pPr>
    </w:p>
    <w:p>
      <w:pPr>
        <w:ind w:right="4279" w:firstLine="263"/>
        <w:spacing w:after="0" w:line="258" w:lineRule="auto"/>
        <w:rPr>
          <w:sz w:val="20"/>
          <w:szCs w:val="20"/>
          <w:color w:val="auto"/>
        </w:rPr>
      </w:pPr>
      <w:r>
        <w:rPr>
          <w:rFonts w:ascii="Arial" w:cs="Arial" w:eastAsia="Arial" w:hAnsi="Arial"/>
          <w:sz w:val="13"/>
          <w:szCs w:val="13"/>
          <w:color w:val="auto"/>
        </w:rPr>
        <w:t>With respect to the non-U.S. plans, the expected return on plan assets was determined based on an asset allocation model for each plan using an allocation designed to meet the needs of the plan or, in certain cases, specific government requirements, rates of return by asset class and an anticipated inflation rate. The discount rate used for determining future pension obligations for each plan is based on a review of long-term bonds that receive a high rating from a recognized rating agency with durations comparable to that of the plan liabilities and other criteria appropriate for the local market. The rate of compensation increase is based on plan experience and expected increases.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expense recognized for postretirement benefits other than pensions included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50" cy="628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3811270"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811270" cy="635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w w:val="83"/>
              </w:rPr>
              <w:t>Postretirement Benefits</w:t>
            </w: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40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(DOLLARS IN THOUSANDS)</w:t>
            </w:r>
          </w:p>
        </w:tc>
        <w:tc>
          <w:tcPr>
            <w:tcW w:w="100" w:type="dxa"/>
            <w:vAlign w:val="bottom"/>
          </w:tcPr>
          <w:p>
            <w:pPr>
              <w:spacing w:after="0"/>
              <w:rPr>
                <w:sz w:val="10"/>
                <w:szCs w:val="10"/>
                <w:color w:val="auto"/>
              </w:rPr>
            </w:pPr>
          </w:p>
        </w:tc>
        <w:tc>
          <w:tcPr>
            <w:tcW w:w="340" w:type="dxa"/>
            <w:vAlign w:val="bottom"/>
          </w:tcPr>
          <w:p>
            <w:pPr>
              <w:jc w:val="right"/>
              <w:ind w:right="58"/>
              <w:spacing w:after="0" w:line="119" w:lineRule="exact"/>
              <w:rPr>
                <w:sz w:val="20"/>
                <w:szCs w:val="20"/>
                <w:color w:val="auto"/>
              </w:rPr>
            </w:pPr>
            <w:r>
              <w:rPr>
                <w:rFonts w:ascii="Arial" w:cs="Arial" w:eastAsia="Arial" w:hAnsi="Arial"/>
                <w:sz w:val="11"/>
                <w:szCs w:val="11"/>
                <w:b w:val="1"/>
                <w:bCs w:val="1"/>
                <w:color w:val="auto"/>
                <w:w w:val="81"/>
              </w:rPr>
              <w:t>2006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57"/>
              <w:spacing w:after="0" w:line="119" w:lineRule="exact"/>
              <w:rPr>
                <w:sz w:val="20"/>
                <w:szCs w:val="20"/>
                <w:color w:val="auto"/>
              </w:rPr>
            </w:pPr>
            <w:r>
              <w:rPr>
                <w:rFonts w:ascii="Arial" w:cs="Arial" w:eastAsia="Arial" w:hAnsi="Arial"/>
                <w:sz w:val="11"/>
                <w:szCs w:val="11"/>
                <w:b w:val="1"/>
                <w:bCs w:val="1"/>
                <w:color w:val="auto"/>
                <w:w w:val="81"/>
              </w:rPr>
              <w:t>2005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57"/>
              <w:spacing w:after="0" w:line="119" w:lineRule="exact"/>
              <w:rPr>
                <w:sz w:val="20"/>
                <w:szCs w:val="20"/>
                <w:color w:val="auto"/>
              </w:rPr>
            </w:pPr>
            <w:r>
              <w:rPr>
                <w:rFonts w:ascii="Arial" w:cs="Arial" w:eastAsia="Arial" w:hAnsi="Arial"/>
                <w:sz w:val="11"/>
                <w:szCs w:val="11"/>
                <w:b w:val="1"/>
                <w:bCs w:val="1"/>
                <w:color w:val="auto"/>
                <w:w w:val="81"/>
              </w:rPr>
              <w:t>2004</w:t>
            </w:r>
          </w:p>
        </w:tc>
        <w:tc>
          <w:tcPr>
            <w:tcW w:w="40" w:type="dxa"/>
            <w:vAlign w:val="bottom"/>
          </w:tcPr>
          <w:p>
            <w:pPr>
              <w:spacing w:after="0"/>
              <w:rPr>
                <w:sz w:val="10"/>
                <w:szCs w:val="10"/>
                <w:color w:val="auto"/>
              </w:rPr>
            </w:pPr>
          </w:p>
        </w:tc>
      </w:tr>
      <w:tr>
        <w:trPr>
          <w:trHeight w:val="158"/>
        </w:trPr>
        <w:tc>
          <w:tcPr>
            <w:tcW w:w="38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Service cost for benefits earned</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2,907</w:t>
            </w: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3,044</w:t>
            </w: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w w:val="98"/>
              </w:rPr>
              <w:t>2,141</w:t>
            </w:r>
          </w:p>
        </w:tc>
        <w:tc>
          <w:tcPr>
            <w:tcW w:w="40" w:type="dxa"/>
            <w:vAlign w:val="bottom"/>
          </w:tcPr>
          <w:p>
            <w:pPr>
              <w:spacing w:after="0"/>
              <w:rPr>
                <w:sz w:val="13"/>
                <w:szCs w:val="13"/>
                <w:color w:val="auto"/>
              </w:rPr>
            </w:pPr>
          </w:p>
        </w:tc>
      </w:tr>
      <w:tr>
        <w:trPr>
          <w:trHeight w:val="165"/>
        </w:trPr>
        <w:tc>
          <w:tcPr>
            <w:tcW w:w="4080" w:type="dxa"/>
            <w:vAlign w:val="bottom"/>
            <w:gridSpan w:val="2"/>
          </w:tcPr>
          <w:p>
            <w:pPr>
              <w:spacing w:after="0"/>
              <w:rPr>
                <w:sz w:val="20"/>
                <w:szCs w:val="20"/>
                <w:color w:val="auto"/>
              </w:rPr>
            </w:pPr>
            <w:r>
              <w:rPr>
                <w:rFonts w:ascii="Arial" w:cs="Arial" w:eastAsia="Arial" w:hAnsi="Arial"/>
                <w:sz w:val="13"/>
                <w:szCs w:val="13"/>
                <w:color w:val="auto"/>
                <w:highlight w:val="white"/>
              </w:rPr>
              <w:t>Interest cost on projected benefit obligation</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5,487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6,034</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4,524</w:t>
            </w:r>
          </w:p>
        </w:tc>
        <w:tc>
          <w:tcPr>
            <w:tcW w:w="40" w:type="dxa"/>
            <w:vAlign w:val="bottom"/>
          </w:tcPr>
          <w:p>
            <w:pPr>
              <w:spacing w:after="0"/>
              <w:rPr>
                <w:sz w:val="14"/>
                <w:szCs w:val="14"/>
                <w:color w:val="auto"/>
              </w:rPr>
            </w:pPr>
          </w:p>
        </w:tc>
      </w:tr>
      <w:tr>
        <w:trPr>
          <w:trHeight w:val="156"/>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Net amortization and deferrals</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768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40" w:type="dxa"/>
            <w:vAlign w:val="bottom"/>
          </w:tcPr>
          <w:p>
            <w:pPr>
              <w:spacing w:after="0"/>
              <w:rPr>
                <w:sz w:val="13"/>
                <w:szCs w:val="13"/>
                <w:color w:val="auto"/>
              </w:rPr>
            </w:pPr>
          </w:p>
        </w:tc>
      </w:tr>
      <w:tr>
        <w:trPr>
          <w:trHeight w:val="163"/>
        </w:trPr>
        <w:tc>
          <w:tcPr>
            <w:tcW w:w="40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highlight w:val="white"/>
              </w:rPr>
              <w:t>Total postretirement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8,286</w:t>
            </w: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9,846</w:t>
            </w: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5,874</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-577215</wp:posOffset>
            </wp:positionV>
            <wp:extent cx="3817620" cy="6407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817620" cy="640715"/>
                    </a:xfrm>
                    <a:prstGeom prst="rect">
                      <a:avLst/>
                    </a:prstGeom>
                    <a:noFill/>
                  </pic:spPr>
                </pic:pic>
              </a:graphicData>
            </a:graphic>
          </wp:anchor>
        </w:drawing>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amounts are expected to be recognized in postretirement expense in the coming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350" cy="6286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3798570"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798570" cy="635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w w:val="90"/>
              </w:rPr>
              <w:t>Postretirement</w:t>
            </w:r>
          </w:p>
        </w:tc>
      </w:tr>
      <w:tr>
        <w:trPr>
          <w:trHeight w:val="136"/>
        </w:trPr>
        <w:tc>
          <w:tcPr>
            <w:tcW w:w="5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60" w:type="dxa"/>
            <w:vAlign w:val="bottom"/>
          </w:tcPr>
          <w:p>
            <w:pPr>
              <w:spacing w:after="0"/>
              <w:rPr>
                <w:sz w:val="11"/>
                <w:szCs w:val="11"/>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Benefits</w:t>
            </w:r>
          </w:p>
        </w:tc>
      </w:tr>
      <w:tr>
        <w:trPr>
          <w:trHeight w:val="158"/>
        </w:trPr>
        <w:tc>
          <w:tcPr>
            <w:tcW w:w="50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Loss recognition</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83"/>
              <w:spacing w:after="0" w:line="149" w:lineRule="exact"/>
              <w:rPr>
                <w:sz w:val="20"/>
                <w:szCs w:val="20"/>
                <w:color w:val="auto"/>
              </w:rPr>
            </w:pPr>
            <w:r>
              <w:rPr>
                <w:rFonts w:ascii="Arial" w:cs="Arial" w:eastAsia="Arial" w:hAnsi="Arial"/>
                <w:sz w:val="13"/>
                <w:szCs w:val="13"/>
                <w:color w:val="auto"/>
              </w:rPr>
              <w:t>$  2,517</w:t>
            </w:r>
          </w:p>
        </w:tc>
      </w:tr>
      <w:tr>
        <w:trPr>
          <w:trHeight w:val="165"/>
        </w:trPr>
        <w:tc>
          <w:tcPr>
            <w:tcW w:w="5060" w:type="dxa"/>
            <w:vAlign w:val="bottom"/>
          </w:tcPr>
          <w:p>
            <w:pPr>
              <w:spacing w:after="0"/>
              <w:rPr>
                <w:sz w:val="20"/>
                <w:szCs w:val="20"/>
                <w:color w:val="auto"/>
              </w:rPr>
            </w:pPr>
            <w:r>
              <w:rPr>
                <w:rFonts w:ascii="Arial" w:cs="Arial" w:eastAsia="Arial" w:hAnsi="Arial"/>
                <w:sz w:val="13"/>
                <w:szCs w:val="13"/>
                <w:color w:val="auto"/>
                <w:highlight w:val="white"/>
              </w:rPr>
              <w:t>Prior service cost recognition</w:t>
            </w:r>
          </w:p>
        </w:tc>
        <w:tc>
          <w:tcPr>
            <w:tcW w:w="920" w:type="dxa"/>
            <w:vAlign w:val="bottom"/>
            <w:gridSpan w:val="2"/>
          </w:tcPr>
          <w:p>
            <w:pPr>
              <w:jc w:val="right"/>
              <w:ind w:right="43"/>
              <w:spacing w:after="0"/>
              <w:rPr>
                <w:sz w:val="20"/>
                <w:szCs w:val="20"/>
                <w:color w:val="auto"/>
              </w:rPr>
            </w:pPr>
            <w:r>
              <w:rPr>
                <w:rFonts w:ascii="Arial" w:cs="Arial" w:eastAsia="Arial" w:hAnsi="Arial"/>
                <w:sz w:val="13"/>
                <w:szCs w:val="13"/>
                <w:color w:val="auto"/>
              </w:rPr>
              <w:t>(2,661)</w:t>
            </w:r>
          </w:p>
        </w:tc>
      </w:tr>
      <w:tr>
        <w:trPr>
          <w:trHeight w:val="347"/>
        </w:trPr>
        <w:tc>
          <w:tcPr>
            <w:tcW w:w="5060" w:type="dxa"/>
            <w:vAlign w:val="bottom"/>
          </w:tcPr>
          <w:p>
            <w:pPr>
              <w:ind w:left="260"/>
              <w:spacing w:after="0"/>
              <w:rPr>
                <w:sz w:val="20"/>
                <w:szCs w:val="20"/>
                <w:color w:val="auto"/>
              </w:rPr>
            </w:pPr>
            <w:r>
              <w:rPr>
                <w:rFonts w:ascii="Arial" w:cs="Arial" w:eastAsia="Arial" w:hAnsi="Arial"/>
                <w:sz w:val="13"/>
                <w:szCs w:val="13"/>
                <w:color w:val="auto"/>
              </w:rPr>
              <w:t>The changes in postretirement benefit obligations were: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-525780</wp:posOffset>
            </wp:positionV>
            <wp:extent cx="6350"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-525780</wp:posOffset>
            </wp:positionV>
            <wp:extent cx="6350"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-387350</wp:posOffset>
            </wp:positionV>
            <wp:extent cx="6350"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-387350</wp:posOffset>
            </wp:positionV>
            <wp:extent cx="6350"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-387350</wp:posOffset>
            </wp:positionV>
            <wp:extent cx="6350"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3798570" cy="5022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798570" cy="502285"/>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sect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74620"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6746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shd w:val="clear" w:color="auto" w:fill="CCEEFF"/>
        </w:rPr>
        <w:t>Benefit obligation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79520" cy="21336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779520" cy="2133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Service cost for benefits earned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Interest cost on 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79520" cy="21336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779520" cy="2133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Actuarial (gain) loss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Plan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79520" cy="21336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779520" cy="2133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Plan participants’ contributions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79520" cy="21336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779520" cy="2133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Medicare Rx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79520" cy="11938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779520" cy="11938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Benefit obligation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350" cy="628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funded status of the postretirement plan at December 31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6350" cy="628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2661920"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661920"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661920" cy="635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6619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shd w:val="clear" w:color="auto" w:fill="CCEEFF"/>
        </w:rPr>
        <w:t>Plan assets (less than) 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92220" cy="2133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792220" cy="2133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highlight w:val="white"/>
        </w:rPr>
        <w:t>Unrecognized prior service cost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shd w:val="clear" w:color="auto" w:fill="CCEEFF"/>
        </w:rPr>
        <w:t>Unrecognized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792220" cy="2260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792220" cy="22606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highlight w:val="white"/>
        </w:rPr>
        <w:t>Net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350" cy="628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350" cy="62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-37465</wp:posOffset>
            </wp:positionV>
            <wp:extent cx="6350" cy="63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-37465</wp:posOffset>
            </wp:positionV>
            <wp:extent cx="6350" cy="63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8"/>
        </w:trPr>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7"/>
              <w:spacing w:after="0" w:line="119" w:lineRule="exact"/>
              <w:rPr>
                <w:sz w:val="20"/>
                <w:szCs w:val="20"/>
                <w:color w:val="auto"/>
              </w:rPr>
            </w:pPr>
            <w:r>
              <w:rPr>
                <w:rFonts w:ascii="Arial" w:cs="Arial" w:eastAsia="Arial" w:hAnsi="Arial"/>
                <w:sz w:val="11"/>
                <w:szCs w:val="11"/>
                <w:b w:val="1"/>
                <w:bCs w:val="1"/>
                <w:color w:val="auto"/>
              </w:rPr>
              <w:t>2006</w:t>
            </w:r>
          </w:p>
        </w:tc>
        <w:tc>
          <w:tcPr>
            <w:tcW w:w="2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111,479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83,463</w:t>
            </w:r>
          </w:p>
        </w:tc>
        <w:tc>
          <w:tcPr>
            <w:tcW w:w="40" w:type="dxa"/>
            <w:vAlign w:val="bottom"/>
          </w:tcPr>
          <w:p>
            <w:pPr>
              <w:spacing w:after="0"/>
              <w:rPr>
                <w:sz w:val="12"/>
                <w:szCs w:val="12"/>
                <w:color w:val="auto"/>
              </w:rPr>
            </w:pPr>
          </w:p>
        </w:tc>
      </w:tr>
      <w:tr>
        <w:trPr>
          <w:trHeight w:val="165"/>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3,044</w:t>
            </w:r>
          </w:p>
        </w:tc>
        <w:tc>
          <w:tcPr>
            <w:tcW w:w="4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5,487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6,034</w:t>
            </w:r>
          </w:p>
        </w:tc>
        <w:tc>
          <w:tcPr>
            <w:tcW w:w="4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62"/>
              <w:spacing w:after="0"/>
              <w:rPr>
                <w:sz w:val="20"/>
                <w:szCs w:val="20"/>
                <w:color w:val="auto"/>
              </w:rPr>
            </w:pPr>
            <w:r>
              <w:rPr>
                <w:rFonts w:ascii="Arial" w:cs="Arial" w:eastAsia="Arial" w:hAnsi="Arial"/>
                <w:sz w:val="13"/>
                <w:szCs w:val="13"/>
                <w:color w:val="auto"/>
              </w:rPr>
              <w:t>(6,509)</w:t>
            </w:r>
          </w:p>
        </w:tc>
        <w:tc>
          <w:tcPr>
            <w:tcW w:w="1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22,885</w:t>
            </w:r>
          </w:p>
        </w:tc>
        <w:tc>
          <w:tcPr>
            <w:tcW w:w="4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62"/>
              <w:spacing w:after="0"/>
              <w:rPr>
                <w:sz w:val="20"/>
                <w:szCs w:val="20"/>
                <w:color w:val="auto"/>
              </w:rPr>
            </w:pPr>
            <w:r>
              <w:rPr>
                <w:rFonts w:ascii="Arial" w:cs="Arial" w:eastAsia="Arial" w:hAnsi="Arial"/>
                <w:sz w:val="13"/>
                <w:szCs w:val="13"/>
                <w:color w:val="auto"/>
              </w:rPr>
              <w:t>(5,149)</w:t>
            </w:r>
          </w:p>
        </w:tc>
        <w:tc>
          <w:tcPr>
            <w:tcW w:w="120" w:type="dxa"/>
            <w:vAlign w:val="bottom"/>
          </w:tcPr>
          <w:p>
            <w:pPr>
              <w:spacing w:after="0"/>
              <w:rPr>
                <w:sz w:val="14"/>
                <w:szCs w:val="14"/>
                <w:color w:val="auto"/>
              </w:rPr>
            </w:pPr>
          </w:p>
        </w:tc>
        <w:tc>
          <w:tcPr>
            <w:tcW w:w="540" w:type="dxa"/>
            <w:vAlign w:val="bottom"/>
            <w:gridSpan w:val="3"/>
          </w:tcPr>
          <w:p>
            <w:pPr>
              <w:jc w:val="right"/>
              <w:ind w:right="42"/>
              <w:spacing w:after="0"/>
              <w:rPr>
                <w:sz w:val="20"/>
                <w:szCs w:val="20"/>
                <w:color w:val="auto"/>
              </w:rPr>
            </w:pPr>
            <w:r>
              <w:rPr>
                <w:rFonts w:ascii="Arial" w:cs="Arial" w:eastAsia="Arial" w:hAnsi="Arial"/>
                <w:sz w:val="13"/>
                <w:szCs w:val="13"/>
                <w:color w:val="auto"/>
              </w:rPr>
              <w:t>—</w:t>
            </w: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966</w:t>
            </w:r>
          </w:p>
        </w:tc>
        <w:tc>
          <w:tcPr>
            <w:tcW w:w="4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62"/>
              <w:spacing w:after="0"/>
              <w:rPr>
                <w:sz w:val="20"/>
                <w:szCs w:val="20"/>
                <w:color w:val="auto"/>
              </w:rPr>
            </w:pPr>
            <w:r>
              <w:rPr>
                <w:rFonts w:ascii="Arial" w:cs="Arial" w:eastAsia="Arial" w:hAnsi="Arial"/>
                <w:sz w:val="13"/>
                <w:szCs w:val="13"/>
                <w:color w:val="auto"/>
              </w:rPr>
              <w:t>(5,021)</w:t>
            </w:r>
          </w:p>
        </w:tc>
        <w:tc>
          <w:tcPr>
            <w:tcW w:w="120" w:type="dxa"/>
            <w:vAlign w:val="bottom"/>
          </w:tcPr>
          <w:p>
            <w:pPr>
              <w:spacing w:after="0"/>
              <w:rPr>
                <w:sz w:val="14"/>
                <w:szCs w:val="14"/>
                <w:color w:val="auto"/>
              </w:rPr>
            </w:pPr>
          </w:p>
        </w:tc>
        <w:tc>
          <w:tcPr>
            <w:tcW w:w="540" w:type="dxa"/>
            <w:vAlign w:val="bottom"/>
            <w:gridSpan w:val="3"/>
          </w:tcPr>
          <w:p>
            <w:pPr>
              <w:jc w:val="right"/>
              <w:ind w:right="2"/>
              <w:spacing w:after="0"/>
              <w:rPr>
                <w:sz w:val="20"/>
                <w:szCs w:val="20"/>
                <w:color w:val="auto"/>
              </w:rPr>
            </w:pPr>
            <w:r>
              <w:rPr>
                <w:rFonts w:ascii="Arial" w:cs="Arial" w:eastAsia="Arial" w:hAnsi="Arial"/>
                <w:sz w:val="13"/>
                <w:szCs w:val="13"/>
                <w:color w:val="auto"/>
              </w:rPr>
              <w:t>(4,913)</w:t>
            </w:r>
          </w:p>
        </w:tc>
      </w:tr>
      <w:tr>
        <w:trPr>
          <w:trHeight w:val="169"/>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42"/>
              <w:spacing w:after="0"/>
              <w:rPr>
                <w:sz w:val="20"/>
                <w:szCs w:val="20"/>
                <w:color w:val="auto"/>
              </w:rPr>
            </w:pPr>
            <w:r>
              <w:rPr>
                <w:rFonts w:ascii="Arial" w:cs="Arial" w:eastAsia="Arial" w:hAnsi="Arial"/>
                <w:sz w:val="13"/>
                <w:szCs w:val="13"/>
                <w:color w:val="auto"/>
              </w:rPr>
              <w:t>—</w:t>
            </w:r>
          </w:p>
        </w:tc>
      </w:tr>
      <w:tr>
        <w:trPr>
          <w:trHeight w:val="159"/>
        </w:trPr>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104,495</w:t>
            </w:r>
          </w:p>
        </w:tc>
        <w:tc>
          <w:tcPr>
            <w:tcW w:w="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111,479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732"/>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7"/>
          </w:tcPr>
          <w:p>
            <w:pPr>
              <w:ind w:left="120"/>
              <w:spacing w:after="0"/>
              <w:rPr>
                <w:sz w:val="20"/>
                <w:szCs w:val="20"/>
                <w:color w:val="auto"/>
              </w:rPr>
            </w:pPr>
            <w:r>
              <w:rPr>
                <w:rFonts w:ascii="Arial" w:cs="Arial" w:eastAsia="Arial" w:hAnsi="Arial"/>
                <w:sz w:val="11"/>
                <w:szCs w:val="11"/>
                <w:b w:val="1"/>
                <w:bCs w:val="1"/>
                <w:color w:val="auto"/>
              </w:rPr>
              <w:t>Postretirement Benefits</w:t>
            </w:r>
          </w:p>
        </w:tc>
      </w:tr>
      <w:tr>
        <w:trPr>
          <w:trHeight w:val="118"/>
        </w:trPr>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37"/>
              <w:spacing w:after="0" w:line="119" w:lineRule="exact"/>
              <w:rPr>
                <w:sz w:val="20"/>
                <w:szCs w:val="20"/>
                <w:color w:val="auto"/>
              </w:rPr>
            </w:pPr>
            <w:r>
              <w:rPr>
                <w:rFonts w:ascii="Arial" w:cs="Arial" w:eastAsia="Arial" w:hAnsi="Arial"/>
                <w:sz w:val="11"/>
                <w:szCs w:val="11"/>
                <w:b w:val="1"/>
                <w:bCs w:val="1"/>
                <w:color w:val="auto"/>
              </w:rPr>
              <w:t>2006</w:t>
            </w:r>
          </w:p>
        </w:tc>
        <w:tc>
          <w:tcPr>
            <w:tcW w:w="2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6"/>
              <w:spacing w:after="0" w:line="119" w:lineRule="exact"/>
              <w:rPr>
                <w:sz w:val="20"/>
                <w:szCs w:val="20"/>
                <w:color w:val="auto"/>
              </w:rPr>
            </w:pPr>
            <w:r>
              <w:rPr>
                <w:rFonts w:ascii="Arial" w:cs="Arial" w:eastAsia="Arial" w:hAnsi="Arial"/>
                <w:sz w:val="11"/>
                <w:szCs w:val="11"/>
                <w:b w:val="1"/>
                <w:bCs w:val="1"/>
                <w:color w:val="auto"/>
              </w:rPr>
              <w:t>2005</w:t>
            </w: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140" w:type="dxa"/>
            <w:vAlign w:val="bottom"/>
            <w:gridSpan w:val="2"/>
          </w:tcPr>
          <w:p>
            <w:pPr>
              <w:jc w:val="right"/>
              <w:ind w:right="7"/>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0"/>
              <w:spacing w:after="0"/>
              <w:rPr>
                <w:sz w:val="20"/>
                <w:szCs w:val="20"/>
                <w:color w:val="auto"/>
              </w:rPr>
            </w:pPr>
            <w:r>
              <w:rPr>
                <w:rFonts w:ascii="Arial" w:cs="Arial" w:eastAsia="Arial" w:hAnsi="Arial"/>
                <w:sz w:val="13"/>
                <w:szCs w:val="13"/>
                <w:color w:val="auto"/>
                <w:w w:val="78"/>
              </w:rPr>
              <w:t>(104,495)</w:t>
            </w:r>
          </w:p>
        </w:tc>
        <w:tc>
          <w:tcPr>
            <w:tcW w:w="32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w w:val="86"/>
              </w:rPr>
              <w:t>(111,479)</w:t>
            </w:r>
          </w:p>
        </w:tc>
        <w:tc>
          <w:tcPr>
            <w:tcW w:w="40" w:type="dxa"/>
            <w:vAlign w:val="bottom"/>
          </w:tcPr>
          <w:p>
            <w:pPr>
              <w:spacing w:after="0"/>
              <w:rPr>
                <w:sz w:val="12"/>
                <w:szCs w:val="12"/>
                <w:color w:val="auto"/>
              </w:rPr>
            </w:pPr>
          </w:p>
        </w:tc>
      </w:tr>
      <w:tr>
        <w:trPr>
          <w:trHeight w:val="165"/>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(21,194)</w:t>
            </w:r>
          </w:p>
        </w:tc>
      </w:tr>
      <w:tr>
        <w:trPr>
          <w:trHeight w:val="169"/>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2"/>
              <w:spacing w:after="0"/>
              <w:rPr>
                <w:sz w:val="20"/>
                <w:szCs w:val="20"/>
                <w:color w:val="auto"/>
              </w:rPr>
            </w:pPr>
            <w:r>
              <w:rPr>
                <w:rFonts w:ascii="Arial" w:cs="Arial" w:eastAsia="Arial" w:hAnsi="Arial"/>
                <w:sz w:val="13"/>
                <w:szCs w:val="13"/>
                <w:color w:val="auto"/>
              </w:rPr>
              <w:t>55,397</w:t>
            </w:r>
          </w:p>
        </w:tc>
      </w:tr>
      <w:tr>
        <w:trPr>
          <w:trHeight w:val="149"/>
        </w:trPr>
        <w:tc>
          <w:tcPr>
            <w:tcW w:w="40" w:type="dxa"/>
            <w:vAlign w:val="bottom"/>
          </w:tcPr>
          <w:p>
            <w:pPr>
              <w:spacing w:after="0"/>
              <w:rPr>
                <w:sz w:val="12"/>
                <w:szCs w:val="12"/>
                <w:color w:val="auto"/>
              </w:rPr>
            </w:pPr>
          </w:p>
        </w:tc>
        <w:tc>
          <w:tcPr>
            <w:tcW w:w="100" w:type="dxa"/>
            <w:vAlign w:val="bottom"/>
            <w:tcBorders>
              <w:top w:val="single" w:sz="8" w:color="auto"/>
            </w:tcBorders>
          </w:tcPr>
          <w:p>
            <w:pPr>
              <w:jc w:val="right"/>
              <w:ind w:right="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w w:val="85"/>
              </w:rPr>
              <w:t>(104,495</w:t>
            </w:r>
          </w:p>
        </w:tc>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(77,276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30"/>
        </w:trPr>
        <w:tc>
          <w:tcPr>
            <w:tcW w:w="4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-2021205</wp:posOffset>
            </wp:positionV>
            <wp:extent cx="6350" cy="63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-2021205</wp:posOffset>
            </wp:positionV>
            <wp:extent cx="6350"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-2021205</wp:posOffset>
            </wp:positionV>
            <wp:extent cx="6350" cy="63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-2021205</wp:posOffset>
            </wp:positionV>
            <wp:extent cx="6350" cy="63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-621030</wp:posOffset>
            </wp:positionV>
            <wp:extent cx="1130300" cy="63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30300" cy="635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-577215</wp:posOffset>
            </wp:positionV>
            <wp:extent cx="6350"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-577215</wp:posOffset>
            </wp:positionV>
            <wp:extent cx="6350" cy="63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-488950</wp:posOffset>
            </wp:positionV>
            <wp:extent cx="6350" cy="63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-488950</wp:posOffset>
            </wp:positionV>
            <wp:extent cx="6350" cy="63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-488950</wp:posOffset>
            </wp:positionV>
            <wp:extent cx="6350" cy="63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-488950</wp:posOffset>
            </wp:positionV>
            <wp:extent cx="6350" cy="63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-131445</wp:posOffset>
            </wp:positionV>
            <wp:extent cx="6350" cy="63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660"/>
            <w:col w:w="5839"/>
          </w:cols>
          <w:pgMar w:left="220" w:top="131" w:right="1440" w:bottom="0" w:gutter="0" w:footer="0" w:header="0"/>
          <w:type w:val="continuous"/>
        </w:sectPr>
      </w:pPr>
    </w:p>
    <w:p>
      <w:pPr>
        <w:spacing w:after="0" w:line="3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299" w:firstLine="263"/>
        <w:spacing w:after="0" w:line="279" w:lineRule="auto"/>
        <w:rPr>
          <w:sz w:val="20"/>
          <w:szCs w:val="20"/>
          <w:color w:val="auto"/>
        </w:rPr>
      </w:pPr>
      <w:r>
        <w:rPr>
          <w:rFonts w:ascii="Arial" w:cs="Arial" w:eastAsia="Arial" w:hAnsi="Arial"/>
          <w:sz w:val="13"/>
          <w:szCs w:val="13"/>
          <w:color w:val="auto"/>
        </w:rPr>
        <w:t>The following weighted average assumptions were used to determine the Company’s postretirement benefit expense and liability at and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3761105" cy="635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761105" cy="635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3"/>
              </w:rPr>
              <w:t>Expense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Liability</w:t>
            </w:r>
          </w:p>
        </w:tc>
      </w:tr>
      <w:tr>
        <w:trPr>
          <w:trHeight w:val="118"/>
        </w:trPr>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2006</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ind w:right="1"/>
              <w:spacing w:after="0" w:line="119" w:lineRule="exact"/>
              <w:rPr>
                <w:sz w:val="20"/>
                <w:szCs w:val="20"/>
                <w:color w:val="auto"/>
              </w:rPr>
            </w:pPr>
            <w:r>
              <w:rPr>
                <w:rFonts w:ascii="Arial" w:cs="Arial" w:eastAsia="Arial" w:hAnsi="Arial"/>
                <w:sz w:val="11"/>
                <w:szCs w:val="11"/>
                <w:b w:val="1"/>
                <w:bCs w:val="1"/>
                <w:color w:val="auto"/>
                <w:w w:val="89"/>
              </w:rPr>
              <w:t>2005</w:t>
            </w: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2004</w:t>
            </w:r>
          </w:p>
        </w:tc>
        <w:tc>
          <w:tcPr>
            <w:tcW w:w="24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2006</w:t>
            </w: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w w:val="97"/>
              </w:rPr>
              <w:t>2005</w:t>
            </w:r>
          </w:p>
        </w:tc>
        <w:tc>
          <w:tcPr>
            <w:tcW w:w="100" w:type="dxa"/>
            <w:vAlign w:val="bottom"/>
          </w:tcPr>
          <w:p>
            <w:pPr>
              <w:spacing w:after="0"/>
              <w:rPr>
                <w:sz w:val="10"/>
                <w:szCs w:val="10"/>
                <w:color w:val="auto"/>
              </w:rPr>
            </w:pPr>
          </w:p>
        </w:tc>
      </w:tr>
      <w:tr>
        <w:trPr>
          <w:trHeight w:val="138"/>
        </w:trPr>
        <w:tc>
          <w:tcPr>
            <w:tcW w:w="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8"/>
                <w:shd w:val="clear" w:color="auto" w:fill="CCEEFF"/>
              </w:rPr>
              <w:t>Discount rate</w:t>
            </w:r>
          </w:p>
        </w:tc>
        <w:tc>
          <w:tcPr>
            <w:tcW w:w="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6.00%</w:t>
            </w:r>
          </w:p>
        </w:tc>
        <w:tc>
          <w:tcPr>
            <w:tcW w:w="54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6.25%</w:t>
            </w:r>
          </w:p>
        </w:tc>
        <w:tc>
          <w:tcPr>
            <w:tcW w:w="56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6.00%</w:t>
            </w:r>
          </w:p>
        </w:tc>
        <w:tc>
          <w:tcPr>
            <w:tcW w:w="4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5.75%</w:t>
            </w:r>
          </w:p>
        </w:tc>
      </w:tr>
      <w:tr>
        <w:trPr>
          <w:trHeight w:val="176"/>
        </w:trPr>
        <w:tc>
          <w:tcPr>
            <w:tcW w:w="3480" w:type="dxa"/>
            <w:vAlign w:val="bottom"/>
            <w:gridSpan w:val="3"/>
          </w:tcPr>
          <w:p>
            <w:pPr>
              <w:spacing w:after="0"/>
              <w:rPr>
                <w:sz w:val="20"/>
                <w:szCs w:val="20"/>
                <w:color w:val="auto"/>
              </w:rPr>
            </w:pPr>
            <w:r>
              <w:rPr>
                <w:rFonts w:ascii="Arial" w:cs="Arial" w:eastAsia="Arial" w:hAnsi="Arial"/>
                <w:sz w:val="13"/>
                <w:szCs w:val="13"/>
                <w:color w:val="auto"/>
                <w:highlight w:val="white"/>
              </w:rPr>
              <w:t>Current medical cost trend rate</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8.00%</w:t>
            </w:r>
          </w:p>
        </w:tc>
        <w:tc>
          <w:tcPr>
            <w:tcW w:w="600" w:type="dxa"/>
            <w:vAlign w:val="bottom"/>
            <w:gridSpan w:val="3"/>
          </w:tcPr>
          <w:p>
            <w:pPr>
              <w:jc w:val="right"/>
              <w:ind w:right="120"/>
              <w:spacing w:after="0"/>
              <w:rPr>
                <w:sz w:val="20"/>
                <w:szCs w:val="20"/>
                <w:color w:val="auto"/>
              </w:rPr>
            </w:pPr>
            <w:r>
              <w:rPr>
                <w:rFonts w:ascii="Arial" w:cs="Arial" w:eastAsia="Arial" w:hAnsi="Arial"/>
                <w:sz w:val="13"/>
                <w:szCs w:val="13"/>
                <w:color w:val="auto"/>
              </w:rPr>
              <w:t>9.00%</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9.00%</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9.00%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8.00%</w:t>
            </w:r>
          </w:p>
        </w:tc>
      </w:tr>
      <w:tr>
        <w:trPr>
          <w:trHeight w:val="160"/>
        </w:trPr>
        <w:tc>
          <w:tcPr>
            <w:tcW w:w="16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Ultimate medical cost trend rate</w:t>
            </w:r>
          </w:p>
        </w:tc>
        <w:tc>
          <w:tcPr>
            <w:tcW w:w="18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4.75%</w:t>
            </w:r>
          </w:p>
        </w:tc>
        <w:tc>
          <w:tcPr>
            <w:tcW w:w="600" w:type="dxa"/>
            <w:vAlign w:val="bottom"/>
            <w:gridSpan w:val="3"/>
          </w:tcPr>
          <w:p>
            <w:pPr>
              <w:jc w:val="right"/>
              <w:ind w:right="120"/>
              <w:spacing w:after="0"/>
              <w:rPr>
                <w:sz w:val="20"/>
                <w:szCs w:val="20"/>
                <w:color w:val="auto"/>
              </w:rPr>
            </w:pPr>
            <w:r>
              <w:rPr>
                <w:rFonts w:ascii="Arial" w:cs="Arial" w:eastAsia="Arial" w:hAnsi="Arial"/>
                <w:sz w:val="13"/>
                <w:szCs w:val="13"/>
                <w:color w:val="auto"/>
              </w:rPr>
              <w:t>4.75%</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4.75%</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4.75%</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4.75%</w:t>
            </w:r>
          </w:p>
        </w:tc>
      </w:tr>
      <w:tr>
        <w:trPr>
          <w:trHeight w:val="176"/>
        </w:trPr>
        <w:tc>
          <w:tcPr>
            <w:tcW w:w="3480" w:type="dxa"/>
            <w:vAlign w:val="bottom"/>
            <w:gridSpan w:val="3"/>
          </w:tcPr>
          <w:p>
            <w:pPr>
              <w:spacing w:after="0"/>
              <w:rPr>
                <w:sz w:val="20"/>
                <w:szCs w:val="20"/>
                <w:color w:val="auto"/>
              </w:rPr>
            </w:pPr>
            <w:r>
              <w:rPr>
                <w:rFonts w:ascii="Arial" w:cs="Arial" w:eastAsia="Arial" w:hAnsi="Arial"/>
                <w:sz w:val="13"/>
                <w:szCs w:val="13"/>
                <w:color w:val="auto"/>
                <w:highlight w:val="white"/>
              </w:rPr>
              <w:t>Medical cost trend rate decreases to ultimate rate in year</w:t>
            </w:r>
          </w:p>
        </w:tc>
        <w:tc>
          <w:tcPr>
            <w:tcW w:w="300" w:type="dxa"/>
            <w:vAlign w:val="bottom"/>
          </w:tcPr>
          <w:p>
            <w:pPr>
              <w:jc w:val="right"/>
              <w:spacing w:after="0"/>
              <w:rPr>
                <w:sz w:val="20"/>
                <w:szCs w:val="20"/>
                <w:color w:val="auto"/>
              </w:rPr>
            </w:pPr>
            <w:r>
              <w:rPr>
                <w:rFonts w:ascii="Arial" w:cs="Arial" w:eastAsia="Arial" w:hAnsi="Arial"/>
                <w:sz w:val="13"/>
                <w:szCs w:val="13"/>
                <w:color w:val="auto"/>
                <w:w w:val="96"/>
              </w:rPr>
              <w:t>2011</w:t>
            </w:r>
          </w:p>
        </w:tc>
        <w:tc>
          <w:tcPr>
            <w:tcW w:w="160" w:type="dxa"/>
            <w:vAlign w:val="bottom"/>
          </w:tcPr>
          <w:p>
            <w:pPr>
              <w:spacing w:after="0"/>
              <w:rPr>
                <w:sz w:val="15"/>
                <w:szCs w:val="15"/>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3"/>
                <w:szCs w:val="13"/>
                <w:color w:val="auto"/>
              </w:rPr>
              <w:t>2011</w:t>
            </w: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w w:val="96"/>
              </w:rPr>
              <w:t>2010</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w w:val="96"/>
              </w:rPr>
              <w:t>2013</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-556895</wp:posOffset>
            </wp:positionV>
            <wp:extent cx="6350" cy="635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-556895</wp:posOffset>
            </wp:positionV>
            <wp:extent cx="6350" cy="63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-556895</wp:posOffset>
            </wp:positionV>
            <wp:extent cx="6350"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-556895</wp:posOffset>
            </wp:positionV>
            <wp:extent cx="6350" cy="63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-469265</wp:posOffset>
            </wp:positionV>
            <wp:extent cx="6350"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-469265</wp:posOffset>
            </wp:positionV>
            <wp:extent cx="6350"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-469265</wp:posOffset>
            </wp:positionV>
            <wp:extent cx="6350" cy="63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-469265</wp:posOffset>
            </wp:positionV>
            <wp:extent cx="6350" cy="635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-469265</wp:posOffset>
            </wp:positionV>
            <wp:extent cx="6350" cy="635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-469265</wp:posOffset>
            </wp:positionV>
            <wp:extent cx="6350" cy="63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3075940</wp:posOffset>
            </wp:positionH>
            <wp:positionV relativeFrom="paragraph">
              <wp:posOffset>-469265</wp:posOffset>
            </wp:positionV>
            <wp:extent cx="6350" cy="63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-469265</wp:posOffset>
            </wp:positionV>
            <wp:extent cx="6350" cy="635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-469265</wp:posOffset>
            </wp:positionV>
            <wp:extent cx="6350" cy="63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-469265</wp:posOffset>
            </wp:positionV>
            <wp:extent cx="6350" cy="63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-419100</wp:posOffset>
            </wp:positionV>
            <wp:extent cx="3785870" cy="4895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785870" cy="489585"/>
                    </a:xfrm>
                    <a:prstGeom prst="rect">
                      <a:avLst/>
                    </a:prstGeom>
                    <a:noFill/>
                  </pic:spPr>
                </pic:pic>
              </a:graphicData>
            </a:graphic>
          </wp:anchor>
        </w:drawing>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Information about the expected cash flows for the pension and postretirement benefit plans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50" cy="6286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3817620" cy="635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817620" cy="635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3"/>
              </w:rPr>
              <w:t>U.S.</w:t>
            </w:r>
          </w:p>
        </w:tc>
        <w:tc>
          <w:tcPr>
            <w:tcW w:w="80" w:type="dxa"/>
            <w:vAlign w:val="bottom"/>
          </w:tcPr>
          <w:p>
            <w:pPr>
              <w:spacing w:after="0"/>
              <w:rPr>
                <w:sz w:val="11"/>
                <w:szCs w:val="1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6"/>
              </w:rPr>
              <w:t>Non-U.S.</w:t>
            </w:r>
          </w:p>
        </w:tc>
        <w:tc>
          <w:tcPr>
            <w:tcW w:w="76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Postretirement</w:t>
            </w:r>
          </w:p>
        </w:tc>
      </w:tr>
      <w:tr>
        <w:trPr>
          <w:trHeight w:val="136"/>
        </w:trPr>
        <w:tc>
          <w:tcPr>
            <w:tcW w:w="350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1"/>
              </w:rPr>
              <w:t>Plans</w:t>
            </w:r>
          </w:p>
        </w:tc>
        <w:tc>
          <w:tcPr>
            <w:tcW w:w="80" w:type="dxa"/>
            <w:vAlign w:val="bottom"/>
          </w:tcPr>
          <w:p>
            <w:pPr>
              <w:spacing w:after="0"/>
              <w:rPr>
                <w:sz w:val="11"/>
                <w:szCs w:val="11"/>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Plans</w:t>
            </w:r>
          </w:p>
        </w:tc>
        <w:tc>
          <w:tcPr>
            <w:tcW w:w="760" w:type="dxa"/>
            <w:vAlign w:val="bottom"/>
            <w:gridSpan w:val="2"/>
          </w:tcPr>
          <w:p>
            <w:pPr>
              <w:jc w:val="right"/>
              <w:ind w:right="134"/>
              <w:spacing w:after="0"/>
              <w:rPr>
                <w:sz w:val="20"/>
                <w:szCs w:val="20"/>
                <w:color w:val="auto"/>
              </w:rPr>
            </w:pPr>
            <w:r>
              <w:rPr>
                <w:rFonts w:ascii="Arial" w:cs="Arial" w:eastAsia="Arial" w:hAnsi="Arial"/>
                <w:sz w:val="11"/>
                <w:szCs w:val="11"/>
                <w:b w:val="1"/>
                <w:bCs w:val="1"/>
                <w:color w:val="auto"/>
              </w:rPr>
              <w:t>Benefits</w:t>
            </w:r>
          </w:p>
        </w:tc>
      </w:tr>
      <w:tr>
        <w:trPr>
          <w:trHeight w:val="158"/>
        </w:trPr>
        <w:tc>
          <w:tcPr>
            <w:tcW w:w="35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Estimated Future Benefit Payments</w:t>
            </w: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r>
      <w:tr>
        <w:trPr>
          <w:trHeight w:val="167"/>
        </w:trPr>
        <w:tc>
          <w:tcPr>
            <w:tcW w:w="3500" w:type="dxa"/>
            <w:vAlign w:val="bottom"/>
          </w:tcPr>
          <w:p>
            <w:pPr>
              <w:spacing w:after="0"/>
              <w:rPr>
                <w:sz w:val="20"/>
                <w:szCs w:val="20"/>
                <w:color w:val="auto"/>
              </w:rPr>
            </w:pPr>
            <w:r>
              <w:rPr>
                <w:rFonts w:ascii="Arial" w:cs="Arial" w:eastAsia="Arial" w:hAnsi="Arial"/>
                <w:sz w:val="13"/>
                <w:szCs w:val="13"/>
                <w:color w:val="auto"/>
                <w:highlight w:val="white"/>
              </w:rPr>
              <w:t>2007</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18,758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24,380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4"/>
              <w:spacing w:after="0"/>
              <w:rPr>
                <w:sz w:val="20"/>
                <w:szCs w:val="20"/>
                <w:color w:val="auto"/>
              </w:rPr>
            </w:pPr>
            <w:r>
              <w:rPr>
                <w:rFonts w:ascii="Arial" w:cs="Arial" w:eastAsia="Arial" w:hAnsi="Arial"/>
                <w:sz w:val="13"/>
                <w:szCs w:val="13"/>
                <w:color w:val="auto"/>
              </w:rPr>
              <w:t>3,445</w:t>
            </w:r>
          </w:p>
        </w:tc>
      </w:tr>
      <w:tr>
        <w:trPr>
          <w:trHeight w:val="16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19,401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25,531</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3,678</w:t>
            </w:r>
          </w:p>
        </w:tc>
      </w:tr>
      <w:tr>
        <w:trPr>
          <w:trHeight w:val="167"/>
        </w:trPr>
        <w:tc>
          <w:tcPr>
            <w:tcW w:w="3500" w:type="dxa"/>
            <w:vAlign w:val="bottom"/>
          </w:tcPr>
          <w:p>
            <w:pPr>
              <w:spacing w:after="0"/>
              <w:rPr>
                <w:sz w:val="20"/>
                <w:szCs w:val="20"/>
                <w:color w:val="auto"/>
              </w:rPr>
            </w:pPr>
            <w:r>
              <w:rPr>
                <w:rFonts w:ascii="Arial" w:cs="Arial" w:eastAsia="Arial" w:hAnsi="Arial"/>
                <w:sz w:val="13"/>
                <w:szCs w:val="13"/>
                <w:color w:val="auto"/>
                <w:highlight w:val="white"/>
              </w:rPr>
              <w:t>2009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20,097</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27,284</w:t>
            </w:r>
          </w:p>
        </w:tc>
        <w:tc>
          <w:tcPr>
            <w:tcW w:w="220" w:type="dxa"/>
            <w:vAlign w:val="bottom"/>
          </w:tcPr>
          <w:p>
            <w:pPr>
              <w:spacing w:after="0"/>
              <w:rPr>
                <w:sz w:val="14"/>
                <w:szCs w:val="14"/>
                <w:color w:val="auto"/>
              </w:rPr>
            </w:pPr>
          </w:p>
        </w:tc>
        <w:tc>
          <w:tcPr>
            <w:tcW w:w="540" w:type="dxa"/>
            <w:vAlign w:val="bottom"/>
          </w:tcPr>
          <w:p>
            <w:pPr>
              <w:jc w:val="right"/>
              <w:ind w:right="74"/>
              <w:spacing w:after="0"/>
              <w:rPr>
                <w:sz w:val="20"/>
                <w:szCs w:val="20"/>
                <w:color w:val="auto"/>
              </w:rPr>
            </w:pPr>
            <w:r>
              <w:rPr>
                <w:rFonts w:ascii="Arial" w:cs="Arial" w:eastAsia="Arial" w:hAnsi="Arial"/>
                <w:sz w:val="13"/>
                <w:szCs w:val="13"/>
                <w:color w:val="auto"/>
              </w:rPr>
              <w:t>3,901</w:t>
            </w:r>
          </w:p>
        </w:tc>
      </w:tr>
      <w:tr>
        <w:trPr>
          <w:trHeight w:val="16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21,090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28,544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4,201</w:t>
            </w:r>
          </w:p>
        </w:tc>
      </w:tr>
      <w:tr>
        <w:trPr>
          <w:trHeight w:val="167"/>
        </w:trPr>
        <w:tc>
          <w:tcPr>
            <w:tcW w:w="3500" w:type="dxa"/>
            <w:vAlign w:val="bottom"/>
          </w:tcPr>
          <w:p>
            <w:pPr>
              <w:spacing w:after="0"/>
              <w:rPr>
                <w:sz w:val="20"/>
                <w:szCs w:val="20"/>
                <w:color w:val="auto"/>
              </w:rPr>
            </w:pPr>
            <w:r>
              <w:rPr>
                <w:rFonts w:ascii="Arial" w:cs="Arial" w:eastAsia="Arial" w:hAnsi="Arial"/>
                <w:sz w:val="13"/>
                <w:szCs w:val="13"/>
                <w:color w:val="auto"/>
                <w:highlight w:val="white"/>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22,153</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30,617</w:t>
            </w:r>
          </w:p>
        </w:tc>
        <w:tc>
          <w:tcPr>
            <w:tcW w:w="220" w:type="dxa"/>
            <w:vAlign w:val="bottom"/>
          </w:tcPr>
          <w:p>
            <w:pPr>
              <w:spacing w:after="0"/>
              <w:rPr>
                <w:sz w:val="14"/>
                <w:szCs w:val="14"/>
                <w:color w:val="auto"/>
              </w:rPr>
            </w:pPr>
          </w:p>
        </w:tc>
        <w:tc>
          <w:tcPr>
            <w:tcW w:w="540" w:type="dxa"/>
            <w:vAlign w:val="bottom"/>
          </w:tcPr>
          <w:p>
            <w:pPr>
              <w:jc w:val="right"/>
              <w:ind w:right="74"/>
              <w:spacing w:after="0"/>
              <w:rPr>
                <w:sz w:val="20"/>
                <w:szCs w:val="20"/>
                <w:color w:val="auto"/>
              </w:rPr>
            </w:pPr>
            <w:r>
              <w:rPr>
                <w:rFonts w:ascii="Arial" w:cs="Arial" w:eastAsia="Arial" w:hAnsi="Arial"/>
                <w:sz w:val="13"/>
                <w:szCs w:val="13"/>
                <w:color w:val="auto"/>
              </w:rPr>
              <w:t>4,520</w:t>
            </w:r>
          </w:p>
        </w:tc>
      </w:tr>
      <w:tr>
        <w:trPr>
          <w:trHeight w:val="169"/>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2012-2016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132,366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161,670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95"/>
              </w:rPr>
              <w:t>27,853</w:t>
            </w:r>
          </w:p>
        </w:tc>
      </w:tr>
      <w:tr>
        <w:trPr>
          <w:trHeight w:val="370"/>
        </w:trPr>
        <w:tc>
          <w:tcPr>
            <w:tcW w:w="3500" w:type="dxa"/>
            <w:vAlign w:val="bottom"/>
          </w:tcPr>
          <w:p>
            <w:pPr>
              <w:spacing w:after="0"/>
              <w:rPr>
                <w:sz w:val="20"/>
                <w:szCs w:val="20"/>
                <w:color w:val="auto"/>
              </w:rPr>
            </w:pPr>
            <w:r>
              <w:rPr>
                <w:rFonts w:ascii="Arial" w:cs="Arial" w:eastAsia="Arial" w:hAnsi="Arial"/>
                <w:sz w:val="13"/>
                <w:szCs w:val="13"/>
                <w:b w:val="1"/>
                <w:bCs w:val="1"/>
                <w:color w:val="auto"/>
                <w:highlight w:val="white"/>
              </w:rPr>
              <w:t>Contributions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4"/>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Expected Company Contributions in the following year (2007)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18,902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3,445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-1186180</wp:posOffset>
            </wp:positionV>
            <wp:extent cx="3817620" cy="124968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17620" cy="1249680"/>
                    </a:xfrm>
                    <a:prstGeom prst="rect">
                      <a:avLst/>
                    </a:prstGeom>
                    <a:noFill/>
                  </pic:spPr>
                </pic:pic>
              </a:graphicData>
            </a:graphic>
          </wp:anchor>
        </w:drawing>
      </w:r>
    </w:p>
    <w:p>
      <w:pPr>
        <w:spacing w:after="0" w:line="159" w:lineRule="exact"/>
        <w:rPr>
          <w:sz w:val="20"/>
          <w:szCs w:val="20"/>
          <w:color w:val="auto"/>
        </w:rPr>
      </w:pPr>
    </w:p>
    <w:p>
      <w:pPr>
        <w:ind w:right="4619" w:firstLine="263"/>
        <w:spacing w:after="0" w:line="279" w:lineRule="auto"/>
        <w:rPr>
          <w:sz w:val="20"/>
          <w:szCs w:val="20"/>
          <w:color w:val="auto"/>
        </w:rPr>
      </w:pPr>
      <w:r>
        <w:rPr>
          <w:rFonts w:ascii="Arial" w:cs="Arial" w:eastAsia="Arial" w:hAnsi="Arial"/>
          <w:sz w:val="13"/>
          <w:szCs w:val="13"/>
          <w:color w:val="auto"/>
        </w:rPr>
        <w:t>A ..25 % decrease in the discount rate on the pension and postretirement benefit plans would have the following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350" cy="6286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3804920" cy="63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804920" cy="635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U.S.</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4"/>
              </w:rPr>
              <w:t>Non-U.S.</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w w:val="87"/>
              </w:rPr>
              <w:t>Postretirement</w:t>
            </w:r>
          </w:p>
        </w:tc>
      </w:tr>
      <w:tr>
        <w:trPr>
          <w:trHeight w:val="136"/>
        </w:trPr>
        <w:tc>
          <w:tcPr>
            <w:tcW w:w="3520" w:type="dxa"/>
            <w:vAlign w:val="bottom"/>
          </w:tcPr>
          <w:p>
            <w:pPr>
              <w:spacing w:after="0"/>
              <w:rPr>
                <w:sz w:val="20"/>
                <w:szCs w:val="20"/>
                <w:color w:val="auto"/>
              </w:rPr>
            </w:pPr>
            <w:r>
              <w:rPr>
                <w:rFonts w:ascii="Arial" w:cs="Arial" w:eastAsia="Arial" w:hAnsi="Arial"/>
                <w:sz w:val="11"/>
                <w:szCs w:val="11"/>
                <w:b w:val="1"/>
                <w:bCs w:val="1"/>
                <w:color w:val="auto"/>
              </w:rPr>
              <w:t>(DOLLARS IN THOUSANDS)</w:t>
            </w:r>
          </w:p>
        </w:tc>
        <w:tc>
          <w:tcPr>
            <w:tcW w:w="200" w:type="dxa"/>
            <w:vAlign w:val="bottom"/>
          </w:tcPr>
          <w:p>
            <w:pPr>
              <w:spacing w:after="0"/>
              <w:rPr>
                <w:sz w:val="11"/>
                <w:szCs w:val="11"/>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Plans</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Plans</w:t>
            </w:r>
          </w:p>
        </w:tc>
        <w:tc>
          <w:tcPr>
            <w:tcW w:w="760" w:type="dxa"/>
            <w:vAlign w:val="bottom"/>
          </w:tcPr>
          <w:p>
            <w:pPr>
              <w:jc w:val="right"/>
              <w:ind w:right="138"/>
              <w:spacing w:after="0"/>
              <w:rPr>
                <w:sz w:val="20"/>
                <w:szCs w:val="20"/>
                <w:color w:val="auto"/>
              </w:rPr>
            </w:pPr>
            <w:r>
              <w:rPr>
                <w:rFonts w:ascii="Arial" w:cs="Arial" w:eastAsia="Arial" w:hAnsi="Arial"/>
                <w:sz w:val="11"/>
                <w:szCs w:val="11"/>
                <w:b w:val="1"/>
                <w:bCs w:val="1"/>
                <w:color w:val="auto"/>
              </w:rPr>
              <w:t>Benefits</w:t>
            </w:r>
          </w:p>
        </w:tc>
      </w:tr>
      <w:tr>
        <w:trPr>
          <w:trHeight w:val="158"/>
        </w:trPr>
        <w:tc>
          <w:tcPr>
            <w:tcW w:w="35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Pension Expense Increase in 2007</w:t>
            </w:r>
          </w:p>
        </w:tc>
        <w:tc>
          <w:tcPr>
            <w:tcW w:w="20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  1,000</w:t>
            </w:r>
          </w:p>
        </w:tc>
        <w:tc>
          <w:tcPr>
            <w:tcW w:w="26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  2,000</w:t>
            </w:r>
          </w:p>
        </w:tc>
        <w:tc>
          <w:tcPr>
            <w:tcW w:w="2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98"/>
              <w:spacing w:after="0" w:line="149" w:lineRule="exact"/>
              <w:rPr>
                <w:sz w:val="20"/>
                <w:szCs w:val="20"/>
                <w:color w:val="auto"/>
              </w:rPr>
            </w:pPr>
            <w:r>
              <w:rPr>
                <w:rFonts w:ascii="Arial" w:cs="Arial" w:eastAsia="Arial" w:hAnsi="Arial"/>
                <w:sz w:val="13"/>
                <w:szCs w:val="13"/>
                <w:color w:val="auto"/>
              </w:rPr>
              <w:t>$ 1,000</w:t>
            </w:r>
          </w:p>
        </w:tc>
      </w:tr>
      <w:tr>
        <w:trPr>
          <w:trHeight w:val="167"/>
        </w:trPr>
        <w:tc>
          <w:tcPr>
            <w:tcW w:w="3520" w:type="dxa"/>
            <w:vAlign w:val="bottom"/>
          </w:tcPr>
          <w:p>
            <w:pPr>
              <w:spacing w:after="0"/>
              <w:rPr>
                <w:sz w:val="20"/>
                <w:szCs w:val="20"/>
                <w:color w:val="auto"/>
              </w:rPr>
            </w:pPr>
            <w:r>
              <w:rPr>
                <w:rFonts w:ascii="Arial" w:cs="Arial" w:eastAsia="Arial" w:hAnsi="Arial"/>
                <w:sz w:val="13"/>
                <w:szCs w:val="13"/>
                <w:color w:val="auto"/>
                <w:highlight w:val="white"/>
              </w:rPr>
              <w:t>ABO Increase at year end</w:t>
            </w: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9,000</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27,000</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r>
      <w:tr>
        <w:trPr>
          <w:trHeight w:val="169"/>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PBO Increase at year end</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10,000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29,000</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r>
        <w:trPr>
          <w:trHeight w:val="165"/>
        </w:trPr>
        <w:tc>
          <w:tcPr>
            <w:tcW w:w="3520" w:type="dxa"/>
            <w:vAlign w:val="bottom"/>
          </w:tcPr>
          <w:p>
            <w:pPr>
              <w:spacing w:after="0"/>
              <w:rPr>
                <w:sz w:val="20"/>
                <w:szCs w:val="20"/>
                <w:color w:val="auto"/>
              </w:rPr>
            </w:pPr>
            <w:r>
              <w:rPr>
                <w:rFonts w:ascii="Arial" w:cs="Arial" w:eastAsia="Arial" w:hAnsi="Arial"/>
                <w:sz w:val="13"/>
                <w:szCs w:val="13"/>
                <w:color w:val="auto"/>
                <w:highlight w:val="white"/>
              </w:rPr>
              <w:t>APBO Increase at year end</w:t>
            </w:r>
          </w:p>
        </w:tc>
        <w:tc>
          <w:tcPr>
            <w:tcW w:w="2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-518795</wp:posOffset>
            </wp:positionV>
            <wp:extent cx="3804920" cy="5842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804920" cy="58420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type w:val="continuous"/>
        </w:sectPr>
      </w:pPr>
    </w:p>
    <w:bookmarkStart w:id="34" w:name="page35"/>
    <w:bookmarkEnd w:id="34"/>
    <w:p>
      <w:pPr>
        <w:ind w:right="4359" w:firstLine="263"/>
        <w:spacing w:after="0" w:line="279" w:lineRule="auto"/>
        <w:rPr>
          <w:sz w:val="20"/>
          <w:szCs w:val="20"/>
          <w:color w:val="auto"/>
        </w:rPr>
      </w:pPr>
      <w:r>
        <w:rPr>
          <w:rFonts w:ascii="Arial" w:cs="Arial" w:eastAsia="Arial" w:hAnsi="Arial"/>
          <w:sz w:val="13"/>
          <w:szCs w:val="13"/>
          <w:color w:val="auto"/>
        </w:rPr>
        <w:t>A ..25 % decrease in the long term rate of return on plan assets for both the U.S. and non-U.S. plans would increase expense in the subsequent year by $1 million and $2 million, respectively.</w:t>
      </w:r>
    </w:p>
    <w:p>
      <w:pPr>
        <w:spacing w:after="0" w:line="48" w:lineRule="exact"/>
        <w:rPr>
          <w:sz w:val="20"/>
          <w:szCs w:val="20"/>
          <w:color w:val="auto"/>
        </w:rPr>
      </w:pPr>
    </w:p>
    <w:p>
      <w:pPr>
        <w:ind w:right="4279" w:firstLine="263"/>
        <w:spacing w:after="0" w:line="299" w:lineRule="auto"/>
        <w:rPr>
          <w:sz w:val="20"/>
          <w:szCs w:val="20"/>
          <w:color w:val="auto"/>
        </w:rPr>
      </w:pPr>
      <w:r>
        <w:rPr>
          <w:rFonts w:ascii="Arial" w:cs="Arial" w:eastAsia="Arial" w:hAnsi="Arial"/>
          <w:sz w:val="12"/>
          <w:szCs w:val="12"/>
          <w:color w:val="auto"/>
        </w:rPr>
        <w:t>A 1% increase in the medical cost trend rate would increase the Accumulated Postretirement Benefit Obligation (‘‘APBO’’), and the annual postretirement expense, by $19 million and $2 million, respectively; a 1% decrease in the rate would decrease the obligation and expense by $15 million and $1 million, respectively.</w:t>
      </w:r>
    </w:p>
    <w:p>
      <w:pPr>
        <w:spacing w:after="0" w:line="38" w:lineRule="exact"/>
        <w:rPr>
          <w:sz w:val="20"/>
          <w:szCs w:val="20"/>
          <w:color w:val="auto"/>
        </w:rPr>
      </w:pPr>
    </w:p>
    <w:p>
      <w:pPr>
        <w:ind w:right="4299" w:firstLine="263"/>
        <w:spacing w:after="0" w:line="284" w:lineRule="auto"/>
        <w:rPr>
          <w:sz w:val="20"/>
          <w:szCs w:val="20"/>
          <w:color w:val="auto"/>
        </w:rPr>
      </w:pPr>
      <w:r>
        <w:rPr>
          <w:rFonts w:ascii="Arial" w:cs="Arial" w:eastAsia="Arial" w:hAnsi="Arial"/>
          <w:sz w:val="12"/>
          <w:szCs w:val="12"/>
          <w:color w:val="auto"/>
        </w:rPr>
        <w:t>In December 2003, President Bush signed into law the Medicare Prescription Drug, Improvement and Modernization Act of 2003. In accordance with the Financial Accounting Standards Board Staff Position No. 106-2 (‘‘FSP FAS 106-2’’), ‘‘Accounting and Disclosure Requirements Related to the Medicare Prescription Drug, Improvement and Modernization Act of 2003,’’ the Company accounted for the effects of the Act and recognized the impact of the Medicare prescription drug subsidy retrospectively from January 1, 2004 beginning July 1, 2004. The subsidy reduced the annual 2006, 2005 and 2004 postretirement expense by $2 million.</w:t>
      </w:r>
    </w:p>
    <w:p>
      <w:pPr>
        <w:spacing w:after="0" w:line="49" w:lineRule="exact"/>
        <w:rPr>
          <w:sz w:val="20"/>
          <w:szCs w:val="20"/>
          <w:color w:val="auto"/>
        </w:rPr>
      </w:pPr>
    </w:p>
    <w:p>
      <w:pPr>
        <w:ind w:right="4299" w:firstLine="263"/>
        <w:spacing w:after="0" w:line="266" w:lineRule="auto"/>
        <w:rPr>
          <w:sz w:val="20"/>
          <w:szCs w:val="20"/>
          <w:color w:val="auto"/>
        </w:rPr>
      </w:pPr>
      <w:r>
        <w:rPr>
          <w:rFonts w:ascii="Arial" w:cs="Arial" w:eastAsia="Arial" w:hAnsi="Arial"/>
          <w:sz w:val="13"/>
          <w:szCs w:val="13"/>
          <w:color w:val="auto"/>
        </w:rPr>
        <w:t>Expected benefit payments shown above are net of the Medicare Part D subsidy. The following table shows the expected benefit payments prior to reflecting the subsidy, the expected subsidy and the expected benefit payments reflecting the subsidy.</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6350" cy="628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3823970" cy="63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239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Not Reflecting</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6"/>
              </w:rPr>
              <w:t>Reflecting</w:t>
            </w:r>
          </w:p>
        </w:tc>
      </w:tr>
      <w:tr>
        <w:trPr>
          <w:trHeight w:val="129"/>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Medicare Part D</w:t>
            </w:r>
          </w:p>
        </w:tc>
        <w:tc>
          <w:tcPr>
            <w:tcW w:w="160" w:type="dxa"/>
            <w:vAlign w:val="bottom"/>
          </w:tcPr>
          <w:p>
            <w:pPr>
              <w:spacing w:after="0"/>
              <w:rPr>
                <w:sz w:val="11"/>
                <w:szCs w:val="11"/>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Medicare Part D</w:t>
            </w:r>
          </w:p>
        </w:tc>
        <w:tc>
          <w:tcPr>
            <w:tcW w:w="1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1"/>
              </w:rPr>
              <w:t>Medicare Part D</w:t>
            </w:r>
          </w:p>
        </w:tc>
      </w:tr>
      <w:tr>
        <w:trPr>
          <w:trHeight w:val="136"/>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THOUSANDS)</w:t>
            </w:r>
          </w:p>
        </w:tc>
        <w:tc>
          <w:tcPr>
            <w:tcW w:w="14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Subsidy</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Subsidy</w:t>
            </w:r>
          </w:p>
        </w:tc>
        <w:tc>
          <w:tcPr>
            <w:tcW w:w="16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Subsidy</w:t>
            </w:r>
          </w:p>
        </w:tc>
      </w:tr>
      <w:tr>
        <w:trPr>
          <w:trHeight w:val="158"/>
        </w:trPr>
        <w:tc>
          <w:tcPr>
            <w:tcW w:w="3000" w:type="dxa"/>
            <w:vAlign w:val="bottom"/>
            <w:shd w:val="clear" w:color="auto" w:fill="CCEEFF"/>
          </w:tcPr>
          <w:p>
            <w:pPr>
              <w:spacing w:after="0" w:line="149" w:lineRule="exact"/>
              <w:rPr>
                <w:sz w:val="20"/>
                <w:szCs w:val="20"/>
                <w:color w:val="auto"/>
              </w:rPr>
            </w:pPr>
            <w:r>
              <w:rPr>
                <w:rFonts w:ascii="Arial" w:cs="Arial" w:eastAsia="Arial" w:hAnsi="Arial"/>
                <w:sz w:val="13"/>
                <w:szCs w:val="13"/>
                <w:b w:val="1"/>
                <w:bCs w:val="1"/>
                <w:color w:val="auto"/>
                <w:shd w:val="clear" w:color="auto" w:fill="CCEEFF"/>
              </w:rPr>
              <w:t>Expected Benefit Payments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3"/>
                <w:szCs w:val="13"/>
                <w:color w:val="auto"/>
                <w:highlight w:val="white"/>
              </w:rPr>
              <w:t>2007</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  3,992</w:t>
            </w:r>
          </w:p>
        </w:tc>
        <w:tc>
          <w:tcPr>
            <w:tcW w:w="1020" w:type="dxa"/>
            <w:vAlign w:val="bottom"/>
            <w:gridSpan w:val="2"/>
          </w:tcPr>
          <w:p>
            <w:pPr>
              <w:jc w:val="right"/>
              <w:ind w:right="107"/>
              <w:spacing w:after="0"/>
              <w:rPr>
                <w:sz w:val="20"/>
                <w:szCs w:val="20"/>
                <w:color w:val="auto"/>
              </w:rPr>
            </w:pPr>
            <w:r>
              <w:rPr>
                <w:rFonts w:ascii="Arial" w:cs="Arial" w:eastAsia="Arial" w:hAnsi="Arial"/>
                <w:sz w:val="13"/>
                <w:szCs w:val="13"/>
                <w:color w:val="auto"/>
              </w:rPr>
              <w:t>$   (547)</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  3,445</w:t>
            </w:r>
          </w:p>
        </w:tc>
      </w:tr>
      <w:tr>
        <w:trPr>
          <w:trHeight w:val="16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2008</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4,284</w:t>
            </w:r>
          </w:p>
        </w:tc>
        <w:tc>
          <w:tcPr>
            <w:tcW w:w="102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(606)</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3,678</w:t>
            </w:r>
          </w:p>
        </w:tc>
      </w:tr>
      <w:tr>
        <w:trPr>
          <w:trHeight w:val="167"/>
        </w:trPr>
        <w:tc>
          <w:tcPr>
            <w:tcW w:w="3000" w:type="dxa"/>
            <w:vAlign w:val="bottom"/>
          </w:tcPr>
          <w:p>
            <w:pPr>
              <w:spacing w:after="0"/>
              <w:rPr>
                <w:sz w:val="20"/>
                <w:szCs w:val="20"/>
                <w:color w:val="auto"/>
              </w:rPr>
            </w:pPr>
            <w:r>
              <w:rPr>
                <w:rFonts w:ascii="Arial" w:cs="Arial" w:eastAsia="Arial" w:hAnsi="Arial"/>
                <w:sz w:val="13"/>
                <w:szCs w:val="13"/>
                <w:color w:val="auto"/>
                <w:highlight w:val="white"/>
              </w:rPr>
              <w:t>2009</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4,566</w:t>
            </w:r>
          </w:p>
        </w:tc>
        <w:tc>
          <w:tcPr>
            <w:tcW w:w="1020" w:type="dxa"/>
            <w:vAlign w:val="bottom"/>
            <w:gridSpan w:val="2"/>
          </w:tcPr>
          <w:p>
            <w:pPr>
              <w:jc w:val="right"/>
              <w:ind w:right="107"/>
              <w:spacing w:after="0"/>
              <w:rPr>
                <w:sz w:val="20"/>
                <w:szCs w:val="20"/>
                <w:color w:val="auto"/>
              </w:rPr>
            </w:pPr>
            <w:r>
              <w:rPr>
                <w:rFonts w:ascii="Arial" w:cs="Arial" w:eastAsia="Arial" w:hAnsi="Arial"/>
                <w:sz w:val="13"/>
                <w:szCs w:val="13"/>
                <w:color w:val="auto"/>
              </w:rPr>
              <w:t>(665)</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3,901</w:t>
            </w:r>
          </w:p>
        </w:tc>
      </w:tr>
      <w:tr>
        <w:trPr>
          <w:trHeight w:val="16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2010</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4,918</w:t>
            </w:r>
          </w:p>
        </w:tc>
        <w:tc>
          <w:tcPr>
            <w:tcW w:w="102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(717)</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4,201</w:t>
            </w:r>
          </w:p>
        </w:tc>
      </w:tr>
      <w:tr>
        <w:trPr>
          <w:trHeight w:val="167"/>
        </w:trPr>
        <w:tc>
          <w:tcPr>
            <w:tcW w:w="3000" w:type="dxa"/>
            <w:vAlign w:val="bottom"/>
          </w:tcPr>
          <w:p>
            <w:pPr>
              <w:spacing w:after="0"/>
              <w:rPr>
                <w:sz w:val="20"/>
                <w:szCs w:val="20"/>
                <w:color w:val="auto"/>
              </w:rPr>
            </w:pPr>
            <w:r>
              <w:rPr>
                <w:rFonts w:ascii="Arial" w:cs="Arial" w:eastAsia="Arial" w:hAnsi="Arial"/>
                <w:sz w:val="13"/>
                <w:szCs w:val="13"/>
                <w:color w:val="auto"/>
                <w:highlight w:val="white"/>
              </w:rPr>
              <w:t>2011</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5,282</w:t>
            </w:r>
          </w:p>
        </w:tc>
        <w:tc>
          <w:tcPr>
            <w:tcW w:w="1020" w:type="dxa"/>
            <w:vAlign w:val="bottom"/>
            <w:gridSpan w:val="2"/>
          </w:tcPr>
          <w:p>
            <w:pPr>
              <w:jc w:val="right"/>
              <w:ind w:right="107"/>
              <w:spacing w:after="0"/>
              <w:rPr>
                <w:sz w:val="20"/>
                <w:szCs w:val="20"/>
                <w:color w:val="auto"/>
              </w:rPr>
            </w:pPr>
            <w:r>
              <w:rPr>
                <w:rFonts w:ascii="Arial" w:cs="Arial" w:eastAsia="Arial" w:hAnsi="Arial"/>
                <w:sz w:val="13"/>
                <w:szCs w:val="13"/>
                <w:color w:val="auto"/>
              </w:rPr>
              <w:t>(762)</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4,520</w:t>
            </w:r>
          </w:p>
        </w:tc>
      </w:tr>
      <w:tr>
        <w:trPr>
          <w:trHeight w:val="169"/>
        </w:trPr>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2012-2016</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32,476</w:t>
            </w:r>
          </w:p>
        </w:tc>
        <w:tc>
          <w:tcPr>
            <w:tcW w:w="102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(4,623)</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27,853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-878205</wp:posOffset>
            </wp:positionV>
            <wp:extent cx="3823970" cy="9417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823970" cy="941705"/>
                    </a:xfrm>
                    <a:prstGeom prst="rect">
                      <a:avLst/>
                    </a:prstGeom>
                    <a:noFill/>
                  </pic:spPr>
                </pic:pic>
              </a:graphicData>
            </a:graphic>
          </wp:anchor>
        </w:drawing>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15.</w:t>
        <w:tab/>
        <w:t>FINANCIAL INSTRUMENTS</w:t>
      </w:r>
    </w:p>
    <w:p>
      <w:pPr>
        <w:spacing w:after="0" w:line="92" w:lineRule="exact"/>
        <w:rPr>
          <w:sz w:val="20"/>
          <w:szCs w:val="20"/>
          <w:color w:val="auto"/>
        </w:rPr>
      </w:pPr>
    </w:p>
    <w:p>
      <w:pPr>
        <w:ind w:right="4259" w:firstLine="263"/>
        <w:spacing w:after="0" w:line="281" w:lineRule="auto"/>
        <w:rPr>
          <w:sz w:val="20"/>
          <w:szCs w:val="20"/>
          <w:color w:val="auto"/>
        </w:rPr>
      </w:pPr>
      <w:r>
        <w:rPr>
          <w:rFonts w:ascii="Arial" w:cs="Arial" w:eastAsia="Arial" w:hAnsi="Arial"/>
          <w:sz w:val="12"/>
          <w:szCs w:val="12"/>
          <w:color w:val="auto"/>
        </w:rPr>
        <w:t>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six months. The notional amount and maturity dates of such contracts match those of the underlying transactions. The gain or loss on the hedging instrument is recorded in earnings at the same time as the transaction being hedged is recorded in earnings. The associated asset or liability related to the open hedge instrument is recorded in Current Assets or Current Liabilities, as applicable.</w:t>
      </w:r>
    </w:p>
    <w:p>
      <w:pPr>
        <w:spacing w:after="0" w:line="52" w:lineRule="exact"/>
        <w:rPr>
          <w:sz w:val="20"/>
          <w:szCs w:val="20"/>
          <w:color w:val="auto"/>
        </w:rPr>
      </w:pPr>
    </w:p>
    <w:p>
      <w:pPr>
        <w:ind w:right="4259" w:firstLine="263"/>
        <w:spacing w:after="0" w:line="287" w:lineRule="auto"/>
        <w:rPr>
          <w:sz w:val="20"/>
          <w:szCs w:val="20"/>
          <w:color w:val="auto"/>
        </w:rPr>
      </w:pPr>
      <w:r>
        <w:rPr>
          <w:rFonts w:ascii="Arial" w:cs="Arial" w:eastAsia="Arial" w:hAnsi="Arial"/>
          <w:sz w:val="12"/>
          <w:szCs w:val="12"/>
          <w:color w:val="auto"/>
        </w:rPr>
        <w:t>The Company employs various interest rate swaps and debt issuances with the objective of managing and optimizing its interest rate exposure. The Company has executed a 10-year Yen – U.S. dollar currency swap related to the monthly sale and purchase of products between the U.S. and Japan. The annual notional value of this swap is approximately $5 million. Gains and losses related to this swap are recorded currently, and the mark-to-market adjustment related to the value of the swap is reflected as a component of AOCI.</w:t>
      </w:r>
    </w:p>
    <w:p>
      <w:pPr>
        <w:spacing w:after="0" w:line="45" w:lineRule="exact"/>
        <w:rPr>
          <w:sz w:val="20"/>
          <w:szCs w:val="20"/>
          <w:color w:val="auto"/>
        </w:rPr>
      </w:pPr>
    </w:p>
    <w:p>
      <w:pPr>
        <w:ind w:right="4239" w:firstLine="263"/>
        <w:spacing w:after="0" w:line="281" w:lineRule="auto"/>
        <w:rPr>
          <w:sz w:val="20"/>
          <w:szCs w:val="20"/>
          <w:color w:val="auto"/>
        </w:rPr>
      </w:pPr>
      <w:r>
        <w:rPr>
          <w:rFonts w:ascii="Arial" w:cs="Arial" w:eastAsia="Arial" w:hAnsi="Arial"/>
          <w:sz w:val="12"/>
          <w:szCs w:val="12"/>
          <w:color w:val="auto"/>
        </w:rPr>
        <w:t>In 2002, the Company entered into certain interest rate swap agreements effectively converting the fixed rate on its long-term Japanese Yen borrowings to a variable short-term rate based on the Japanese Yen LIBOR rate plus an interest markup. These swaps are designated as qualified fair value hedges. During 2003 and 2005, the Company amended the swaps and the counterparty paid the Company $3 million and $1 million, respectively, including accrued interest, respectively. Such gains have been deferred, are classified as a separate component of debt and amortized over the remaining term of the debt. To the extent the Company has not received cash or otherwise amended or settled any swap agreements, any applicable mark-to-market adjustment relating to that swap is included as a separate component of debt. The Company had no ineffective interest rate swaps at December 31, 2006.</w:t>
      </w:r>
    </w:p>
    <w:p>
      <w:pPr>
        <w:spacing w:after="0" w:line="49" w:lineRule="exact"/>
        <w:rPr>
          <w:sz w:val="20"/>
          <w:szCs w:val="20"/>
          <w:color w:val="auto"/>
        </w:rPr>
      </w:pPr>
    </w:p>
    <w:p>
      <w:pPr>
        <w:ind w:right="4259" w:firstLine="263"/>
        <w:spacing w:after="0" w:line="279" w:lineRule="auto"/>
        <w:rPr>
          <w:sz w:val="20"/>
          <w:szCs w:val="20"/>
          <w:color w:val="auto"/>
        </w:rPr>
      </w:pPr>
      <w:r>
        <w:rPr>
          <w:rFonts w:ascii="Arial" w:cs="Arial" w:eastAsia="Arial" w:hAnsi="Arial"/>
          <w:sz w:val="12"/>
          <w:szCs w:val="12"/>
          <w:color w:val="auto"/>
        </w:rPr>
        <w:t>In January 2006, the Company entered into a $300 million Cross Currency Interest Rate Swap transaction to hedge a portion of its consolidated Euro net investment. The derivative was structured as a swap of floating USD LIBOR to floating EURIBOR, with both floating interest rates reset and paid semi-annually, ensuring that the terms of the swap match identically. Because the derivative is structured as a floating to floating swap, the only value, other than that derived from changes in the foreign exchange (FX) spot rate, are interest rate accruals which are reset semi-annually. Thus, these accruals are netted and booked in current earnings. Mark-to-market changes due to differences in the underlying FX rate are recorded in AOCI and provide an offset to the cumulative translation adjustment of the underlying Euro assets being hedged, which are also being valued based on changes in the FX spot rate. Effectiveness is assessed quarterly. At maturity, or if the swap is terminated early, any gain or loss will not be recorded to earnings, but will be recorded to AOCI until the Euro net investment is divested.</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16.</w:t>
        <w:tab/>
        <w:t>CONCENTRATIONS OF CREDIT RISK</w:t>
      </w:r>
    </w:p>
    <w:p>
      <w:pPr>
        <w:spacing w:after="0" w:line="92" w:lineRule="exact"/>
        <w:rPr>
          <w:sz w:val="20"/>
          <w:szCs w:val="20"/>
          <w:color w:val="auto"/>
        </w:rPr>
      </w:pPr>
    </w:p>
    <w:p>
      <w:pPr>
        <w:ind w:right="4319" w:firstLine="263"/>
        <w:spacing w:after="0" w:line="279" w:lineRule="auto"/>
        <w:rPr>
          <w:sz w:val="20"/>
          <w:szCs w:val="20"/>
          <w:color w:val="auto"/>
        </w:rPr>
      </w:pPr>
      <w:r>
        <w:rPr>
          <w:rFonts w:ascii="Arial" w:cs="Arial" w:eastAsia="Arial" w:hAnsi="Arial"/>
          <w:sz w:val="13"/>
          <w:szCs w:val="13"/>
          <w:color w:val="auto"/>
        </w:rPr>
        <w:t>The Company has no significant concentrations of risk in financial instruments. Temporary investments are made in a well-diversified portfolio of high-quality, liquid obligations of government,</w:t>
      </w:r>
    </w:p>
    <w:p>
      <w:pPr>
        <w:spacing w:after="0" w:line="17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519"/>
        <w:spacing w:after="0" w:line="374" w:lineRule="auto"/>
        <w:rPr>
          <w:sz w:val="20"/>
          <w:szCs w:val="20"/>
          <w:color w:val="auto"/>
        </w:rPr>
      </w:pPr>
      <w:r>
        <w:rPr>
          <w:rFonts w:ascii="Arial" w:cs="Arial" w:eastAsia="Arial" w:hAnsi="Arial"/>
          <w:sz w:val="11"/>
          <w:szCs w:val="11"/>
          <w:color w:val="auto"/>
        </w:rPr>
        <w:t>corporate and financial institutions. There are also limited concentrations of credit risk with respect to trade receivables because of the large number of customers spread across many industries and geographic regions.</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NOTE 17.</w:t>
        <w:tab/>
        <w:t>COMMITMENTS AND CONTINGENCIES</w:t>
      </w:r>
    </w:p>
    <w:p>
      <w:pPr>
        <w:spacing w:after="0" w:line="92" w:lineRule="exact"/>
        <w:rPr>
          <w:sz w:val="20"/>
          <w:szCs w:val="20"/>
          <w:color w:val="auto"/>
        </w:rPr>
      </w:pPr>
    </w:p>
    <w:p>
      <w:pPr>
        <w:ind w:right="4239" w:firstLine="263"/>
        <w:spacing w:after="0" w:line="287" w:lineRule="auto"/>
        <w:rPr>
          <w:sz w:val="20"/>
          <w:szCs w:val="20"/>
          <w:color w:val="auto"/>
        </w:rPr>
      </w:pPr>
      <w:r>
        <w:rPr>
          <w:rFonts w:ascii="Arial" w:cs="Arial" w:eastAsia="Arial" w:hAnsi="Arial"/>
          <w:sz w:val="12"/>
          <w:szCs w:val="12"/>
          <w:color w:val="auto"/>
        </w:rPr>
        <w:t>Minimum rental commitments under non-cancelable operating leases are $23 million in 2007, $20 million in 2008, $19 million in 2009, $16 million in 2010, $16 million in 2011, and thereafter through 2030, the aggregate lease obligations are $209 million. The corresponding rental expense amounted to $25 million, $21 million and $21 million in 2006, 2005 and 2004, respectively. None of the Company’s leases contain step rent provisions or escalation clauses and they do not require capital improvement funding.</w:t>
      </w:r>
    </w:p>
    <w:p>
      <w:pPr>
        <w:spacing w:after="0" w:line="45" w:lineRule="exact"/>
        <w:rPr>
          <w:sz w:val="20"/>
          <w:szCs w:val="20"/>
          <w:color w:val="auto"/>
        </w:rPr>
      </w:pPr>
    </w:p>
    <w:p>
      <w:pPr>
        <w:ind w:right="4259" w:firstLine="263"/>
        <w:spacing w:after="0" w:line="308" w:lineRule="auto"/>
        <w:rPr>
          <w:sz w:val="20"/>
          <w:szCs w:val="20"/>
          <w:color w:val="auto"/>
        </w:rPr>
      </w:pPr>
      <w:r>
        <w:rPr>
          <w:rFonts w:ascii="Arial" w:cs="Arial" w:eastAsia="Arial" w:hAnsi="Arial"/>
          <w:sz w:val="11"/>
          <w:szCs w:val="11"/>
          <w:color w:val="auto"/>
        </w:rPr>
        <w:t>The Company is party to a number of lawsuits and claims related primarily to flavoring supplied by the Company to manufacturers of butter flavor popcorn. At each balance sheet date, or more frequently as conditions warrant, the Company reviews the status of each pending claim, as well as its insurance coverage for such claims with due consideration given to potentially applicable deductibles, retentions and reservation of rights under its insurance policies, and the advice of its outside legal counsel and a third party expert in modeling insurance deductible amounts with respect to all these matters. While the ultimate outcome of any litigation cannot be predicted, management believes that adequate provision has been made with respect to all known claims. Based on information presently available and in light of the merits of its defenses and the availability of insurance, the Company does not expect the outcome of the above cases, singly or in the aggregate, to have a material adverse effect on the Company’s financial condition, results of operation or liquidity. There can be no assurance that</w:t>
      </w:r>
    </w:p>
    <w:p>
      <w:pPr>
        <w:sectPr>
          <w:pgSz w:w="11900" w:h="16838" w:orient="portrait"/>
          <w:cols w:equalWidth="0" w:num="1">
            <w:col w:w="10239"/>
          </w:cols>
          <w:pgMar w:left="220" w:top="210" w:right="1440" w:bottom="0" w:gutter="0" w:footer="0" w:header="0"/>
        </w:sectPr>
      </w:pPr>
    </w:p>
    <w:bookmarkStart w:id="35" w:name="page36"/>
    <w:bookmarkEnd w:id="35"/>
    <w:p>
      <w:pPr>
        <w:ind w:right="4419"/>
        <w:spacing w:after="0" w:line="279" w:lineRule="auto"/>
        <w:rPr>
          <w:sz w:val="20"/>
          <w:szCs w:val="20"/>
          <w:color w:val="auto"/>
        </w:rPr>
      </w:pPr>
      <w:r>
        <w:rPr>
          <w:rFonts w:ascii="Arial" w:cs="Arial" w:eastAsia="Arial" w:hAnsi="Arial"/>
          <w:sz w:val="13"/>
          <w:szCs w:val="13"/>
          <w:color w:val="auto"/>
        </w:rPr>
        <w:t>future events will not require the Company to increase the amount it has accrued for any matter or accrue for a matter that has not been previously accrued.</w:t>
      </w:r>
    </w:p>
    <w:p>
      <w:pPr>
        <w:spacing w:after="0" w:line="48" w:lineRule="exact"/>
        <w:rPr>
          <w:sz w:val="20"/>
          <w:szCs w:val="20"/>
          <w:color w:val="auto"/>
        </w:rPr>
      </w:pPr>
    </w:p>
    <w:p>
      <w:pPr>
        <w:ind w:right="4259" w:firstLine="263"/>
        <w:spacing w:after="0" w:line="324" w:lineRule="auto"/>
        <w:rPr>
          <w:sz w:val="20"/>
          <w:szCs w:val="20"/>
          <w:color w:val="auto"/>
        </w:rPr>
      </w:pPr>
      <w:r>
        <w:rPr>
          <w:rFonts w:ascii="Arial" w:cs="Arial" w:eastAsia="Arial" w:hAnsi="Arial"/>
          <w:sz w:val="11"/>
          <w:szCs w:val="11"/>
          <w:color w:val="auto"/>
        </w:rPr>
        <w:t>The Company recorded its expected liability with respect to these claims in Other current liabilities and expected recoveries from its insurance carrier group in Other Receivables. The Company believes that realization of the insurance receivable is probable due to the terms of the insurance policies, the financial strength of the insurance carrier group and the payment experience to date of the carrier group as it relates to these claims.</w:t>
      </w:r>
    </w:p>
    <w:p>
      <w:pPr>
        <w:spacing w:after="0" w:line="157"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60" w:val="left"/>
        </w:tabs>
        <w:rPr>
          <w:sz w:val="20"/>
          <w:szCs w:val="20"/>
          <w:color w:val="auto"/>
        </w:rPr>
      </w:pPr>
      <w:r>
        <w:rPr>
          <w:rFonts w:ascii="Arial" w:cs="Arial" w:eastAsia="Arial" w:hAnsi="Arial"/>
          <w:sz w:val="13"/>
          <w:szCs w:val="13"/>
          <w:b w:val="1"/>
          <w:bCs w:val="1"/>
          <w:color w:val="auto"/>
        </w:rPr>
        <w:t>(a)(3)</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350" cy="6286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3735705" cy="63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735705" cy="6350"/>
                    </a:xfrm>
                    <a:prstGeom prst="rect">
                      <a:avLst/>
                    </a:prstGeom>
                    <a:noFill/>
                  </pic:spPr>
                </pic:pic>
              </a:graphicData>
            </a:graphic>
          </wp:anchor>
        </w:drawing>
      </w:r>
    </w:p>
    <w:p>
      <w:pPr>
        <w:spacing w:after="0" w:line="252" w:lineRule="exact"/>
        <w:rPr>
          <w:sz w:val="20"/>
          <w:szCs w:val="20"/>
          <w:color w:val="auto"/>
        </w:rPr>
      </w:pPr>
    </w:p>
    <w:p>
      <w:pPr>
        <w:jc w:val="center"/>
        <w:ind w:right="9859"/>
        <w:spacing w:after="0"/>
        <w:rPr>
          <w:sz w:val="20"/>
          <w:szCs w:val="20"/>
          <w:color w:val="auto"/>
        </w:rPr>
      </w:pPr>
      <w:r>
        <w:rPr>
          <w:rFonts w:ascii="Arial" w:cs="Arial" w:eastAsia="Arial" w:hAnsi="Arial"/>
          <w:sz w:val="9"/>
          <w:szCs w:val="9"/>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-22860</wp:posOffset>
            </wp:positionV>
            <wp:extent cx="6350" cy="6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-22860</wp:posOffset>
            </wp:positionV>
            <wp:extent cx="6350" cy="63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 w:lineRule="exact"/>
        <w:rPr>
          <w:sz w:val="20"/>
          <w:szCs w:val="20"/>
          <w:color w:val="auto"/>
        </w:rPr>
      </w:pPr>
    </w:p>
    <w:p>
      <w:pPr>
        <w:ind w:left="580" w:right="4579" w:hanging="439"/>
        <w:spacing w:after="0" w:line="261" w:lineRule="auto"/>
        <w:tabs>
          <w:tab w:leader="none" w:pos="560" w:val="left"/>
        </w:tabs>
        <w:rPr>
          <w:sz w:val="20"/>
          <w:szCs w:val="20"/>
          <w:color w:val="auto"/>
        </w:rPr>
      </w:pPr>
      <w:r>
        <w:rPr>
          <w:rFonts w:ascii="Arial" w:cs="Arial" w:eastAsia="Arial" w:hAnsi="Arial"/>
          <w:sz w:val="13"/>
          <w:szCs w:val="13"/>
          <w:color w:val="auto"/>
        </w:rPr>
        <w:t>3(i)</w:t>
      </w:r>
      <w:r>
        <w:rPr>
          <w:sz w:val="20"/>
          <w:szCs w:val="20"/>
          <w:color w:val="auto"/>
        </w:rPr>
        <w:tab/>
      </w:r>
      <w:r>
        <w:rPr>
          <w:rFonts w:ascii="Arial" w:cs="Arial" w:eastAsia="Arial" w:hAnsi="Arial"/>
          <w:sz w:val="13"/>
          <w:szCs w:val="13"/>
          <w:color w:val="auto"/>
        </w:rPr>
        <w:t>Restated Certificate of Incorporation of Registrant, incorporated by reference to Exhibit 10(g) to Registrant’s Report on Form 10-Q filed on August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59" w:hanging="459"/>
        <w:spacing w:after="0" w:line="261" w:lineRule="auto"/>
        <w:tabs>
          <w:tab w:leader="none" w:pos="560" w:val="left"/>
        </w:tabs>
        <w:rPr>
          <w:sz w:val="20"/>
          <w:szCs w:val="20"/>
          <w:color w:val="auto"/>
        </w:rPr>
      </w:pPr>
      <w:r>
        <w:rPr>
          <w:rFonts w:ascii="Arial" w:cs="Arial" w:eastAsia="Arial" w:hAnsi="Arial"/>
          <w:sz w:val="13"/>
          <w:szCs w:val="13"/>
          <w:color w:val="auto"/>
        </w:rPr>
        <w:t>3(ii)</w:t>
      </w:r>
      <w:r>
        <w:rPr>
          <w:sz w:val="20"/>
          <w:szCs w:val="20"/>
          <w:color w:val="auto"/>
        </w:rPr>
        <w:tab/>
      </w:r>
      <w:r>
        <w:rPr>
          <w:rFonts w:ascii="Arial" w:cs="Arial" w:eastAsia="Arial" w:hAnsi="Arial"/>
          <w:sz w:val="13"/>
          <w:szCs w:val="13"/>
          <w:color w:val="auto"/>
        </w:rPr>
        <w:t>By-laws of Registrant, incorporated by reference to Exhibit 99.1 to Registrant’s Report on Form 8-K filed on October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19" w:hanging="505"/>
        <w:spacing w:after="0" w:line="259"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.1Shareholder’s Protection Rights Agreement, dated as of March 21, 2000, between Registrant and The Bank of New York, as Rights Agent, incorporated by reference to Exhibit 4.1 to Registrant’s Report on Form 10-K filed on March 13, 2006.</w:t>
      </w:r>
    </w:p>
    <w:p>
      <w:pPr>
        <w:ind w:left="580" w:right="4519" w:hanging="505"/>
        <w:spacing w:after="0" w:line="259"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.1a First Amendment dated September 26, 2000, to Shareholder Protection Rights Agreement, incorporated by reference to Exhibit 4.1a to Registrant’s Report on Form 10-K filed on March 13, 2006.</w:t>
      </w:r>
    </w:p>
    <w:p>
      <w:pPr>
        <w:ind w:left="580" w:right="4339" w:hanging="505"/>
        <w:spacing w:after="0" w:line="257"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.1b Letter Agreement between the Registrant and Wachovia Bank, National Association (‘‘Wachovia’’), dated as of October 31, 2002, appointing Wachovia as Successor Rights Agent pursuant to the Shareholder Protection Rights Agreement, dated as of March 21, 2000 and amended as of September 26, 2000, incorporated by reference to Exhibit 4(a) to Registrant’s Report on Form 10-Q filed on November 12, 2002.</w:t>
      </w:r>
    </w:p>
    <w:p>
      <w:pPr>
        <w:ind w:left="580" w:right="4419" w:hanging="505"/>
        <w:spacing w:after="0" w:line="257"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.2Specimen Certificates of Registrant’s Common Stock bearing legend notifying of Shareholder Protection Rights Agreement, incorporated by reference to Exhibit 4(b) to Registrant’s Registration Statement on Form S-3 filed on September 29, 2000.</w:t>
      </w:r>
    </w:p>
    <w:p>
      <w:pPr>
        <w:spacing w:after="0" w:line="1"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color w:val="auto"/>
        </w:rPr>
        <w:t>(Reg. No. 333-46932).</w:t>
      </w:r>
    </w:p>
    <w:p>
      <w:pPr>
        <w:spacing w:after="0" w:line="11" w:lineRule="exact"/>
        <w:rPr>
          <w:rFonts w:ascii="Arial" w:cs="Arial" w:eastAsia="Arial" w:hAnsi="Arial"/>
          <w:sz w:val="13"/>
          <w:szCs w:val="13"/>
          <w:color w:val="auto"/>
        </w:rPr>
      </w:pPr>
    </w:p>
    <w:p>
      <w:pPr>
        <w:jc w:val="right"/>
        <w:ind w:left="580" w:right="4339" w:hanging="505"/>
        <w:spacing w:after="0" w:line="306"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.3</w:t>
      </w:r>
      <w:r>
        <w:rPr>
          <w:rFonts w:ascii="Arial" w:cs="Arial" w:eastAsia="Arial" w:hAnsi="Arial"/>
          <w:sz w:val="11"/>
          <w:szCs w:val="11"/>
          <w:color w:val="auto"/>
        </w:rPr>
        <w:t>Indenture, dated as of May 1, 2001, between International Flavors &amp; Fragrances Inc. and Bank One Trust Company, N.A. (now JPMorgan Chase Bank), as Trustee, incorporated by reference to Exhibit 4.1 to Registrant’s Registration Statement on Form S-4 filed on June 26, 2001 (Reg. No. 333-63910).</w:t>
      </w:r>
    </w:p>
    <w:p>
      <w:pPr>
        <w:ind w:left="580" w:right="4399" w:hanging="505"/>
        <w:spacing w:after="0" w:line="257"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.4First Supplemental Indenture, dated as of May 7, 2001, between International Flavors &amp; Fragrances Inc. and Bank One Trust Company, N.A. (now JPMorgan Chase Bank), as Trustee, incorporated by reference to Exhibit 4.2 to Registrant’s Registration Statement on Form S-4 filed on June 26, 2001 (Reg. No. 333-63910).</w:t>
      </w:r>
    </w:p>
    <w:p>
      <w:pPr>
        <w:spacing w:after="0" w:line="2" w:lineRule="exact"/>
        <w:rPr>
          <w:rFonts w:ascii="Arial" w:cs="Arial" w:eastAsia="Arial" w:hAnsi="Arial"/>
          <w:sz w:val="13"/>
          <w:szCs w:val="13"/>
          <w:color w:val="auto"/>
        </w:rPr>
      </w:pPr>
    </w:p>
    <w:p>
      <w:pPr>
        <w:jc w:val="right"/>
        <w:ind w:left="580" w:right="4659" w:hanging="505"/>
        <w:spacing w:after="0" w:line="309"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.5</w:t>
      </w:r>
      <w:r>
        <w:rPr>
          <w:rFonts w:ascii="Arial" w:cs="Arial" w:eastAsia="Arial" w:hAnsi="Arial"/>
          <w:sz w:val="11"/>
          <w:szCs w:val="11"/>
          <w:color w:val="auto"/>
        </w:rPr>
        <w:t>Form of 6.45% Notes due 2006 (included in 4.4), incorporated by reference to Exhibit 4.2.1 to Registrant’s Registration Statement on Form S-4 filed on June 26, 2001 (Reg. No. 333-63910).</w:t>
      </w:r>
    </w:p>
    <w:p>
      <w:pPr>
        <w:ind w:left="580" w:right="4379" w:hanging="505"/>
        <w:spacing w:after="0" w:line="278"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.6</w:t>
      </w:r>
      <w:r>
        <w:rPr>
          <w:rFonts w:ascii="Arial" w:cs="Arial" w:eastAsia="Arial" w:hAnsi="Arial"/>
          <w:sz w:val="12"/>
          <w:szCs w:val="12"/>
          <w:color w:val="auto"/>
        </w:rPr>
        <w:t>Registration Rights Agreement, dated as of May 7, 2001, among International Flavors &amp; Fragrances Inc. and Salomon Smith Barney Inc., Banc One Capital Markets, Inc. (now JPMorgan Chase Bank), First Union Securities Inc. and Tokyo-Mitsubishi International plc, as representatives of the Initial Purchasers, incorporated by reference to Exhibit 4.3 to Registrant’s Registration Statement on Form S-4 filed on June 26, 2001 (Reg. No. 333-63910).</w:t>
      </w:r>
    </w:p>
    <w:p>
      <w:pPr>
        <w:spacing w:after="0" w:line="1" w:lineRule="exact"/>
        <w:rPr>
          <w:rFonts w:ascii="Arial" w:cs="Arial" w:eastAsia="Arial" w:hAnsi="Arial"/>
          <w:sz w:val="13"/>
          <w:szCs w:val="13"/>
          <w:color w:val="auto"/>
        </w:rPr>
      </w:pPr>
    </w:p>
    <w:p>
      <w:pPr>
        <w:ind w:left="580" w:right="4319" w:hanging="505"/>
        <w:spacing w:after="0" w:line="259"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.7Note Purchase Agreement, dated as of July 12, 2006, by and among International Flavors &amp; Fragrances Inc. and the various purchasers named therein, incorporated by reference to Exhibit 4.7 to Registrant’s Report on Form 8-K filed on July 13, 2006.</w:t>
      </w:r>
    </w:p>
    <w:p>
      <w:pPr>
        <w:ind w:left="580" w:right="4379" w:hanging="505"/>
        <w:spacing w:after="0" w:line="261" w:lineRule="auto"/>
        <w:tabs>
          <w:tab w:leader="none" w:pos="214" w:val="left"/>
        </w:tabs>
        <w:numPr>
          <w:ilvl w:val="0"/>
          <w:numId w:val="20"/>
        </w:numPr>
        <w:rPr>
          <w:rFonts w:ascii="Arial" w:cs="Arial" w:eastAsia="Arial" w:hAnsi="Arial"/>
          <w:sz w:val="13"/>
          <w:szCs w:val="13"/>
          <w:color w:val="auto"/>
        </w:rPr>
      </w:pPr>
      <w:r>
        <w:rPr>
          <w:rFonts w:ascii="Arial" w:cs="Arial" w:eastAsia="Arial" w:hAnsi="Arial"/>
          <w:sz w:val="13"/>
          <w:szCs w:val="13"/>
          <w:color w:val="auto"/>
        </w:rPr>
        <w:t>.8Form of Series A, Series B, Series C and Series D Senior Notes incorporated by reference to Exhibit 4.8 of Registrant’s Report on Form 8-K filed on July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-3471545</wp:posOffset>
            </wp:positionV>
            <wp:extent cx="6350" cy="63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-3326765</wp:posOffset>
            </wp:positionV>
            <wp:extent cx="6350" cy="635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-3326765</wp:posOffset>
            </wp:positionV>
            <wp:extent cx="6350" cy="635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-3163570</wp:posOffset>
            </wp:positionV>
            <wp:extent cx="6350"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-3019425</wp:posOffset>
            </wp:positionV>
            <wp:extent cx="6350" cy="635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-3019425</wp:posOffset>
            </wp:positionV>
            <wp:extent cx="6350"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-2856230</wp:posOffset>
            </wp:positionV>
            <wp:extent cx="6350" cy="635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-2611120</wp:posOffset>
            </wp:positionV>
            <wp:extent cx="6350" cy="63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-2611120</wp:posOffset>
            </wp:positionV>
            <wp:extent cx="6350" cy="635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-2347595</wp:posOffset>
            </wp:positionV>
            <wp:extent cx="6350" cy="635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-2152650</wp:posOffset>
            </wp:positionV>
            <wp:extent cx="6350" cy="635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-2152650</wp:posOffset>
            </wp:positionV>
            <wp:extent cx="6350" cy="63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-1939290</wp:posOffset>
            </wp:positionV>
            <wp:extent cx="6350" cy="635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-1795145</wp:posOffset>
            </wp:positionV>
            <wp:extent cx="6350" cy="63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-1795145</wp:posOffset>
            </wp:positionV>
            <wp:extent cx="6350" cy="63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-1631950</wp:posOffset>
            </wp:positionV>
            <wp:extent cx="6350"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-1437005</wp:posOffset>
            </wp:positionV>
            <wp:extent cx="6350"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-1437005</wp:posOffset>
            </wp:positionV>
            <wp:extent cx="6350" cy="63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-1223645</wp:posOffset>
            </wp:positionV>
            <wp:extent cx="6350" cy="635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-1129665</wp:posOffset>
            </wp:positionV>
            <wp:extent cx="6350" cy="63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-1129665</wp:posOffset>
            </wp:positionV>
            <wp:extent cx="6350" cy="635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-1016635</wp:posOffset>
            </wp:positionV>
            <wp:extent cx="6350" cy="63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-771525</wp:posOffset>
            </wp:positionV>
            <wp:extent cx="6350" cy="635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-771525</wp:posOffset>
            </wp:positionV>
            <wp:extent cx="6350"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350"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-363220</wp:posOffset>
            </wp:positionV>
            <wp:extent cx="6350"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-363220</wp:posOffset>
            </wp:positionV>
            <wp:extent cx="6350" cy="63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-3471545</wp:posOffset>
            </wp:positionV>
            <wp:extent cx="6350" cy="635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-3163570</wp:posOffset>
            </wp:positionV>
            <wp:extent cx="6350" cy="635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-2856230</wp:posOffset>
            </wp:positionV>
            <wp:extent cx="6350" cy="635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-2347595</wp:posOffset>
            </wp:positionV>
            <wp:extent cx="6350" cy="63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-1939290</wp:posOffset>
            </wp:positionV>
            <wp:extent cx="6350" cy="635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-1631950</wp:posOffset>
            </wp:positionV>
            <wp:extent cx="6350" cy="635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-1223645</wp:posOffset>
            </wp:positionV>
            <wp:extent cx="6350" cy="635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-1016635</wp:posOffset>
            </wp:positionV>
            <wp:extent cx="6350" cy="635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-508000</wp:posOffset>
            </wp:positionV>
            <wp:extent cx="6350" cy="635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539" w:hanging="563"/>
        <w:spacing w:after="0" w:line="266" w:lineRule="auto"/>
        <w:tabs>
          <w:tab w:leader="none" w:pos="5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Memorandum of Understanding between Registrant and Richard A. Goldstein, Chairman of the Board and Chief Executive Officer of Registrant, approved by Registrant’s Board of Directors on April 13,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350" cy="635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-165100</wp:posOffset>
            </wp:positionV>
            <wp:extent cx="6350" cy="635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-165100</wp:posOffset>
            </wp:positionV>
            <wp:extent cx="6350" cy="635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6350" cy="6286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-309245</wp:posOffset>
            </wp:positionV>
            <wp:extent cx="6350" cy="635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35705" cy="7556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735705"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-37465</wp:posOffset>
            </wp:positionV>
            <wp:extent cx="6350" cy="635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-37465</wp:posOffset>
            </wp:positionV>
            <wp:extent cx="6350" cy="635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279" w:hanging="563"/>
        <w:spacing w:after="0" w:line="257" w:lineRule="auto"/>
        <w:tabs>
          <w:tab w:leader="none" w:pos="5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Performance Incentive Award Agreement in respect of a performance incentive award of 200,000 restricted shares of Company Common Stock approved by the Company’s Board of Directors on August 1, 2002, granted to Richard A. Goldstein, Chairman of the Board and Chief Executive Officer of the Company, incorporated by reference to Exhibit 10(a) to Registrant’s Report on Form 10-Q filed on November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-502285</wp:posOffset>
            </wp:positionV>
            <wp:extent cx="6350" cy="635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-257175</wp:posOffset>
            </wp:positionV>
            <wp:extent cx="6350" cy="635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-257175</wp:posOffset>
            </wp:positionV>
            <wp:extent cx="6350" cy="635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-502285</wp:posOffset>
            </wp:positionV>
            <wp:extent cx="6350" cy="63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299" w:hanging="563"/>
        <w:spacing w:after="0" w:line="259" w:lineRule="auto"/>
        <w:tabs>
          <w:tab w:leader="none" w:pos="5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Retirement Agreement, dated April 3, 2006, between Registrant and Richard A. Goldstein, former Chairman of the Board of Directors and Chief Executive Officer, incorporated by reference to Exhibit 10.1 to Registrant’s Report on Form 8-K filed on April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399" w:hanging="563"/>
        <w:spacing w:after="0" w:line="280" w:lineRule="auto"/>
        <w:tabs>
          <w:tab w:leader="none" w:pos="5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Separation Agreement, dated as of January 13, 2006, between D. Wayne Howard, former Executive Vice President, Global Operations of the Company, and the Company, incorporated by reference to Exhibit 10.1 to Registrant’s Report on Form 8-K filed on January 18,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350" cy="635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-156210</wp:posOffset>
            </wp:positionV>
            <wp:extent cx="6350" cy="635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-156210</wp:posOffset>
            </wp:positionV>
            <wp:extent cx="6350" cy="635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-300355</wp:posOffset>
            </wp:positionV>
            <wp:extent cx="6350" cy="635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99" w:hanging="563"/>
        <w:spacing w:after="0" w:line="259" w:lineRule="auto"/>
        <w:tabs>
          <w:tab w:leader="none" w:pos="5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Letter Agreement, dated June 28, 2006, between Registrant and Robert M. Amen, Chairman of the Board of Directors and Chief Executive Officer, incorporated by reference to Registrant’s Report on Form 8-K filed on June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39" w:hanging="563"/>
        <w:spacing w:after="0" w:line="261" w:lineRule="auto"/>
        <w:tabs>
          <w:tab w:leader="none" w:pos="5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Retirement Agreement, dated November 30, 2006, between Registrant and Clint D. Brooks, former Senior Vice President,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59" w:hanging="563"/>
        <w:spacing w:after="0" w:line="283" w:lineRule="auto"/>
        <w:tabs>
          <w:tab w:leader="none" w:pos="5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Restricted Stock Units Agreement between Registrant and Arthur C. Martinez, dated July 25, 2006, incorporated by reference to Exhibit 10.1 to Registrant’s Report on Form 8-K filed on July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6350" cy="635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-200660</wp:posOffset>
            </wp:positionV>
            <wp:extent cx="6350" cy="635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79" w:hanging="563"/>
        <w:spacing w:after="0" w:line="259" w:lineRule="auto"/>
        <w:tabs>
          <w:tab w:leader="none" w:pos="5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Supplemental Retirement Plan, adopted by the Registrant’s Board of Directors on October 29, 1986, including amendments effective January 1, 2001, incorporated by reference to Exhibit 10(c) to Registrant’s Report on Form 10-Q filed on May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79" w:hanging="563"/>
        <w:spacing w:after="0" w:line="259" w:lineRule="auto"/>
        <w:tabs>
          <w:tab w:leader="none" w:pos="5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2000 Stock Award and Incentive Plan, adopted by the Registrant’s Board of Directors on March 9, 2000 as amended and restated through November 8, 2004, incorporated by reference to Exhibit 10.4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1"/>
          <w:szCs w:val="11"/>
          <w:color w:val="auto"/>
        </w:rPr>
        <w:t>2000 Supplemental Stock Award Plan, adopted by the Registrant’s Board of Directors on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6350" cy="635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-88900</wp:posOffset>
            </wp:positionV>
            <wp:extent cx="6350" cy="635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2"/>
          <w:szCs w:val="12"/>
          <w:color w:val="auto"/>
        </w:rPr>
        <w:t>14, 2000 as amended and restated through November 8, 2004,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-41910</wp:posOffset>
            </wp:positionV>
            <wp:extent cx="6350" cy="635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-41910</wp:posOffset>
            </wp:positionV>
            <wp:extent cx="6350" cy="63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3"/>
          <w:szCs w:val="13"/>
          <w:color w:val="auto"/>
        </w:rPr>
        <w:t>10.5 to Registrant’s Report on Form 10-K filed on March 13, 2006.</w:t>
      </w:r>
    </w:p>
    <w:p>
      <w:pPr>
        <w:spacing w:after="0" w:line="11" w:lineRule="exact"/>
        <w:rPr>
          <w:sz w:val="20"/>
          <w:szCs w:val="20"/>
          <w:color w:val="auto"/>
        </w:rPr>
      </w:pPr>
    </w:p>
    <w:p>
      <w:pPr>
        <w:ind w:left="580" w:right="4679" w:hanging="563"/>
        <w:spacing w:after="0" w:line="261" w:lineRule="auto"/>
        <w:tabs>
          <w:tab w:leader="none" w:pos="56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Registrant’s Executive Death Benefit Plan, effective July 1, 1990, incorporated by reference to Exhibit 10.5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399" w:hanging="563"/>
        <w:spacing w:after="0" w:line="259" w:lineRule="auto"/>
        <w:tabs>
          <w:tab w:leader="none" w:pos="560" w:val="left"/>
        </w:tabs>
        <w:rPr>
          <w:sz w:val="20"/>
          <w:szCs w:val="20"/>
          <w:color w:val="auto"/>
        </w:rPr>
      </w:pPr>
      <w:r>
        <w:rPr>
          <w:rFonts w:ascii="Arial" w:cs="Arial" w:eastAsia="Arial" w:hAnsi="Arial"/>
          <w:sz w:val="13"/>
          <w:szCs w:val="13"/>
          <w:color w:val="auto"/>
        </w:rPr>
        <w:t>*10.12</w:t>
        <w:tab/>
        <w:t>Registrant’s Vision 2001 Compensation Program, adopted by the Registrant’s Board of Directors on December 12, 2000 and amended in 2005, incorporated by reference to Exhibit 10.2 to Registrant’s Report on Form 8-K filed on January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899" w:hanging="563"/>
        <w:spacing w:after="0" w:line="261" w:lineRule="auto"/>
        <w:tabs>
          <w:tab w:leader="none" w:pos="560" w:val="left"/>
        </w:tabs>
        <w:rPr>
          <w:sz w:val="20"/>
          <w:szCs w:val="20"/>
          <w:color w:val="auto"/>
        </w:rPr>
      </w:pPr>
      <w:r>
        <w:rPr>
          <w:rFonts w:ascii="Arial" w:cs="Arial" w:eastAsia="Arial" w:hAnsi="Arial"/>
          <w:sz w:val="13"/>
          <w:szCs w:val="13"/>
          <w:color w:val="auto"/>
        </w:rPr>
        <w:t>*10.13</w:t>
        <w:tab/>
        <w:t>Long Term Equity Choice Program Summary, incorporated by reference to Exhibit 10.3 to Registrant’s Report on Form 8-K filed on 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59" w:hanging="563"/>
        <w:spacing w:after="0" w:line="322" w:lineRule="auto"/>
        <w:tabs>
          <w:tab w:leader="none" w:pos="56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2"/>
          <w:szCs w:val="12"/>
          <w:color w:val="auto"/>
        </w:rPr>
        <w:t>Performance Criteria for the Registrant’s long term incentive plan for the 2004 – 2006 cycle, incorporated by reference to Registrant’s Report on Form 8-K filed on January 28, 2005,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6350" cy="635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-228600</wp:posOffset>
            </wp:positionV>
            <wp:extent cx="6350" cy="635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-228600</wp:posOffset>
            </wp:positionV>
            <wp:extent cx="12700" cy="635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0239"/>
          </w:cols>
          <w:pgMar w:left="220" w:top="131" w:right="1440" w:bottom="0" w:gutter="0" w:footer="0" w:header="0"/>
        </w:sectPr>
      </w:pPr>
    </w:p>
    <w:bookmarkStart w:id="36" w:name="page37"/>
    <w:bookmarkEnd w:id="36"/>
    <w:p>
      <w:pPr>
        <w:spacing w:after="0" w:line="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Exhibit 10.1 thereto.</w:t>
      </w:r>
    </w:p>
    <w:p>
      <w:pPr>
        <w:spacing w:after="0" w:line="19" w:lineRule="exact"/>
        <w:rPr>
          <w:sz w:val="20"/>
          <w:szCs w:val="20"/>
          <w:color w:val="auto"/>
        </w:rPr>
      </w:pPr>
    </w:p>
    <w:p>
      <w:pPr>
        <w:ind w:left="580" w:right="4339" w:hanging="563"/>
        <w:spacing w:after="0" w:line="262" w:lineRule="auto"/>
        <w:tabs>
          <w:tab w:leader="none" w:pos="560" w:val="left"/>
        </w:tabs>
        <w:rPr>
          <w:sz w:val="20"/>
          <w:szCs w:val="20"/>
          <w:color w:val="auto"/>
        </w:rPr>
      </w:pPr>
      <w:r>
        <w:rPr>
          <w:rFonts w:ascii="Arial" w:cs="Arial" w:eastAsia="Arial" w:hAnsi="Arial"/>
          <w:sz w:val="13"/>
          <w:szCs w:val="13"/>
          <w:color w:val="auto"/>
        </w:rPr>
        <w:t>*10.15</w:t>
        <w:tab/>
        <w:t>Performance Criteria for the Registrant’s Annual Incentive Plan for 2005 and applicable to senior management’s restricted stock unit award in 2005 and for the 2005-2007 cycle, under the Company’s long term incentive plan, incorporated by reference to Exhibits 10.1, 10.2 and 10.3 to Registrant’s Report on Form 8-K filed on March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6350" cy="635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-213360</wp:posOffset>
            </wp:positionV>
            <wp:extent cx="6350" cy="635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-213360</wp:posOffset>
            </wp:positionV>
            <wp:extent cx="6350" cy="635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6350" cy="6286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-408305</wp:posOffset>
            </wp:positionV>
            <wp:extent cx="6350" cy="635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17"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4809490"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3735705" cy="7556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735705"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-37465</wp:posOffset>
            </wp:positionV>
            <wp:extent cx="6350" cy="635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-37465</wp:posOffset>
            </wp:positionV>
            <wp:extent cx="6350" cy="635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299" w:hanging="563"/>
        <w:spacing w:after="0" w:line="259" w:lineRule="auto"/>
        <w:tabs>
          <w:tab w:leader="none" w:pos="560" w:val="left"/>
        </w:tabs>
        <w:rPr>
          <w:sz w:val="20"/>
          <w:szCs w:val="20"/>
          <w:color w:val="auto"/>
        </w:rPr>
      </w:pPr>
      <w:r>
        <w:rPr>
          <w:rFonts w:ascii="Arial" w:cs="Arial" w:eastAsia="Arial" w:hAnsi="Arial"/>
          <w:sz w:val="13"/>
          <w:szCs w:val="13"/>
          <w:color w:val="auto"/>
        </w:rPr>
        <w:t>*10.16</w:t>
        <w:tab/>
        <w:t>Performance Criteria for the Registrant’s Annual Incentive Plan for 2006 and for the 2006-2008 cycle under the Company’s long term incentive plan, incorporated by reference to Exhibits 10.1 and 10.2 to Registrant’s Report on Form 8-K filed on 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439" w:hanging="563"/>
        <w:spacing w:after="0" w:line="259" w:lineRule="auto"/>
        <w:tabs>
          <w:tab w:leader="none" w:pos="560" w:val="left"/>
        </w:tabs>
        <w:rPr>
          <w:sz w:val="20"/>
          <w:szCs w:val="20"/>
          <w:color w:val="auto"/>
        </w:rPr>
      </w:pPr>
      <w:r>
        <w:rPr>
          <w:rFonts w:ascii="Arial" w:cs="Arial" w:eastAsia="Arial" w:hAnsi="Arial"/>
          <w:sz w:val="13"/>
          <w:szCs w:val="13"/>
          <w:color w:val="auto"/>
        </w:rPr>
        <w:t>*10.17</w:t>
        <w:tab/>
        <w:t>Form of Non-Employee Director’s Restricted Stock Unit Agreement under International Flavors &amp; Fragrances Inc. 2000 Stock Award and Incentive Plan, incorporated by reference to Exhibit 10.1 to Registrant’s Report on Form 8-K filed on 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19" w:hanging="563"/>
        <w:spacing w:after="0" w:line="259" w:lineRule="auto"/>
        <w:tabs>
          <w:tab w:leader="none" w:pos="560" w:val="left"/>
        </w:tabs>
        <w:rPr>
          <w:sz w:val="20"/>
          <w:szCs w:val="20"/>
          <w:color w:val="auto"/>
        </w:rPr>
      </w:pPr>
      <w:r>
        <w:rPr>
          <w:rFonts w:ascii="Arial" w:cs="Arial" w:eastAsia="Arial" w:hAnsi="Arial"/>
          <w:sz w:val="13"/>
          <w:szCs w:val="13"/>
          <w:color w:val="auto"/>
        </w:rPr>
        <w:t>*10.18</w:t>
        <w:tab/>
        <w:t>Form of U.S. Restricted Stock Units Agreement under International Flavors &amp; Fragrances Inc. 2000 Stock Award and Incentive Plan, incorporated by reference to Exhibit 10.8a to Registrant’s Report on Form 8-K filed on October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99" w:hanging="563"/>
        <w:spacing w:after="0" w:line="259" w:lineRule="auto"/>
        <w:tabs>
          <w:tab w:leader="none" w:pos="560" w:val="left"/>
        </w:tabs>
        <w:rPr>
          <w:sz w:val="20"/>
          <w:szCs w:val="20"/>
          <w:color w:val="auto"/>
        </w:rPr>
      </w:pPr>
      <w:r>
        <w:rPr>
          <w:rFonts w:ascii="Arial" w:cs="Arial" w:eastAsia="Arial" w:hAnsi="Arial"/>
          <w:sz w:val="13"/>
          <w:szCs w:val="13"/>
          <w:color w:val="auto"/>
        </w:rPr>
        <w:t>*10.19</w:t>
        <w:tab/>
        <w:t>Form of U.S. Performance-Based Restricted Stock Units Agreement under International Flavors &amp; Fragrances Inc. 2000 Stock Award and Incentive Plan, incorporated by reference to Exhibit 10.8b to Registrant’s Report on Form 8-K filed on October 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79" w:hanging="563"/>
        <w:spacing w:after="0" w:line="259" w:lineRule="auto"/>
        <w:tabs>
          <w:tab w:leader="none" w:pos="560" w:val="left"/>
        </w:tabs>
        <w:rPr>
          <w:sz w:val="20"/>
          <w:szCs w:val="20"/>
          <w:color w:val="auto"/>
        </w:rPr>
      </w:pPr>
      <w:r>
        <w:rPr>
          <w:rFonts w:ascii="Arial" w:cs="Arial" w:eastAsia="Arial" w:hAnsi="Arial"/>
          <w:sz w:val="13"/>
          <w:szCs w:val="13"/>
          <w:color w:val="auto"/>
        </w:rPr>
        <w:t>*10.20</w:t>
        <w:tab/>
        <w:t>Form of Employee Stock Option Agreement under International Flavors &amp; Fragrances Inc. 2000 Stock Award and Incentive Plan, incorporated by reference to Exhibit 10.1 to Registrant’s Report on Form 10-Q filed on November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299" w:hanging="563"/>
        <w:spacing w:after="0" w:line="259" w:lineRule="auto"/>
        <w:tabs>
          <w:tab w:leader="none" w:pos="560" w:val="left"/>
        </w:tabs>
        <w:rPr>
          <w:sz w:val="20"/>
          <w:szCs w:val="20"/>
          <w:color w:val="auto"/>
        </w:rPr>
      </w:pPr>
      <w:r>
        <w:rPr>
          <w:rFonts w:ascii="Arial" w:cs="Arial" w:eastAsia="Arial" w:hAnsi="Arial"/>
          <w:sz w:val="13"/>
          <w:szCs w:val="13"/>
          <w:color w:val="auto"/>
        </w:rPr>
        <w:t>*10.21</w:t>
        <w:tab/>
        <w:t>Form of International Flavors &amp; Fragrances Inc. Stock Option Agreement under 2000 Stock Option Plan for Non-Employee Directors, incorporated by reference to Exhibit 10.2 to Registrant’s Report on Form 10-Q filed on November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559" w:hanging="563"/>
        <w:spacing w:after="0" w:line="261" w:lineRule="auto"/>
        <w:tabs>
          <w:tab w:leader="none" w:pos="560" w:val="left"/>
        </w:tabs>
        <w:rPr>
          <w:sz w:val="20"/>
          <w:szCs w:val="20"/>
          <w:color w:val="auto"/>
        </w:rPr>
      </w:pPr>
      <w:r>
        <w:rPr>
          <w:rFonts w:ascii="Arial" w:cs="Arial" w:eastAsia="Arial" w:hAnsi="Arial"/>
          <w:sz w:val="13"/>
          <w:szCs w:val="13"/>
          <w:color w:val="auto"/>
        </w:rPr>
        <w:t>*10.22</w:t>
        <w:tab/>
        <w:t>Restated and Amended Executive Separation Policy, incorporated by reference to Exhibit 10.3 to Registrants Report on Form 8-K filed on 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39" w:hanging="563"/>
        <w:spacing w:after="0" w:line="261" w:lineRule="auto"/>
        <w:tabs>
          <w:tab w:leader="none" w:pos="560" w:val="left"/>
        </w:tabs>
        <w:rPr>
          <w:sz w:val="20"/>
          <w:szCs w:val="20"/>
          <w:color w:val="auto"/>
        </w:rPr>
      </w:pPr>
      <w:r>
        <w:rPr>
          <w:rFonts w:ascii="Arial" w:cs="Arial" w:eastAsia="Arial" w:hAnsi="Arial"/>
          <w:sz w:val="13"/>
          <w:szCs w:val="13"/>
          <w:color w:val="auto"/>
        </w:rPr>
        <w:t>*10.23</w:t>
        <w:tab/>
        <w:t>1997 Employee Stock Option Plan, incorporated by reference to Exhibit 10.18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59" w:hanging="563"/>
        <w:spacing w:after="0" w:line="259" w:lineRule="auto"/>
        <w:tabs>
          <w:tab w:leader="none" w:pos="560" w:val="left"/>
        </w:tabs>
        <w:rPr>
          <w:sz w:val="20"/>
          <w:szCs w:val="20"/>
          <w:color w:val="auto"/>
        </w:rPr>
      </w:pPr>
      <w:r>
        <w:rPr>
          <w:rFonts w:ascii="Arial" w:cs="Arial" w:eastAsia="Arial" w:hAnsi="Arial"/>
          <w:sz w:val="13"/>
          <w:szCs w:val="13"/>
          <w:color w:val="auto"/>
        </w:rPr>
        <w:t>*10.24</w:t>
        <w:tab/>
        <w:t>Amendment to 1997 Employee Stock Option Plan as amended by Registrant’s Board of Directors on February 8, 2000, incorporated by reference to Exhibit 10.19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99" w:hanging="563"/>
        <w:spacing w:after="0" w:line="261" w:lineRule="auto"/>
        <w:tabs>
          <w:tab w:leader="none" w:pos="560" w:val="left"/>
        </w:tabs>
        <w:rPr>
          <w:sz w:val="20"/>
          <w:szCs w:val="20"/>
          <w:color w:val="auto"/>
        </w:rPr>
      </w:pPr>
      <w:r>
        <w:rPr>
          <w:rFonts w:ascii="Arial" w:cs="Arial" w:eastAsia="Arial" w:hAnsi="Arial"/>
          <w:sz w:val="13"/>
          <w:szCs w:val="13"/>
          <w:color w:val="auto"/>
        </w:rPr>
        <w:t>*10.25</w:t>
        <w:tab/>
        <w:t>Resolutions Relating to Equity Awards as approved by the Board of Directors of the Registrant on January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19" w:hanging="563"/>
        <w:spacing w:after="0" w:line="259" w:lineRule="auto"/>
        <w:tabs>
          <w:tab w:leader="none" w:pos="560" w:val="left"/>
        </w:tabs>
        <w:rPr>
          <w:sz w:val="20"/>
          <w:szCs w:val="20"/>
          <w:color w:val="auto"/>
        </w:rPr>
      </w:pPr>
      <w:r>
        <w:rPr>
          <w:rFonts w:ascii="Arial" w:cs="Arial" w:eastAsia="Arial" w:hAnsi="Arial"/>
          <w:sz w:val="13"/>
          <w:szCs w:val="13"/>
          <w:color w:val="auto"/>
        </w:rPr>
        <w:t>*10.26</w:t>
        <w:tab/>
        <w:t>Deferred Compensation Plan adopted by Registrant’s Board of Directors on December 12, 2000, incorporated by reference to Exhibit 99 to Registrant’s Registration Statement on Form S-8 filed on May 16, 2001 (Reg. No. 333-61072).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59" w:hanging="563"/>
        <w:spacing w:after="0" w:line="306" w:lineRule="auto"/>
        <w:tabs>
          <w:tab w:leader="none" w:pos="56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1"/>
          <w:szCs w:val="11"/>
          <w:color w:val="auto"/>
        </w:rPr>
        <w:t>Trust Agreement dated October 4, 2000 among Registrant, First Union National Bank and Buck Consultants Inc. approved by Registrant’s Board of Directors on September 12, 2000, incorporated by reference to Exhibit 10.21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99" w:hanging="530"/>
        <w:spacing w:after="0" w:line="259" w:lineRule="auto"/>
        <w:tabs>
          <w:tab w:leader="none" w:pos="560" w:val="left"/>
        </w:tabs>
        <w:rPr>
          <w:sz w:val="20"/>
          <w:szCs w:val="20"/>
          <w:color w:val="auto"/>
        </w:rPr>
      </w:pPr>
      <w:r>
        <w:rPr>
          <w:rFonts w:ascii="Arial" w:cs="Arial" w:eastAsia="Arial" w:hAnsi="Arial"/>
          <w:sz w:val="13"/>
          <w:szCs w:val="13"/>
          <w:color w:val="auto"/>
        </w:rPr>
        <w:t>10 .28</w:t>
        <w:tab/>
        <w:t>Amendment dated August 2, 2005 to the Trust Agreement dated October 4, 2000 among Registrant, First Union National Bank and Buck Consultants Inc., incorporated by reference to Exhibit 10.1 to Registrant’s Report on Form 10-Q filed on August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19" w:hanging="563"/>
        <w:spacing w:after="0" w:line="261" w:lineRule="auto"/>
        <w:tabs>
          <w:tab w:leader="none" w:pos="560" w:val="left"/>
        </w:tabs>
        <w:rPr>
          <w:sz w:val="20"/>
          <w:szCs w:val="20"/>
          <w:color w:val="auto"/>
        </w:rPr>
      </w:pPr>
      <w:r>
        <w:rPr>
          <w:rFonts w:ascii="Arial" w:cs="Arial" w:eastAsia="Arial" w:hAnsi="Arial"/>
          <w:sz w:val="13"/>
          <w:szCs w:val="13"/>
          <w:color w:val="auto"/>
        </w:rPr>
        <w:t>*10.29</w:t>
        <w:tab/>
        <w:t>1990 Stock Option Plan for Non-Employee Directors, incorporated by reference to Exhibit 10.23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350" cy="635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-106045</wp:posOffset>
            </wp:positionV>
            <wp:extent cx="6350" cy="63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-106045</wp:posOffset>
            </wp:positionV>
            <wp:extent cx="6350" cy="635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-200025</wp:posOffset>
            </wp:positionV>
            <wp:extent cx="6350" cy="635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479" w:hanging="563"/>
        <w:spacing w:after="0" w:line="266" w:lineRule="auto"/>
        <w:tabs>
          <w:tab w:leader="none" w:pos="560" w:val="left"/>
        </w:tabs>
        <w:rPr>
          <w:sz w:val="20"/>
          <w:szCs w:val="20"/>
          <w:color w:val="auto"/>
        </w:rPr>
      </w:pPr>
      <w:r>
        <w:rPr>
          <w:rFonts w:ascii="Arial" w:cs="Arial" w:eastAsia="Arial" w:hAnsi="Arial"/>
          <w:sz w:val="13"/>
          <w:szCs w:val="13"/>
          <w:color w:val="auto"/>
        </w:rPr>
        <w:t>*10.30</w:t>
        <w:tab/>
        <w:t>2000 Stock Option Plan for Non-Employee Directors as amended and restated as of December 15, 2004, incorporated by reference to Exhibit 10.2 to Registrant’s Report on Form 8-K filed on 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350" cy="635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-165100</wp:posOffset>
            </wp:positionV>
            <wp:extent cx="6350" cy="635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-165100</wp:posOffset>
            </wp:positionV>
            <wp:extent cx="6350" cy="635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6350" cy="6286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-309245</wp:posOffset>
            </wp:positionV>
            <wp:extent cx="6350" cy="635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480949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3735705" cy="7556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735705"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-37465</wp:posOffset>
            </wp:positionV>
            <wp:extent cx="6350" cy="635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-37465</wp:posOffset>
            </wp:positionV>
            <wp:extent cx="6350" cy="635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379" w:hanging="563"/>
        <w:spacing w:after="0" w:line="259" w:lineRule="auto"/>
        <w:tabs>
          <w:tab w:leader="none" w:pos="560" w:val="left"/>
        </w:tabs>
        <w:rPr>
          <w:sz w:val="20"/>
          <w:szCs w:val="20"/>
          <w:color w:val="auto"/>
        </w:rPr>
      </w:pPr>
      <w:r>
        <w:rPr>
          <w:rFonts w:ascii="Arial" w:cs="Arial" w:eastAsia="Arial" w:hAnsi="Arial"/>
          <w:sz w:val="13"/>
          <w:szCs w:val="13"/>
          <w:color w:val="auto"/>
        </w:rPr>
        <w:t>*10.31</w:t>
        <w:tab/>
        <w:t>Director Charitable Contribution Program, adopted by the Board of Directors on February 14, 1995, incorporated by reference to Exhibit 10.25 to Registrant’s Report on Form 10-K filed on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39" w:hanging="563"/>
        <w:spacing w:after="0" w:line="306" w:lineRule="auto"/>
        <w:tabs>
          <w:tab w:leader="none" w:pos="56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1"/>
          <w:szCs w:val="11"/>
          <w:color w:val="auto"/>
        </w:rPr>
        <w:t>Resolutions approving Non-Employee Directors’ Annual Stock Grant Program, adopted by Registrant’s Board of Directors on September 12, 2000, incorporated by reference to Exhibit 99(c) to Registrant’s Registration Statement on Form S-3 filed on September 29, 2000 (Reg. No. 333-46932).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19" w:hanging="563"/>
        <w:spacing w:after="0" w:line="259" w:lineRule="auto"/>
        <w:tabs>
          <w:tab w:leader="none" w:pos="560" w:val="left"/>
        </w:tabs>
        <w:rPr>
          <w:sz w:val="20"/>
          <w:szCs w:val="20"/>
          <w:color w:val="auto"/>
        </w:rPr>
      </w:pPr>
      <w:r>
        <w:rPr>
          <w:rFonts w:ascii="Arial" w:cs="Arial" w:eastAsia="Arial" w:hAnsi="Arial"/>
          <w:sz w:val="13"/>
          <w:szCs w:val="13"/>
          <w:color w:val="auto"/>
        </w:rPr>
        <w:t>*10.33</w:t>
        <w:tab/>
        <w:t>Non-Employee Director Compensation Arrangements, adopted by Registrant’s Board of Directors on December 15, 2004, incorporated by reference to Registrant’s Report on Form 8-K filed on 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299" w:hanging="530"/>
        <w:spacing w:after="0" w:line="256" w:lineRule="auto"/>
        <w:tabs>
          <w:tab w:leader="none" w:pos="560" w:val="left"/>
        </w:tabs>
        <w:rPr>
          <w:sz w:val="20"/>
          <w:szCs w:val="20"/>
          <w:color w:val="auto"/>
        </w:rPr>
      </w:pPr>
      <w:r>
        <w:rPr>
          <w:rFonts w:ascii="Arial" w:cs="Arial" w:eastAsia="Arial" w:hAnsi="Arial"/>
          <w:sz w:val="13"/>
          <w:szCs w:val="13"/>
          <w:color w:val="auto"/>
        </w:rPr>
        <w:t>10 .34</w:t>
        <w:tab/>
        <w:t>Multi-currency Revolving Credit Facility Agreement, dated November 23, 2005, among the Registrant, International Flavors &amp; Fragrances (Luxembourg) S.A.R.L., certain subsidiaries, the banks named therein, including Citigroup Global Markets Limited, Fortis Bank S.A./N.V., Bank of America N.A., Bank of Tokyo-Mitsubishi Trust Company, BNP Paribas, ING Bank N.V., J.P. Morgan Chase and Wachovia Bank, National Association, as mandated lead arrangers, and Citibank International PLC, as Facility Agent, incorporated by reference to Exhibit 4.1 to Registrant’s Report on Form 8-K filed on November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-702310</wp:posOffset>
            </wp:positionV>
            <wp:extent cx="6350" cy="635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-357505</wp:posOffset>
            </wp:positionV>
            <wp:extent cx="6350" cy="635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-357505</wp:posOffset>
            </wp:positionV>
            <wp:extent cx="6350" cy="635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-702310</wp:posOffset>
            </wp:positionV>
            <wp:extent cx="6350" cy="635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39" w:hanging="563"/>
        <w:spacing w:after="0" w:line="259" w:lineRule="auto"/>
        <w:tabs>
          <w:tab w:leader="none" w:pos="560" w:val="left"/>
        </w:tabs>
        <w:rPr>
          <w:sz w:val="20"/>
          <w:szCs w:val="20"/>
          <w:color w:val="auto"/>
        </w:rPr>
      </w:pPr>
      <w:r>
        <w:rPr>
          <w:rFonts w:ascii="Arial" w:cs="Arial" w:eastAsia="Arial" w:hAnsi="Arial"/>
          <w:sz w:val="13"/>
          <w:szCs w:val="13"/>
          <w:color w:val="auto"/>
        </w:rPr>
        <w:t>*10.35</w:t>
        <w:tab/>
        <w:t>Form of International Flavors &amp; Fragrances Inc. 2000 Stock Award and Incentive Plan Restricted Stock Unit Agreement, incorporated by reference to Exhibit 10.6 to Registrant’s Report on Form 8-K filed on 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519" w:hanging="563"/>
        <w:spacing w:after="0" w:line="259" w:lineRule="auto"/>
        <w:tabs>
          <w:tab w:leader="none" w:pos="560" w:val="left"/>
        </w:tabs>
        <w:rPr>
          <w:sz w:val="20"/>
          <w:szCs w:val="20"/>
          <w:color w:val="auto"/>
        </w:rPr>
      </w:pPr>
      <w:r>
        <w:rPr>
          <w:rFonts w:ascii="Arial" w:cs="Arial" w:eastAsia="Arial" w:hAnsi="Arial"/>
          <w:sz w:val="13"/>
          <w:szCs w:val="13"/>
          <w:color w:val="auto"/>
        </w:rPr>
        <w:t>*10.36</w:t>
        <w:tab/>
        <w:t>Form of International Flavors &amp; Fragrances Inc. 2000 Stock Award and Incentive Plan Purchased Restricted Stock Agreement, incorporated by reference to Exhibit 10.4 to Registrant’s Report on Form 8-K filed on 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jc w:val="both"/>
        <w:ind w:left="580" w:right="4359" w:hanging="563"/>
        <w:spacing w:after="0" w:line="259" w:lineRule="auto"/>
        <w:tabs>
          <w:tab w:leader="none" w:pos="560" w:val="left"/>
        </w:tabs>
        <w:rPr>
          <w:sz w:val="20"/>
          <w:szCs w:val="20"/>
          <w:color w:val="auto"/>
        </w:rPr>
      </w:pPr>
      <w:r>
        <w:rPr>
          <w:rFonts w:ascii="Arial" w:cs="Arial" w:eastAsia="Arial" w:hAnsi="Arial"/>
          <w:sz w:val="13"/>
          <w:szCs w:val="13"/>
          <w:color w:val="auto"/>
        </w:rPr>
        <w:t>*10.37</w:t>
        <w:tab/>
        <w:t>Form of International Flavors &amp; Fragrances Inc. 2000 Stock Award and Incentive Plan Stock Settled Appreciation Rights Agreement, incorporated by reference to Exhibit 10.5 to Registrant’s Report on Form 8-K filed on 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6350" cy="635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-156845</wp:posOffset>
            </wp:positionV>
            <wp:extent cx="6350" cy="635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-156845</wp:posOffset>
            </wp:positionV>
            <wp:extent cx="6350" cy="635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-300990</wp:posOffset>
            </wp:positionV>
            <wp:extent cx="6350" cy="635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580" w:right="4379" w:hanging="563"/>
        <w:spacing w:after="0" w:line="257" w:lineRule="auto"/>
        <w:tabs>
          <w:tab w:leader="none" w:pos="560" w:val="left"/>
        </w:tabs>
        <w:rPr>
          <w:sz w:val="20"/>
          <w:szCs w:val="20"/>
          <w:color w:val="auto"/>
        </w:rPr>
      </w:pPr>
      <w:r>
        <w:rPr>
          <w:rFonts w:ascii="Arial" w:cs="Arial" w:eastAsia="Arial" w:hAnsi="Arial"/>
          <w:sz w:val="13"/>
          <w:szCs w:val="13"/>
          <w:color w:val="auto"/>
        </w:rPr>
        <w:t>*10.38</w:t>
        <w:tab/>
        <w:t>Compensation arrangements of Nicolas Mirzayantz, in connection with his appointment as Business Unit President, Fragrances, and Hernan Vaisman, in connection with his appointment as Business Unit President, Flavors, effective as of January 1, 2007, incorporated by reference to Registrant’s Report on Form 8-K filed on December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-400685</wp:posOffset>
            </wp:positionV>
            <wp:extent cx="6350" cy="635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-205740</wp:posOffset>
            </wp:positionV>
            <wp:extent cx="6350" cy="635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-205740</wp:posOffset>
            </wp:positionV>
            <wp:extent cx="6350" cy="635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-400685</wp:posOffset>
            </wp:positionV>
            <wp:extent cx="6350" cy="635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tabs>
          <w:tab w:leader="none" w:pos="354" w:val="left"/>
        </w:tabs>
        <w:rPr>
          <w:sz w:val="20"/>
          <w:szCs w:val="20"/>
          <w:color w:val="auto"/>
        </w:rPr>
      </w:pPr>
      <w:r>
        <w:rPr>
          <w:rFonts w:ascii="Arial" w:cs="Arial" w:eastAsia="Arial" w:hAnsi="Arial"/>
          <w:sz w:val="13"/>
          <w:szCs w:val="13"/>
          <w:color w:val="auto"/>
        </w:rPr>
        <w:t>21</w:t>
      </w:r>
      <w:r>
        <w:rPr>
          <w:sz w:val="20"/>
          <w:szCs w:val="20"/>
          <w:color w:val="auto"/>
        </w:rPr>
        <w:tab/>
      </w:r>
      <w:r>
        <w:rPr>
          <w:sz w:val="1"/>
          <w:szCs w:val="1"/>
          <w:color w:val="auto"/>
        </w:rPr>
        <w:drawing>
          <wp:inline distT="0" distB="0" distL="0" distR="0">
            <wp:extent cx="12700" cy="50165"/>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50165"/>
                    </a:xfrm>
                    <a:prstGeom prst="rect">
                      <a:avLst/>
                    </a:prstGeom>
                    <a:noFill/>
                    <a:ln>
                      <a:noFill/>
                    </a:ln>
                  </pic:spPr>
                </pic:pic>
              </a:graphicData>
            </a:graphic>
          </wp:inline>
        </w:drawing>
        <w:drawing>
          <wp:inline distT="0" distB="0" distL="0" distR="0">
            <wp:extent cx="6350" cy="6350"/>
            <wp:effectExtent l="0" t="0" r="0" b="0"/>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3"/>
          <w:szCs w:val="13"/>
          <w:color w:val="auto"/>
        </w:rPr>
        <w:t xml:space="preserve">  List of Principal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6350" cy="635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tabs>
          <w:tab w:leader="none" w:pos="354" w:val="left"/>
        </w:tabs>
        <w:rPr>
          <w:sz w:val="20"/>
          <w:szCs w:val="20"/>
          <w:color w:val="auto"/>
        </w:rPr>
      </w:pPr>
      <w:r>
        <w:rPr>
          <w:rFonts w:ascii="Arial" w:cs="Arial" w:eastAsia="Arial" w:hAnsi="Arial"/>
          <w:sz w:val="13"/>
          <w:szCs w:val="13"/>
          <w:color w:val="auto"/>
        </w:rPr>
        <w:t>23</w:t>
      </w:r>
      <w:r>
        <w:rPr>
          <w:sz w:val="20"/>
          <w:szCs w:val="20"/>
          <w:color w:val="auto"/>
        </w:rPr>
        <w:tab/>
      </w:r>
      <w:r>
        <w:rPr>
          <w:sz w:val="1"/>
          <w:szCs w:val="1"/>
          <w:color w:val="auto"/>
        </w:rPr>
        <w:drawing>
          <wp:inline distT="0" distB="0" distL="0" distR="0">
            <wp:extent cx="12700" cy="50165"/>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50165"/>
                    </a:xfrm>
                    <a:prstGeom prst="rect">
                      <a:avLst/>
                    </a:prstGeom>
                    <a:noFill/>
                    <a:ln>
                      <a:noFill/>
                    </a:ln>
                  </pic:spPr>
                </pic:pic>
              </a:graphicData>
            </a:graphic>
          </wp:inline>
        </w:drawing>
        <w:drawing>
          <wp:inline distT="0" distB="0" distL="0" distR="0">
            <wp:extent cx="6350" cy="635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3"/>
          <w:szCs w:val="13"/>
          <w:color w:val="auto"/>
        </w:rPr>
        <w:t xml:space="preserve">  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6350" cy="635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 xml:space="preserve">31 .1 </w:t>
      </w:r>
      <w:r>
        <w:rPr>
          <w:sz w:val="1"/>
          <w:szCs w:val="1"/>
          <w:color w:val="auto"/>
        </w:rPr>
        <w:drawing>
          <wp:inline distT="0" distB="0" distL="0" distR="0">
            <wp:extent cx="12700" cy="50165"/>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50165"/>
                    </a:xfrm>
                    <a:prstGeom prst="rect">
                      <a:avLst/>
                    </a:prstGeom>
                    <a:noFill/>
                    <a:ln>
                      <a:noFill/>
                    </a:ln>
                  </pic:spPr>
                </pic:pic>
              </a:graphicData>
            </a:graphic>
          </wp:inline>
        </w:drawing>
        <w:drawing>
          <wp:inline distT="0" distB="0" distL="0" distR="0">
            <wp:extent cx="6350" cy="635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3"/>
          <w:szCs w:val="13"/>
          <w:color w:val="auto"/>
        </w:rPr>
        <w:t xml:space="preserve">  Certification of Robert M. Amen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6350" cy="635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color w:val="auto"/>
        </w:rPr>
        <w:t xml:space="preserve">31 .2 </w:t>
      </w:r>
      <w:r>
        <w:rPr>
          <w:sz w:val="1"/>
          <w:szCs w:val="1"/>
          <w:color w:val="auto"/>
        </w:rPr>
        <w:drawing>
          <wp:inline distT="0" distB="0" distL="0" distR="0">
            <wp:extent cx="12700" cy="50165"/>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50165"/>
                    </a:xfrm>
                    <a:prstGeom prst="rect">
                      <a:avLst/>
                    </a:prstGeom>
                    <a:noFill/>
                    <a:ln>
                      <a:noFill/>
                    </a:ln>
                  </pic:spPr>
                </pic:pic>
              </a:graphicData>
            </a:graphic>
          </wp:inline>
        </w:drawing>
        <w:drawing>
          <wp:inline distT="0" distB="0" distL="0" distR="0">
            <wp:extent cx="6350" cy="635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350" cy="6350"/>
                    </a:xfrm>
                    <a:prstGeom prst="rect">
                      <a:avLst/>
                    </a:prstGeom>
                    <a:noFill/>
                    <a:ln>
                      <a:noFill/>
                    </a:ln>
                  </pic:spPr>
                </pic:pic>
              </a:graphicData>
            </a:graphic>
          </wp:inline>
        </w:drawing>
      </w:r>
      <w:r>
        <w:rPr>
          <w:rFonts w:ascii="Arial" w:cs="Arial" w:eastAsia="Arial" w:hAnsi="Arial"/>
          <w:sz w:val="12"/>
          <w:szCs w:val="12"/>
          <w:color w:val="auto"/>
        </w:rPr>
        <w:t xml:space="preserve">  Certification of Douglas J. Wetmore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350" cy="635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 w:lineRule="exact"/>
        <w:rPr>
          <w:sz w:val="20"/>
          <w:szCs w:val="20"/>
          <w:color w:val="auto"/>
        </w:rPr>
      </w:pPr>
    </w:p>
    <w:p>
      <w:pPr>
        <w:ind w:left="580" w:right="4559" w:hanging="538"/>
        <w:spacing w:after="0" w:line="279" w:lineRule="auto"/>
        <w:tabs>
          <w:tab w:leader="none" w:pos="5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Certification of Robert M. Amen and Douglas J. Wetmore pursuant to 18 U.S.C. Section 1350 as adopted pursuant to the Sarbanes-Oxley Act of 2002.</w:t>
      </w:r>
    </w:p>
    <w:p>
      <w:pPr>
        <w:spacing w:after="0" w:line="26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-478155</wp:posOffset>
            </wp:positionV>
            <wp:extent cx="6350" cy="635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-383540</wp:posOffset>
            </wp:positionV>
            <wp:extent cx="6350" cy="635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-383540</wp:posOffset>
            </wp:positionV>
            <wp:extent cx="6350" cy="635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3924300" cy="1822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3924300" cy="18224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-478155</wp:posOffset>
            </wp:positionV>
            <wp:extent cx="6350" cy="635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43" w:orient="portrait"/>
          <w:cols w:equalWidth="0" w:num="1">
            <w:col w:w="10239"/>
          </w:cols>
          <w:pgMar w:left="220" w:top="131" w:right="1440" w:bottom="0" w:gutter="0" w:footer="0" w:header="0"/>
        </w:sectPr>
      </w:pPr>
    </w:p>
    <w:p>
      <w:pPr>
        <w:spacing w:after="0" w:line="177"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71</w:t>
      </w:r>
    </w:p>
    <w:p>
      <w:pPr>
        <w:sectPr>
          <w:pgSz w:w="11900" w:h="16843" w:orient="portrait"/>
          <w:cols w:equalWidth="0" w:num="1">
            <w:col w:w="10239"/>
          </w:cols>
          <w:pgMar w:left="220" w:top="131" w:right="1440" w:bottom="0" w:gutter="0" w:footer="0" w:header="0"/>
          <w:type w:val="continuous"/>
        </w:sectPr>
      </w:pPr>
    </w:p>
    <w:bookmarkStart w:id="37" w:name="page38"/>
    <w:bookmarkEnd w:id="37"/>
    <w:p>
      <w:pPr>
        <w:ind w:right="4339" w:firstLine="263"/>
        <w:spacing w:after="0" w:line="27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126365</wp:posOffset>
            </wp:positionH>
            <wp:positionV relativeFrom="page">
              <wp:posOffset>239395</wp:posOffset>
            </wp:positionV>
            <wp:extent cx="4809490" cy="381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4809490" cy="38100"/>
                    </a:xfrm>
                    <a:prstGeom prst="rect">
                      <a:avLst/>
                    </a:prstGeom>
                    <a:noFill/>
                  </pic:spPr>
                </pic:pic>
              </a:graphicData>
            </a:graphic>
          </wp:anchor>
        </w:drawing>
        <w:t>Pursuant to the requirements of Section 13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500"/>
        <w:spacing w:after="0"/>
        <w:rPr>
          <w:sz w:val="20"/>
          <w:szCs w:val="20"/>
          <w:color w:val="auto"/>
        </w:rPr>
      </w:pPr>
      <w:r>
        <w:rPr>
          <w:rFonts w:ascii="Arial" w:cs="Arial" w:eastAsia="Arial" w:hAnsi="Arial"/>
          <w:sz w:val="13"/>
          <w:szCs w:val="13"/>
          <w:b w:val="1"/>
          <w:bCs w:val="1"/>
          <w:color w:val="auto"/>
        </w:rPr>
        <w:t>INTERNATIONAL FLAVORS &amp; FRAGRANCES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588770" cy="635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588770" cy="635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3"/>
          <w:szCs w:val="13"/>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1588770" cy="635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88770" cy="6350"/>
                    </a:xfrm>
                    <a:prstGeom prst="rect">
                      <a:avLst/>
                    </a:prstGeom>
                    <a:noFill/>
                  </pic:spPr>
                </pic:pic>
              </a:graphicData>
            </a:graphic>
          </wp:anchor>
        </w:drawing>
      </w:r>
    </w:p>
    <w:p>
      <w:pPr>
        <w:spacing w:after="0" w:line="159"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By  /s/ Douglas J. Wetmore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588770" cy="635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588770" cy="635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-6985</wp:posOffset>
            </wp:positionV>
            <wp:extent cx="1279525" cy="635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9525" cy="6350"/>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3"/>
          <w:szCs w:val="13"/>
          <w:color w:val="auto"/>
        </w:rPr>
        <w:t>Douglas J. Wetmore</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3"/>
          <w:szCs w:val="13"/>
          <w:color w:val="auto"/>
        </w:rPr>
        <w:t>Senior Vice President and</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3"/>
          <w:szCs w:val="13"/>
          <w:color w:val="auto"/>
        </w:rPr>
        <w:t>Chief Financial Officer</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22, 2007</w:t>
      </w:r>
    </w:p>
    <w:p>
      <w:pPr>
        <w:spacing w:after="0" w:line="88" w:lineRule="exact"/>
        <w:rPr>
          <w:sz w:val="20"/>
          <w:szCs w:val="20"/>
          <w:color w:val="auto"/>
        </w:rPr>
      </w:pPr>
    </w:p>
    <w:p>
      <w:pPr>
        <w:ind w:right="4379" w:firstLine="263"/>
        <w:spacing w:after="0" w:line="322" w:lineRule="auto"/>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 indicated: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Principal Executive Officer:</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Robert M. 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55090" cy="635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55090"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Robert M. Amen</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Chairman of the Board and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Chief Executive Officer</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Principal Financial and Accounting Officer:</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Douglas J. Wetmore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63345" cy="635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63345"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Douglas J. Wetmore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Senior Vice President and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Chief Financial Officer</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Robert M. 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97000" cy="635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97000"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ROBERT M. AMEN</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Margaret Hayes Adame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53185" cy="635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53185"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MARGARET HAYES ADAME</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Gunter Blobel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413510" cy="635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GUNTER BLOBEL</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J. Michael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403985" cy="635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403985"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J. MICHAEL COOK</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Peter A. Georgescu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79220" cy="635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PETER A. GEORGESCU</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Alexandra A. Herzan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98905" cy="635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98905" cy="635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3"/>
          <w:szCs w:val="13"/>
          <w:color w:val="auto"/>
        </w:rPr>
        <w:t>ALEXANDRA A. HERZAN</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Henry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93825" cy="635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93825"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HENRY W. HOWELL, JR.</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Arthur C.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412875" cy="635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412875" cy="635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3"/>
          <w:szCs w:val="13"/>
          <w:color w:val="auto"/>
        </w:rPr>
        <w:t>ARTHUR C. MARTINEZ</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 Burton M. Tansky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-6985</wp:posOffset>
            </wp:positionV>
            <wp:extent cx="1398905" cy="635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98905" cy="635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BURTON M. TANSKY</w:t>
      </w:r>
    </w:p>
    <w:p>
      <w:pPr>
        <w:spacing w:after="0" w:line="209"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249555</wp:posOffset>
            </wp:positionV>
            <wp:extent cx="4809490" cy="381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239"/>
        <w:spacing w:after="0"/>
        <w:rPr>
          <w:sz w:val="20"/>
          <w:szCs w:val="20"/>
          <w:color w:val="auto"/>
        </w:rPr>
      </w:pPr>
      <w:r>
        <w:rPr>
          <w:rFonts w:ascii="Arial" w:cs="Arial" w:eastAsia="Arial" w:hAnsi="Arial"/>
          <w:sz w:val="13"/>
          <w:szCs w:val="13"/>
          <w:b w:val="1"/>
          <w:bCs w:val="1"/>
          <w:color w:val="auto"/>
        </w:rPr>
        <w:t>INTERNATIONAL FLAVORS &amp; FRAGRANCES INC. AND SUBSIDIARIES</w:t>
      </w:r>
    </w:p>
    <w:p>
      <w:pPr>
        <w:spacing w:after="0" w:line="167" w:lineRule="exact"/>
        <w:rPr>
          <w:sz w:val="20"/>
          <w:szCs w:val="20"/>
          <w:color w:val="auto"/>
        </w:rPr>
      </w:pPr>
    </w:p>
    <w:p>
      <w:pPr>
        <w:jc w:val="center"/>
        <w:ind w:right="4219"/>
        <w:spacing w:after="0"/>
        <w:rPr>
          <w:sz w:val="20"/>
          <w:szCs w:val="20"/>
          <w:color w:val="auto"/>
        </w:rPr>
      </w:pPr>
      <w:r>
        <w:rPr>
          <w:rFonts w:ascii="Arial" w:cs="Arial" w:eastAsia="Arial" w:hAnsi="Arial"/>
          <w:sz w:val="13"/>
          <w:szCs w:val="13"/>
          <w:b w:val="1"/>
          <w:bCs w:val="1"/>
          <w:color w:val="auto"/>
        </w:rPr>
        <w:t>SCHEDULE II — VALUATION AND QUALIFYING ACCOUNTS AND RESERVES</w:t>
      </w:r>
    </w:p>
    <w:p>
      <w:pPr>
        <w:spacing w:after="0" w:line="20" w:lineRule="exact"/>
        <w:rPr>
          <w:sz w:val="20"/>
          <w:szCs w:val="20"/>
          <w:color w:val="auto"/>
        </w:rPr>
      </w:pPr>
    </w:p>
    <w:p>
      <w:pPr>
        <w:jc w:val="center"/>
        <w:ind w:right="4219"/>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350" cy="6286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35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201295</wp:posOffset>
            </wp:positionV>
            <wp:extent cx="3930650" cy="635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930650" cy="635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16"/>
          </w:tcPr>
          <w:p>
            <w:pPr>
              <w:ind w:left="60"/>
              <w:spacing w:after="0"/>
              <w:rPr>
                <w:sz w:val="20"/>
                <w:szCs w:val="20"/>
                <w:color w:val="auto"/>
              </w:rPr>
            </w:pPr>
            <w:r>
              <w:rPr>
                <w:rFonts w:ascii="Arial" w:cs="Arial" w:eastAsia="Arial" w:hAnsi="Arial"/>
                <w:sz w:val="11"/>
                <w:szCs w:val="11"/>
                <w:b w:val="1"/>
                <w:bCs w:val="1"/>
                <w:color w:val="auto"/>
                <w:w w:val="93"/>
              </w:rPr>
              <w:t>For the Year Ended December 31, 2006</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11"/>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4"/>
          </w:tcPr>
          <w:p>
            <w:pPr>
              <w:ind w:left="60"/>
              <w:spacing w:after="0" w:line="112" w:lineRule="exact"/>
              <w:rPr>
                <w:sz w:val="20"/>
                <w:szCs w:val="20"/>
                <w:color w:val="auto"/>
              </w:rPr>
            </w:pPr>
            <w:r>
              <w:rPr>
                <w:rFonts w:ascii="Arial" w:cs="Arial" w:eastAsia="Arial" w:hAnsi="Arial"/>
                <w:sz w:val="11"/>
                <w:szCs w:val="11"/>
                <w:b w:val="1"/>
                <w:bCs w:val="1"/>
                <w:color w:val="auto"/>
                <w:w w:val="94"/>
              </w:rPr>
              <w:t>Additions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9"/>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Balance at</w:t>
            </w:r>
          </w:p>
        </w:tc>
        <w:tc>
          <w:tcPr>
            <w:tcW w:w="120" w:type="dxa"/>
            <w:vAlign w:val="bottom"/>
          </w:tcPr>
          <w:p>
            <w:pPr>
              <w:spacing w:after="0"/>
              <w:rPr>
                <w:sz w:val="11"/>
                <w:szCs w:val="11"/>
                <w:color w:val="auto"/>
              </w:rPr>
            </w:pPr>
          </w:p>
        </w:tc>
        <w:tc>
          <w:tcPr>
            <w:tcW w:w="5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5"/>
              </w:rPr>
              <w:t>charged to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3"/>
              </w:rPr>
              <w:t>Balance at</w:t>
            </w:r>
          </w:p>
        </w:tc>
      </w:tr>
      <w:tr>
        <w:trPr>
          <w:trHeight w:val="129"/>
        </w:trPr>
        <w:tc>
          <w:tcPr>
            <w:tcW w:w="2760" w:type="dxa"/>
            <w:vAlign w:val="bottom"/>
          </w:tcPr>
          <w:p>
            <w:pPr>
              <w:spacing w:after="0"/>
              <w:rPr>
                <w:sz w:val="11"/>
                <w:szCs w:val="11"/>
                <w:color w:val="auto"/>
              </w:rPr>
            </w:pP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beginning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w w:val="93"/>
              </w:rPr>
              <w:t>costs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w w:val="91"/>
              </w:rPr>
              <w:t>Accounts</w:t>
            </w:r>
          </w:p>
        </w:tc>
        <w:tc>
          <w:tcPr>
            <w:tcW w:w="120" w:type="dxa"/>
            <w:vAlign w:val="bottom"/>
          </w:tcPr>
          <w:p>
            <w:pPr>
              <w:spacing w:after="0"/>
              <w:rPr>
                <w:sz w:val="11"/>
                <w:szCs w:val="11"/>
                <w:color w:val="auto"/>
              </w:rPr>
            </w:pPr>
          </w:p>
        </w:tc>
        <w:tc>
          <w:tcPr>
            <w:tcW w:w="640" w:type="dxa"/>
            <w:vAlign w:val="bottom"/>
            <w:gridSpan w:val="6"/>
          </w:tcPr>
          <w:p>
            <w:pPr>
              <w:jc w:val="center"/>
              <w:spacing w:after="0"/>
              <w:rPr>
                <w:sz w:val="20"/>
                <w:szCs w:val="20"/>
                <w:color w:val="auto"/>
              </w:rPr>
            </w:pPr>
            <w:r>
              <w:rPr>
                <w:rFonts w:ascii="Arial" w:cs="Arial" w:eastAsia="Arial" w:hAnsi="Arial"/>
                <w:sz w:val="11"/>
                <w:szCs w:val="11"/>
                <w:b w:val="1"/>
                <w:bCs w:val="1"/>
                <w:color w:val="auto"/>
                <w:w w:val="87"/>
              </w:rPr>
              <w:t>Translation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4"/>
              </w:rPr>
              <w:t>end of</w:t>
            </w:r>
          </w:p>
        </w:tc>
      </w:tr>
      <w:tr>
        <w:trPr>
          <w:trHeight w:val="136"/>
        </w:trPr>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9"/>
              </w:rPr>
              <w:t>period</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79"/>
              </w:rPr>
              <w:t>expenses</w:t>
            </w:r>
          </w:p>
        </w:tc>
        <w:tc>
          <w:tcPr>
            <w:tcW w:w="120" w:type="dxa"/>
            <w:vAlign w:val="bottom"/>
          </w:tcPr>
          <w:p>
            <w:pPr>
              <w:spacing w:after="0"/>
              <w:rPr>
                <w:sz w:val="11"/>
                <w:szCs w:val="11"/>
                <w:color w:val="auto"/>
              </w:rPr>
            </w:pPr>
          </w:p>
        </w:tc>
        <w:tc>
          <w:tcPr>
            <w:tcW w:w="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90"/>
              </w:rPr>
              <w:t>written off</w:t>
            </w:r>
          </w:p>
        </w:tc>
        <w:tc>
          <w:tcPr>
            <w:tcW w:w="120" w:type="dxa"/>
            <w:vAlign w:val="bottom"/>
          </w:tcPr>
          <w:p>
            <w:pPr>
              <w:spacing w:after="0"/>
              <w:rPr>
                <w:sz w:val="11"/>
                <w:szCs w:val="11"/>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6"/>
              </w:rPr>
              <w:t>adjustments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9"/>
              </w:rPr>
              <w:t>period</w:t>
            </w:r>
          </w:p>
        </w:tc>
      </w:tr>
      <w:tr>
        <w:trPr>
          <w:trHeight w:val="158"/>
        </w:trPr>
        <w:tc>
          <w:tcPr>
            <w:tcW w:w="27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Allowance for doubtful accounts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$ 14,821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894</w:t>
            </w: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w w:val="92"/>
              </w:rPr>
              <w:t>4,050</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w w:val="98"/>
              </w:rPr>
              <w:t>1,050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w w:val="98"/>
              </w:rPr>
              <w:t>$ 12,715</w:t>
            </w:r>
          </w:p>
        </w:tc>
      </w:tr>
      <w:tr>
        <w:trPr>
          <w:trHeight w:val="149"/>
        </w:trPr>
        <w:tc>
          <w:tcPr>
            <w:tcW w:w="2760" w:type="dxa"/>
            <w:vAlign w:val="bottom"/>
          </w:tcPr>
          <w:p>
            <w:pPr>
              <w:spacing w:after="0"/>
              <w:rPr>
                <w:sz w:val="20"/>
                <w:szCs w:val="20"/>
                <w:color w:val="auto"/>
              </w:rPr>
            </w:pPr>
            <w:r>
              <w:rPr>
                <w:rFonts w:ascii="Arial" w:cs="Arial" w:eastAsia="Arial" w:hAnsi="Arial"/>
                <w:sz w:val="13"/>
                <w:szCs w:val="13"/>
                <w:color w:val="auto"/>
                <w:highlight w:val="white"/>
              </w:rPr>
              <w:t>Valuation allowance on credit and net operating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760" w:type="dxa"/>
            <w:vAlign w:val="bottom"/>
          </w:tcPr>
          <w:p>
            <w:pPr>
              <w:ind w:left="140"/>
              <w:spacing w:after="0"/>
              <w:rPr>
                <w:sz w:val="20"/>
                <w:szCs w:val="20"/>
                <w:color w:val="auto"/>
              </w:rPr>
            </w:pPr>
            <w:r>
              <w:rPr>
                <w:rFonts w:ascii="Arial" w:cs="Arial" w:eastAsia="Arial" w:hAnsi="Arial"/>
                <w:sz w:val="13"/>
                <w:szCs w:val="13"/>
                <w:color w:val="auto"/>
                <w:highlight w:val="white"/>
              </w:rPr>
              <w:t>loss carryforwards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8,413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4"/>
                <w:szCs w:val="14"/>
                <w:color w:val="auto"/>
              </w:rPr>
            </w:pPr>
          </w:p>
        </w:tc>
        <w:tc>
          <w:tcPr>
            <w:tcW w:w="660" w:type="dxa"/>
            <w:vAlign w:val="bottom"/>
            <w:gridSpan w:val="7"/>
          </w:tcPr>
          <w:p>
            <w:pPr>
              <w:jc w:val="right"/>
              <w:ind w:right="20"/>
              <w:spacing w:after="0"/>
              <w:rPr>
                <w:sz w:val="20"/>
                <w:szCs w:val="20"/>
                <w:color w:val="auto"/>
              </w:rPr>
            </w:pPr>
            <w:r>
              <w:rPr>
                <w:rFonts w:ascii="Arial" w:cs="Arial" w:eastAsia="Arial" w:hAnsi="Arial"/>
                <w:sz w:val="13"/>
                <w:szCs w:val="13"/>
                <w:color w:val="auto"/>
              </w:rPr>
              <w:t>8,927</w:t>
            </w:r>
          </w:p>
        </w:tc>
      </w:tr>
      <w:tr>
        <w:trPr>
          <w:trHeight w:val="159"/>
        </w:trPr>
        <w:tc>
          <w:tcPr>
            <w:tcW w:w="2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$ 23,234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1,380</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4,050</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8"/>
              </w:rPr>
              <w:t>1,078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0"/>
              </w:rPr>
              <w:t>$ 21,642</w:t>
            </w:r>
          </w:p>
        </w:tc>
        <w:tc>
          <w:tcPr>
            <w:tcW w:w="20" w:type="dxa"/>
            <w:vAlign w:val="bottom"/>
            <w:tcBorders>
              <w:bottom w:val="single" w:sz="8" w:color="CCEEFF"/>
            </w:tcBorders>
            <w:shd w:val="clear" w:color="auto" w:fill="CCEEFF"/>
          </w:tcPr>
          <w:p>
            <w:pPr>
              <w:spacing w:after="0"/>
              <w:rPr>
                <w:sz w:val="13"/>
                <w:szCs w:val="13"/>
                <w:color w:val="auto"/>
              </w:rPr>
            </w:pPr>
          </w:p>
        </w:tc>
      </w:tr>
      <w:tr>
        <w:trPr>
          <w:trHeight w:val="475"/>
        </w:trPr>
        <w:tc>
          <w:tcPr>
            <w:tcW w:w="2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6"/>
          </w:tcPr>
          <w:p>
            <w:pPr>
              <w:ind w:left="60"/>
              <w:spacing w:after="0"/>
              <w:rPr>
                <w:sz w:val="20"/>
                <w:szCs w:val="20"/>
                <w:color w:val="auto"/>
              </w:rPr>
            </w:pPr>
            <w:r>
              <w:rPr>
                <w:rFonts w:ascii="Arial" w:cs="Arial" w:eastAsia="Arial" w:hAnsi="Arial"/>
                <w:sz w:val="11"/>
                <w:szCs w:val="11"/>
                <w:b w:val="1"/>
                <w:bCs w:val="1"/>
                <w:color w:val="auto"/>
                <w:w w:val="93"/>
              </w:rPr>
              <w:t>For the Year Ended December 31, 2005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11"/>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4"/>
          </w:tcPr>
          <w:p>
            <w:pPr>
              <w:ind w:left="60"/>
              <w:spacing w:after="0" w:line="112" w:lineRule="exact"/>
              <w:rPr>
                <w:sz w:val="20"/>
                <w:szCs w:val="20"/>
                <w:color w:val="auto"/>
              </w:rPr>
            </w:pPr>
            <w:r>
              <w:rPr>
                <w:rFonts w:ascii="Arial" w:cs="Arial" w:eastAsia="Arial" w:hAnsi="Arial"/>
                <w:sz w:val="11"/>
                <w:szCs w:val="11"/>
                <w:b w:val="1"/>
                <w:bCs w:val="1"/>
                <w:color w:val="auto"/>
                <w:w w:val="94"/>
              </w:rPr>
              <w:t>Additions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9"/>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Balance at</w:t>
            </w:r>
          </w:p>
        </w:tc>
        <w:tc>
          <w:tcPr>
            <w:tcW w:w="120" w:type="dxa"/>
            <w:vAlign w:val="bottom"/>
          </w:tcPr>
          <w:p>
            <w:pPr>
              <w:spacing w:after="0"/>
              <w:rPr>
                <w:sz w:val="11"/>
                <w:szCs w:val="11"/>
                <w:color w:val="auto"/>
              </w:rPr>
            </w:pPr>
          </w:p>
        </w:tc>
        <w:tc>
          <w:tcPr>
            <w:tcW w:w="5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5"/>
              </w:rPr>
              <w:t>charged to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3"/>
              </w:rPr>
              <w:t>Balance at</w:t>
            </w:r>
          </w:p>
        </w:tc>
      </w:tr>
      <w:tr>
        <w:trPr>
          <w:trHeight w:val="129"/>
        </w:trPr>
        <w:tc>
          <w:tcPr>
            <w:tcW w:w="2760" w:type="dxa"/>
            <w:vAlign w:val="bottom"/>
          </w:tcPr>
          <w:p>
            <w:pPr>
              <w:spacing w:after="0"/>
              <w:rPr>
                <w:sz w:val="11"/>
                <w:szCs w:val="11"/>
                <w:color w:val="auto"/>
              </w:rPr>
            </w:pP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beginning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w w:val="93"/>
              </w:rPr>
              <w:t>costs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w w:val="91"/>
              </w:rPr>
              <w:t>Accounts</w:t>
            </w:r>
          </w:p>
        </w:tc>
        <w:tc>
          <w:tcPr>
            <w:tcW w:w="120" w:type="dxa"/>
            <w:vAlign w:val="bottom"/>
          </w:tcPr>
          <w:p>
            <w:pPr>
              <w:spacing w:after="0"/>
              <w:rPr>
                <w:sz w:val="11"/>
                <w:szCs w:val="11"/>
                <w:color w:val="auto"/>
              </w:rPr>
            </w:pPr>
          </w:p>
        </w:tc>
        <w:tc>
          <w:tcPr>
            <w:tcW w:w="640" w:type="dxa"/>
            <w:vAlign w:val="bottom"/>
            <w:gridSpan w:val="6"/>
          </w:tcPr>
          <w:p>
            <w:pPr>
              <w:jc w:val="center"/>
              <w:spacing w:after="0"/>
              <w:rPr>
                <w:sz w:val="20"/>
                <w:szCs w:val="20"/>
                <w:color w:val="auto"/>
              </w:rPr>
            </w:pPr>
            <w:r>
              <w:rPr>
                <w:rFonts w:ascii="Arial" w:cs="Arial" w:eastAsia="Arial" w:hAnsi="Arial"/>
                <w:sz w:val="11"/>
                <w:szCs w:val="11"/>
                <w:b w:val="1"/>
                <w:bCs w:val="1"/>
                <w:color w:val="auto"/>
                <w:w w:val="87"/>
              </w:rPr>
              <w:t>Translation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4"/>
              </w:rPr>
              <w:t>end of</w:t>
            </w:r>
          </w:p>
        </w:tc>
      </w:tr>
      <w:tr>
        <w:trPr>
          <w:trHeight w:val="136"/>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period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79"/>
              </w:rPr>
              <w:t>expenses</w:t>
            </w:r>
          </w:p>
        </w:tc>
        <w:tc>
          <w:tcPr>
            <w:tcW w:w="120" w:type="dxa"/>
            <w:vAlign w:val="bottom"/>
          </w:tcPr>
          <w:p>
            <w:pPr>
              <w:spacing w:after="0"/>
              <w:rPr>
                <w:sz w:val="11"/>
                <w:szCs w:val="11"/>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90"/>
              </w:rPr>
              <w:t>written off</w:t>
            </w:r>
          </w:p>
        </w:tc>
        <w:tc>
          <w:tcPr>
            <w:tcW w:w="120" w:type="dxa"/>
            <w:vAlign w:val="bottom"/>
          </w:tcPr>
          <w:p>
            <w:pPr>
              <w:spacing w:after="0"/>
              <w:rPr>
                <w:sz w:val="11"/>
                <w:szCs w:val="11"/>
                <w:color w:val="auto"/>
              </w:rPr>
            </w:pPr>
          </w:p>
        </w:tc>
        <w:tc>
          <w:tcPr>
            <w:tcW w:w="640" w:type="dxa"/>
            <w:vAlign w:val="bottom"/>
            <w:gridSpan w:val="6"/>
          </w:tcPr>
          <w:p>
            <w:pPr>
              <w:jc w:val="center"/>
              <w:spacing w:after="0"/>
              <w:rPr>
                <w:sz w:val="20"/>
                <w:szCs w:val="20"/>
                <w:color w:val="auto"/>
              </w:rPr>
            </w:pPr>
            <w:r>
              <w:rPr>
                <w:rFonts w:ascii="Arial" w:cs="Arial" w:eastAsia="Arial" w:hAnsi="Arial"/>
                <w:sz w:val="11"/>
                <w:szCs w:val="11"/>
                <w:b w:val="1"/>
                <w:bCs w:val="1"/>
                <w:color w:val="auto"/>
                <w:w w:val="86"/>
              </w:rPr>
              <w:t>adjustments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3"/>
              </w:rPr>
              <w:t>period</w:t>
            </w:r>
          </w:p>
        </w:tc>
      </w:tr>
      <w:tr>
        <w:trPr>
          <w:trHeight w:val="158"/>
        </w:trPr>
        <w:tc>
          <w:tcPr>
            <w:tcW w:w="27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Allowance for doubtful accounts</w:t>
            </w:r>
          </w:p>
        </w:tc>
        <w:tc>
          <w:tcPr>
            <w:tcW w:w="5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$ 17,663</w:t>
            </w: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910</w:t>
            </w: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w w:val="92"/>
              </w:rPr>
              <w:t>2,592</w:t>
            </w:r>
          </w:p>
        </w:tc>
        <w:tc>
          <w:tcPr>
            <w:tcW w:w="120" w:type="dxa"/>
            <w:vAlign w:val="bottom"/>
            <w:shd w:val="clear" w:color="auto" w:fill="CCEEFF"/>
          </w:tcPr>
          <w:p>
            <w:pPr>
              <w:spacing w:after="0"/>
              <w:rPr>
                <w:sz w:val="13"/>
                <w:szCs w:val="13"/>
                <w:color w:val="auto"/>
              </w:rPr>
            </w:pPr>
          </w:p>
        </w:tc>
        <w:tc>
          <w:tcPr>
            <w:tcW w:w="620" w:type="dxa"/>
            <w:vAlign w:val="bottom"/>
            <w:tcBorders>
              <w:top w:val="single" w:sz="8" w:color="auto"/>
            </w:tcBorders>
            <w:gridSpan w:val="5"/>
            <w:shd w:val="clear" w:color="auto" w:fill="CCEEFF"/>
          </w:tcPr>
          <w:p>
            <w:pPr>
              <w:jc w:val="right"/>
              <w:ind w:right="40"/>
              <w:spacing w:after="0" w:line="149" w:lineRule="exact"/>
              <w:rPr>
                <w:sz w:val="20"/>
                <w:szCs w:val="20"/>
                <w:color w:val="auto"/>
              </w:rPr>
            </w:pPr>
            <w:r>
              <w:rPr>
                <w:rFonts w:ascii="Arial" w:cs="Arial" w:eastAsia="Arial" w:hAnsi="Arial"/>
                <w:sz w:val="13"/>
                <w:szCs w:val="13"/>
                <w:color w:val="auto"/>
              </w:rPr>
              <w:t>($1,160)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top w:val="single" w:sz="8" w:color="auto"/>
            </w:tcBorders>
            <w:gridSpan w:val="5"/>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w w:val="98"/>
              </w:rPr>
              <w:t>$ 14,821</w:t>
            </w:r>
          </w:p>
        </w:tc>
        <w:tc>
          <w:tcPr>
            <w:tcW w:w="20" w:type="dxa"/>
            <w:vAlign w:val="bottom"/>
            <w:tcBorders>
              <w:top w:val="single" w:sz="8" w:color="auto"/>
            </w:tcBorders>
            <w:shd w:val="clear" w:color="auto" w:fill="CCEEFF"/>
          </w:tcPr>
          <w:p>
            <w:pPr>
              <w:spacing w:after="0"/>
              <w:rPr>
                <w:sz w:val="13"/>
                <w:szCs w:val="13"/>
                <w:color w:val="auto"/>
              </w:rPr>
            </w:pPr>
          </w:p>
        </w:tc>
      </w:tr>
      <w:tr>
        <w:trPr>
          <w:trHeight w:val="149"/>
        </w:trPr>
        <w:tc>
          <w:tcPr>
            <w:tcW w:w="2760" w:type="dxa"/>
            <w:vAlign w:val="bottom"/>
          </w:tcPr>
          <w:p>
            <w:pPr>
              <w:spacing w:after="0"/>
              <w:rPr>
                <w:sz w:val="20"/>
                <w:szCs w:val="20"/>
                <w:color w:val="auto"/>
              </w:rPr>
            </w:pPr>
            <w:r>
              <w:rPr>
                <w:rFonts w:ascii="Arial" w:cs="Arial" w:eastAsia="Arial" w:hAnsi="Arial"/>
                <w:sz w:val="13"/>
                <w:szCs w:val="13"/>
                <w:color w:val="auto"/>
                <w:highlight w:val="white"/>
              </w:rPr>
              <w:t>Valuation allowance on credit and net operating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760" w:type="dxa"/>
            <w:vAlign w:val="bottom"/>
          </w:tcPr>
          <w:p>
            <w:pPr>
              <w:ind w:left="140"/>
              <w:spacing w:after="0"/>
              <w:rPr>
                <w:sz w:val="20"/>
                <w:szCs w:val="20"/>
                <w:color w:val="auto"/>
              </w:rPr>
            </w:pPr>
            <w:r>
              <w:rPr>
                <w:rFonts w:ascii="Arial" w:cs="Arial" w:eastAsia="Arial" w:hAnsi="Arial"/>
                <w:sz w:val="13"/>
                <w:szCs w:val="13"/>
                <w:color w:val="auto"/>
                <w:highlight w:val="white"/>
              </w:rPr>
              <w:t>loss carryforwards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7,520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6"/>
          </w:tcPr>
          <w:p>
            <w:pPr>
              <w:jc w:val="right"/>
              <w:ind w:right="20"/>
              <w:spacing w:after="0"/>
              <w:rPr>
                <w:sz w:val="20"/>
                <w:szCs w:val="20"/>
                <w:color w:val="auto"/>
              </w:rPr>
            </w:pPr>
            <w:r>
              <w:rPr>
                <w:rFonts w:ascii="Arial" w:cs="Arial" w:eastAsia="Arial" w:hAnsi="Arial"/>
                <w:sz w:val="13"/>
                <w:szCs w:val="13"/>
                <w:color w:val="auto"/>
              </w:rPr>
              <w:t>8,413</w:t>
            </w:r>
          </w:p>
        </w:tc>
        <w:tc>
          <w:tcPr>
            <w:tcW w:w="20" w:type="dxa"/>
            <w:vAlign w:val="bottom"/>
          </w:tcPr>
          <w:p>
            <w:pPr>
              <w:spacing w:after="0"/>
              <w:rPr>
                <w:sz w:val="14"/>
                <w:szCs w:val="14"/>
                <w:color w:val="auto"/>
              </w:rPr>
            </w:pPr>
          </w:p>
        </w:tc>
      </w:tr>
      <w:tr>
        <w:trPr>
          <w:trHeight w:val="159"/>
        </w:trPr>
        <w:tc>
          <w:tcPr>
            <w:tcW w:w="2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$ 25,183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1,761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2,592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u w:val="single" w:color="auto"/>
                <w:color w:val="auto"/>
                <w:w w:val="90"/>
              </w:rPr>
              <w:t>($</w:t>
            </w:r>
            <w:r>
              <w:rPr>
                <w:rFonts w:ascii="Arial" w:cs="Arial" w:eastAsia="Arial" w:hAnsi="Arial"/>
                <w:sz w:val="13"/>
                <w:szCs w:val="13"/>
                <w:color w:val="auto"/>
                <w:w w:val="90"/>
              </w:rPr>
              <w:t>1,118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color w:val="auto"/>
                <w:w w:val="94"/>
              </w:rPr>
              <w:t>$ 23,234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475"/>
        </w:trPr>
        <w:tc>
          <w:tcPr>
            <w:tcW w:w="2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6"/>
          </w:tcPr>
          <w:p>
            <w:pPr>
              <w:ind w:left="60"/>
              <w:spacing w:after="0"/>
              <w:rPr>
                <w:sz w:val="20"/>
                <w:szCs w:val="20"/>
                <w:color w:val="auto"/>
              </w:rPr>
            </w:pPr>
            <w:r>
              <w:rPr>
                <w:rFonts w:ascii="Arial" w:cs="Arial" w:eastAsia="Arial" w:hAnsi="Arial"/>
                <w:sz w:val="11"/>
                <w:szCs w:val="11"/>
                <w:b w:val="1"/>
                <w:bCs w:val="1"/>
                <w:color w:val="auto"/>
                <w:w w:val="93"/>
              </w:rPr>
              <w:t>For the Year Ended December 31, 2004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11"/>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4"/>
          </w:tcPr>
          <w:p>
            <w:pPr>
              <w:ind w:left="60"/>
              <w:spacing w:after="0" w:line="112" w:lineRule="exact"/>
              <w:rPr>
                <w:sz w:val="20"/>
                <w:szCs w:val="20"/>
                <w:color w:val="auto"/>
              </w:rPr>
            </w:pPr>
            <w:r>
              <w:rPr>
                <w:rFonts w:ascii="Arial" w:cs="Arial" w:eastAsia="Arial" w:hAnsi="Arial"/>
                <w:sz w:val="11"/>
                <w:szCs w:val="11"/>
                <w:b w:val="1"/>
                <w:bCs w:val="1"/>
                <w:color w:val="auto"/>
                <w:w w:val="94"/>
              </w:rPr>
              <w:t>Additions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9"/>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Balance at</w:t>
            </w:r>
          </w:p>
        </w:tc>
        <w:tc>
          <w:tcPr>
            <w:tcW w:w="120" w:type="dxa"/>
            <w:vAlign w:val="bottom"/>
          </w:tcPr>
          <w:p>
            <w:pPr>
              <w:spacing w:after="0"/>
              <w:rPr>
                <w:sz w:val="11"/>
                <w:szCs w:val="11"/>
                <w:color w:val="auto"/>
              </w:rPr>
            </w:pPr>
          </w:p>
        </w:tc>
        <w:tc>
          <w:tcPr>
            <w:tcW w:w="5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5"/>
              </w:rPr>
              <w:t>charged to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3"/>
              </w:rPr>
              <w:t>Balance at</w:t>
            </w:r>
          </w:p>
        </w:tc>
      </w:tr>
      <w:tr>
        <w:trPr>
          <w:trHeight w:val="129"/>
        </w:trPr>
        <w:tc>
          <w:tcPr>
            <w:tcW w:w="2760" w:type="dxa"/>
            <w:vAlign w:val="bottom"/>
          </w:tcPr>
          <w:p>
            <w:pPr>
              <w:spacing w:after="0"/>
              <w:rPr>
                <w:sz w:val="11"/>
                <w:szCs w:val="11"/>
                <w:color w:val="auto"/>
              </w:rPr>
            </w:pP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beginning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w w:val="93"/>
              </w:rPr>
              <w:t>costs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spacing w:after="0"/>
              <w:rPr>
                <w:sz w:val="20"/>
                <w:szCs w:val="20"/>
                <w:color w:val="auto"/>
              </w:rPr>
            </w:pPr>
            <w:r>
              <w:rPr>
                <w:rFonts w:ascii="Arial" w:cs="Arial" w:eastAsia="Arial" w:hAnsi="Arial"/>
                <w:sz w:val="11"/>
                <w:szCs w:val="11"/>
                <w:b w:val="1"/>
                <w:bCs w:val="1"/>
                <w:color w:val="auto"/>
                <w:w w:val="91"/>
              </w:rPr>
              <w:t>Accounts</w:t>
            </w:r>
          </w:p>
        </w:tc>
        <w:tc>
          <w:tcPr>
            <w:tcW w:w="120" w:type="dxa"/>
            <w:vAlign w:val="bottom"/>
          </w:tcPr>
          <w:p>
            <w:pPr>
              <w:spacing w:after="0"/>
              <w:rPr>
                <w:sz w:val="11"/>
                <w:szCs w:val="11"/>
                <w:color w:val="auto"/>
              </w:rPr>
            </w:pPr>
          </w:p>
        </w:tc>
        <w:tc>
          <w:tcPr>
            <w:tcW w:w="640" w:type="dxa"/>
            <w:vAlign w:val="bottom"/>
            <w:gridSpan w:val="6"/>
          </w:tcPr>
          <w:p>
            <w:pPr>
              <w:jc w:val="center"/>
              <w:spacing w:after="0"/>
              <w:rPr>
                <w:sz w:val="20"/>
                <w:szCs w:val="20"/>
                <w:color w:val="auto"/>
              </w:rPr>
            </w:pPr>
            <w:r>
              <w:rPr>
                <w:rFonts w:ascii="Arial" w:cs="Arial" w:eastAsia="Arial" w:hAnsi="Arial"/>
                <w:sz w:val="11"/>
                <w:szCs w:val="11"/>
                <w:b w:val="1"/>
                <w:bCs w:val="1"/>
                <w:color w:val="auto"/>
                <w:w w:val="87"/>
              </w:rPr>
              <w:t>Translation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4"/>
              </w:rPr>
              <w:t>end of</w:t>
            </w:r>
          </w:p>
        </w:tc>
      </w:tr>
      <w:tr>
        <w:trPr>
          <w:trHeight w:val="136"/>
        </w:trPr>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9"/>
              </w:rPr>
              <w:t>period</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79"/>
              </w:rPr>
              <w:t>expenses</w:t>
            </w:r>
          </w:p>
        </w:tc>
        <w:tc>
          <w:tcPr>
            <w:tcW w:w="120" w:type="dxa"/>
            <w:vAlign w:val="bottom"/>
          </w:tcPr>
          <w:p>
            <w:pPr>
              <w:spacing w:after="0"/>
              <w:rPr>
                <w:sz w:val="11"/>
                <w:szCs w:val="11"/>
                <w:color w:val="auto"/>
              </w:rPr>
            </w:pPr>
          </w:p>
        </w:tc>
        <w:tc>
          <w:tcPr>
            <w:tcW w:w="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90"/>
              </w:rPr>
              <w:t>written off</w:t>
            </w:r>
          </w:p>
        </w:tc>
        <w:tc>
          <w:tcPr>
            <w:tcW w:w="120" w:type="dxa"/>
            <w:vAlign w:val="bottom"/>
          </w:tcPr>
          <w:p>
            <w:pPr>
              <w:spacing w:after="0"/>
              <w:rPr>
                <w:sz w:val="11"/>
                <w:szCs w:val="11"/>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6"/>
              </w:rPr>
              <w:t>adjustments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9"/>
              </w:rPr>
              <w:t>period</w:t>
            </w:r>
          </w:p>
        </w:tc>
      </w:tr>
      <w:tr>
        <w:trPr>
          <w:trHeight w:val="158"/>
        </w:trPr>
        <w:tc>
          <w:tcPr>
            <w:tcW w:w="27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shd w:val="clear" w:color="auto" w:fill="CCEEFF"/>
              </w:rPr>
              <w:t>Allowance for doubtful accounts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$ 16,212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w w:val="98"/>
              </w:rPr>
              <w:t>3,615</w:t>
            </w: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w w:val="92"/>
              </w:rPr>
              <w:t>3,391</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w w:val="98"/>
              </w:rPr>
              <w:t>1,227</w:t>
            </w:r>
          </w:p>
        </w:tc>
        <w:tc>
          <w:tcPr>
            <w:tcW w:w="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rPr>
                <w:sz w:val="13"/>
                <w:szCs w:val="13"/>
                <w:color w:val="auto"/>
              </w:rPr>
            </w:pPr>
          </w:p>
        </w:tc>
        <w:tc>
          <w:tcPr>
            <w:tcW w:w="5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3"/>
                <w:szCs w:val="13"/>
                <w:color w:val="auto"/>
                <w:w w:val="98"/>
              </w:rPr>
              <w:t>$ 17,663</w:t>
            </w:r>
          </w:p>
        </w:tc>
      </w:tr>
      <w:tr>
        <w:trPr>
          <w:trHeight w:val="149"/>
        </w:trPr>
        <w:tc>
          <w:tcPr>
            <w:tcW w:w="2760" w:type="dxa"/>
            <w:vAlign w:val="bottom"/>
          </w:tcPr>
          <w:p>
            <w:pPr>
              <w:spacing w:after="0"/>
              <w:rPr>
                <w:sz w:val="20"/>
                <w:szCs w:val="20"/>
                <w:color w:val="auto"/>
              </w:rPr>
            </w:pPr>
            <w:r>
              <w:rPr>
                <w:rFonts w:ascii="Arial" w:cs="Arial" w:eastAsia="Arial" w:hAnsi="Arial"/>
                <w:sz w:val="13"/>
                <w:szCs w:val="13"/>
                <w:color w:val="auto"/>
                <w:highlight w:val="white"/>
              </w:rPr>
              <w:t>Valuation allowance on credit and net operating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760" w:type="dxa"/>
            <w:vAlign w:val="bottom"/>
          </w:tcPr>
          <w:p>
            <w:pPr>
              <w:ind w:left="140"/>
              <w:spacing w:after="0"/>
              <w:rPr>
                <w:sz w:val="20"/>
                <w:szCs w:val="20"/>
                <w:color w:val="auto"/>
              </w:rPr>
            </w:pPr>
            <w:r>
              <w:rPr>
                <w:rFonts w:ascii="Arial" w:cs="Arial" w:eastAsia="Arial" w:hAnsi="Arial"/>
                <w:sz w:val="13"/>
                <w:szCs w:val="13"/>
                <w:color w:val="auto"/>
                <w:highlight w:val="white"/>
              </w:rPr>
              <w:t>loss carryforwards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6,090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1,410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660" w:type="dxa"/>
            <w:vAlign w:val="bottom"/>
            <w:gridSpan w:val="7"/>
          </w:tcPr>
          <w:p>
            <w:pPr>
              <w:jc w:val="right"/>
              <w:ind w:right="20"/>
              <w:spacing w:after="0"/>
              <w:rPr>
                <w:sz w:val="20"/>
                <w:szCs w:val="20"/>
                <w:color w:val="auto"/>
              </w:rPr>
            </w:pPr>
            <w:r>
              <w:rPr>
                <w:rFonts w:ascii="Arial" w:cs="Arial" w:eastAsia="Arial" w:hAnsi="Arial"/>
                <w:sz w:val="13"/>
                <w:szCs w:val="13"/>
                <w:color w:val="auto"/>
              </w:rPr>
              <w:t>7,520</w:t>
            </w:r>
          </w:p>
        </w:tc>
      </w:tr>
      <w:tr>
        <w:trPr>
          <w:trHeight w:val="159"/>
        </w:trPr>
        <w:tc>
          <w:tcPr>
            <w:tcW w:w="2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$ 22,302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5,025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3,391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8"/>
              </w:rPr>
              <w:t>1,247</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0"/>
              </w:rPr>
              <w:t>$ 25,183</w:t>
            </w:r>
          </w:p>
        </w:tc>
        <w:tc>
          <w:tcPr>
            <w:tcW w:w="2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-2962910</wp:posOffset>
            </wp:positionV>
            <wp:extent cx="3930650" cy="302641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930650" cy="3026410"/>
                    </a:xfrm>
                    <a:prstGeom prst="rect">
                      <a:avLst/>
                    </a:prstGeom>
                    <a:noFill/>
                  </pic:spPr>
                </pic:pic>
              </a:graphicData>
            </a:graphic>
          </wp:anchor>
        </w:drawing>
      </w:r>
    </w:p>
    <w:p>
      <w:pPr>
        <w:sectPr>
          <w:pgSz w:w="11900" w:h="16838" w:orient="portrait"/>
          <w:cols w:equalWidth="0" w:num="1">
            <w:col w:w="10239"/>
          </w:cols>
          <w:pgMar w:left="220" w:top="744" w:right="1440" w:bottom="206" w:gutter="0" w:footer="0" w:header="0"/>
        </w:sectPr>
      </w:pPr>
    </w:p>
    <w:p>
      <w:pPr>
        <w:spacing w:after="0" w:line="229" w:lineRule="exact"/>
        <w:rPr>
          <w:sz w:val="20"/>
          <w:szCs w:val="20"/>
          <w:color w:val="auto"/>
        </w:rPr>
      </w:pPr>
    </w:p>
    <w:p>
      <w:pPr>
        <w:ind w:left="2920"/>
        <w:spacing w:after="0"/>
        <w:rPr>
          <w:sz w:val="20"/>
          <w:szCs w:val="20"/>
          <w:color w:val="auto"/>
        </w:rPr>
      </w:pPr>
      <w:r>
        <w:rPr>
          <w:rFonts w:ascii="Arial" w:cs="Arial" w:eastAsia="Arial" w:hAnsi="Arial"/>
          <w:sz w:val="11"/>
          <w:szCs w:val="1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257810</wp:posOffset>
            </wp:positionV>
            <wp:extent cx="4809490" cy="3810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ectPr>
          <w:pgSz w:w="11900" w:h="16838" w:orient="portrait"/>
          <w:cols w:equalWidth="0" w:num="1">
            <w:col w:w="10239"/>
          </w:cols>
          <w:pgMar w:left="220" w:top="744" w:right="1440" w:bottom="206" w:gutter="0" w:footer="0" w:header="0"/>
          <w:type w:val="continuous"/>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2081"/>
        <w:spacing w:after="0"/>
        <w:rPr>
          <w:sz w:val="20"/>
          <w:szCs w:val="20"/>
          <w:color w:val="auto"/>
        </w:rPr>
      </w:pPr>
      <w:r>
        <w:rPr>
          <w:rFonts w:ascii="Courier New" w:cs="Courier New" w:eastAsia="Courier New" w:hAnsi="Courier New"/>
          <w:sz w:val="13"/>
          <w:szCs w:val="13"/>
          <w:color w:val="auto"/>
        </w:rPr>
        <w:t>Memorandum of Understanding</w:t>
      </w:r>
    </w:p>
    <w:p>
      <w:pPr>
        <w:spacing w:after="0" w:line="152" w:lineRule="exact"/>
        <w:rPr>
          <w:sz w:val="20"/>
          <w:szCs w:val="20"/>
          <w:color w:val="auto"/>
        </w:rPr>
      </w:pPr>
    </w:p>
    <w:p>
      <w:pPr>
        <w:ind w:left="1" w:right="4079" w:firstLine="386"/>
        <w:spacing w:after="0" w:line="239" w:lineRule="auto"/>
        <w:rPr>
          <w:sz w:val="20"/>
          <w:szCs w:val="20"/>
          <w:color w:val="auto"/>
        </w:rPr>
      </w:pPr>
      <w:r>
        <w:rPr>
          <w:rFonts w:ascii="Courier New" w:cs="Courier New" w:eastAsia="Courier New" w:hAnsi="Courier New"/>
          <w:sz w:val="13"/>
          <w:szCs w:val="13"/>
          <w:color w:val="auto"/>
        </w:rPr>
        <w:t>This Memorandum sets forth an outline of the terms of an Employment Contract pursuant to which International Flavors &amp; Fragrances, Inc. ("IFF") will employ Richard Goldstein ("Executive") as its Chairman and CEO.</w:t>
      </w:r>
    </w:p>
    <w:p>
      <w:pPr>
        <w:sectPr>
          <w:pgSz w:w="11900" w:h="16838" w:orient="portrait"/>
          <w:cols w:equalWidth="0" w:num="1">
            <w:col w:w="10240"/>
          </w:cols>
          <w:pgMar w:left="219" w:top="584" w:right="1440" w:bottom="0" w:gutter="0" w:footer="0" w:header="0"/>
        </w:sectPr>
      </w:pPr>
    </w:p>
    <w:p>
      <w:pPr>
        <w:spacing w:after="0" w:line="153" w:lineRule="exact"/>
        <w:rPr>
          <w:sz w:val="20"/>
          <w:szCs w:val="20"/>
          <w:color w:val="auto"/>
        </w:rPr>
      </w:pPr>
    </w:p>
    <w:p>
      <w:pPr>
        <w:ind w:left="1"/>
        <w:spacing w:after="0"/>
        <w:tabs>
          <w:tab w:leader="none" w:pos="520" w:val="left"/>
        </w:tabs>
        <w:rPr>
          <w:sz w:val="20"/>
          <w:szCs w:val="20"/>
          <w:color w:val="auto"/>
        </w:rPr>
      </w:pPr>
      <w:r>
        <w:rPr>
          <w:rFonts w:ascii="Courier New" w:cs="Courier New" w:eastAsia="Courier New" w:hAnsi="Courier New"/>
          <w:sz w:val="12"/>
          <w:szCs w:val="12"/>
          <w:color w:val="auto"/>
        </w:rPr>
        <w:t>I.</w:t>
      </w:r>
      <w:r>
        <w:rPr>
          <w:sz w:val="20"/>
          <w:szCs w:val="20"/>
          <w:color w:val="auto"/>
        </w:rPr>
        <w:tab/>
      </w:r>
      <w:r>
        <w:rPr>
          <w:rFonts w:ascii="Courier New" w:cs="Courier New" w:eastAsia="Courier New" w:hAnsi="Courier New"/>
          <w:sz w:val="12"/>
          <w:szCs w:val="12"/>
          <w:color w:val="auto"/>
        </w:rPr>
        <w:t>Term:</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Five years from date first employed.</w:t>
      </w:r>
    </w:p>
    <w:p>
      <w:pPr>
        <w:spacing w:after="0" w:line="159" w:lineRule="exact"/>
        <w:rPr>
          <w:sz w:val="20"/>
          <w:szCs w:val="20"/>
          <w:color w:val="auto"/>
        </w:rPr>
      </w:pPr>
    </w:p>
    <w:p>
      <w:pPr>
        <w:sectPr>
          <w:pgSz w:w="11900" w:h="16838" w:orient="portrait"/>
          <w:cols w:equalWidth="0" w:num="2">
            <w:col w:w="1821" w:space="720"/>
            <w:col w:w="7699"/>
          </w:cols>
          <w:pgMar w:left="219" w:top="584" w:right="1440" w:bottom="0" w:gutter="0" w:footer="0" w:header="0"/>
          <w:type w:val="continuous"/>
        </w:sectPr>
      </w:pPr>
    </w:p>
    <w:p>
      <w:pPr>
        <w:ind w:left="541" w:hanging="541"/>
        <w:spacing w:after="0"/>
        <w:tabs>
          <w:tab w:leader="none" w:pos="541"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Annual Compensation</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47"/>
        </w:trPr>
        <w:tc>
          <w:tcPr>
            <w:tcW w:w="420" w:type="dxa"/>
            <w:vAlign w:val="bottom"/>
          </w:tcPr>
          <w:p>
            <w:pPr>
              <w:spacing w:after="0"/>
              <w:rPr>
                <w:sz w:val="12"/>
                <w:szCs w:val="12"/>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Salary:</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Not less than $900,000.</w:t>
            </w:r>
          </w:p>
        </w:tc>
      </w:tr>
      <w:tr>
        <w:trPr>
          <w:trHeight w:val="297"/>
        </w:trPr>
        <w:tc>
          <w:tcPr>
            <w:tcW w:w="420" w:type="dxa"/>
            <w:vAlign w:val="bottom"/>
          </w:tcPr>
          <w:p>
            <w:pPr>
              <w:spacing w:after="0"/>
              <w:rPr>
                <w:sz w:val="24"/>
                <w:szCs w:val="24"/>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Bonus:</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Based on performance. First year guarantee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$590,000 (which represents 60% of salary),</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under plan to be adopted by IFF shareholders at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annual meeting. No proration.</w:t>
            </w:r>
          </w:p>
        </w:tc>
      </w:tr>
      <w:tr>
        <w:trPr>
          <w:trHeight w:val="297"/>
        </w:trPr>
        <w:tc>
          <w:tcPr>
            <w:tcW w:w="420" w:type="dxa"/>
            <w:vAlign w:val="bottom"/>
          </w:tcPr>
          <w:p>
            <w:pPr>
              <w:spacing w:after="0"/>
              <w:rPr>
                <w:sz w:val="24"/>
                <w:szCs w:val="24"/>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Long Term Incentive:</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Based on performance. First year guarantee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$720,000 (which represents 80% of salary),</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under plan to be adopted by IFF shareholders at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annual meeting. No proration.</w:t>
            </w:r>
          </w:p>
        </w:tc>
      </w:tr>
      <w:tr>
        <w:trPr>
          <w:trHeight w:val="297"/>
        </w:trPr>
        <w:tc>
          <w:tcPr>
            <w:tcW w:w="420" w:type="dxa"/>
            <w:vAlign w:val="bottom"/>
          </w:tcPr>
          <w:p>
            <w:pPr>
              <w:spacing w:after="0"/>
              <w:rPr>
                <w:sz w:val="24"/>
                <w:szCs w:val="24"/>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Annual Stock Option</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First year 100,000 shares. Thereafter annual</w:t>
            </w:r>
          </w:p>
        </w:tc>
      </w:tr>
      <w:tr>
        <w:trPr>
          <w:trHeight w:val="148"/>
        </w:trPr>
        <w:tc>
          <w:tcPr>
            <w:tcW w:w="420" w:type="dxa"/>
            <w:vAlign w:val="bottom"/>
          </w:tcPr>
          <w:p>
            <w:pPr>
              <w:spacing w:after="0"/>
              <w:rPr>
                <w:sz w:val="12"/>
                <w:szCs w:val="12"/>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3"/>
                <w:szCs w:val="13"/>
                <w:color w:val="auto"/>
              </w:rPr>
              <w:t>Grant:</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stock option grant of shares with Black-Scholes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value of $590,000. First year grant will be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made after IFF shareholders have approved new</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stock option plan at annual meeting.</w:t>
            </w:r>
          </w:p>
        </w:tc>
      </w:tr>
      <w:tr>
        <w:trPr>
          <w:trHeight w:val="297"/>
        </w:trPr>
        <w:tc>
          <w:tcPr>
            <w:tcW w:w="420" w:type="dxa"/>
            <w:vAlign w:val="bottom"/>
          </w:tcPr>
          <w:p>
            <w:pPr>
              <w:spacing w:after="0"/>
              <w:rPr>
                <w:sz w:val="24"/>
                <w:szCs w:val="24"/>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Expenses:</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$120,000 per year to cover incidental business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related expenses.</w:t>
            </w:r>
          </w:p>
        </w:tc>
      </w:tr>
      <w:tr>
        <w:trPr>
          <w:trHeight w:val="297"/>
        </w:trPr>
        <w:tc>
          <w:tcPr>
            <w:tcW w:w="420" w:type="dxa"/>
            <w:vAlign w:val="bottom"/>
          </w:tcPr>
          <w:p>
            <w:pPr>
              <w:spacing w:after="0"/>
              <w:rPr>
                <w:sz w:val="24"/>
                <w:szCs w:val="24"/>
                <w:color w:val="auto"/>
              </w:rPr>
            </w:pP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Benefits:</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Participate in IFF programs for its executives.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IFF will provide Executive supplemental</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individual life insurance, group life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insurance, long term disability, accidental</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death, etc. in order that total benefits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provided to Executive by IFF will be equivalent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to benefits provided to Executive by Unilever</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(Executive's current employer).</w:t>
            </w:r>
          </w:p>
        </w:tc>
      </w:tr>
      <w:tr>
        <w:trPr>
          <w:trHeight w:val="297"/>
        </w:trPr>
        <w:tc>
          <w:tcPr>
            <w:tcW w:w="420" w:type="dxa"/>
            <w:vAlign w:val="bottom"/>
          </w:tcPr>
          <w:p>
            <w:pPr>
              <w:spacing w:after="0"/>
              <w:rPr>
                <w:sz w:val="20"/>
                <w:szCs w:val="20"/>
                <w:color w:val="auto"/>
              </w:rPr>
            </w:pPr>
            <w:r>
              <w:rPr>
                <w:rFonts w:ascii="Courier New" w:cs="Courier New" w:eastAsia="Courier New" w:hAnsi="Courier New"/>
                <w:sz w:val="13"/>
                <w:szCs w:val="13"/>
                <w:color w:val="auto"/>
              </w:rPr>
              <w:t>III.</w:t>
            </w:r>
          </w:p>
        </w:tc>
        <w:tc>
          <w:tcPr>
            <w:tcW w:w="2000" w:type="dxa"/>
            <w:vAlign w:val="bottom"/>
          </w:tcPr>
          <w:p>
            <w:pPr>
              <w:ind w:left="360"/>
              <w:spacing w:after="0"/>
              <w:rPr>
                <w:sz w:val="20"/>
                <w:szCs w:val="20"/>
                <w:color w:val="auto"/>
              </w:rPr>
            </w:pPr>
            <w:r>
              <w:rPr>
                <w:rFonts w:ascii="Courier New" w:cs="Courier New" w:eastAsia="Courier New" w:hAnsi="Courier New"/>
                <w:sz w:val="13"/>
                <w:szCs w:val="13"/>
                <w:color w:val="auto"/>
              </w:rPr>
              <w:t>Sign on Stock Option</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500,000 shares. This grant will be made upon</w:t>
            </w:r>
          </w:p>
        </w:tc>
      </w:tr>
      <w:tr>
        <w:trPr>
          <w:trHeight w:val="148"/>
        </w:trPr>
        <w:tc>
          <w:tcPr>
            <w:tcW w:w="420" w:type="dxa"/>
            <w:vAlign w:val="bottom"/>
          </w:tcPr>
          <w:p>
            <w:pPr>
              <w:spacing w:after="0"/>
              <w:rPr>
                <w:sz w:val="12"/>
                <w:szCs w:val="12"/>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3"/>
                <w:szCs w:val="13"/>
                <w:color w:val="auto"/>
              </w:rPr>
              <w:t>Grant:</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date of employment to the extent shares are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available under existing stock option plan.</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Balance of grant will be made after IFF</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shareholders have approved new plan at annual</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3"/>
                <w:szCs w:val="13"/>
                <w:color w:val="auto"/>
              </w:rPr>
              <w:t>meeting.</w:t>
            </w:r>
          </w:p>
        </w:tc>
        <w:tc>
          <w:tcPr>
            <w:tcW w:w="2660" w:type="dxa"/>
            <w:vAlign w:val="bottom"/>
          </w:tcPr>
          <w:p>
            <w:pPr>
              <w:spacing w:after="0"/>
              <w:rPr>
                <w:sz w:val="12"/>
                <w:szCs w:val="12"/>
                <w:color w:val="auto"/>
              </w:rPr>
            </w:pPr>
          </w:p>
        </w:tc>
      </w:tr>
      <w:tr>
        <w:trPr>
          <w:trHeight w:val="593"/>
        </w:trPr>
        <w:tc>
          <w:tcPr>
            <w:tcW w:w="420" w:type="dxa"/>
            <w:vAlign w:val="bottom"/>
          </w:tcPr>
          <w:p>
            <w:pPr>
              <w:spacing w:after="0"/>
              <w:rPr>
                <w:sz w:val="20"/>
                <w:szCs w:val="20"/>
                <w:color w:val="auto"/>
              </w:rPr>
            </w:pPr>
            <w:r>
              <w:rPr>
                <w:rFonts w:ascii="Courier New" w:cs="Courier New" w:eastAsia="Courier New" w:hAnsi="Courier New"/>
                <w:sz w:val="13"/>
                <w:szCs w:val="13"/>
                <w:color w:val="auto"/>
              </w:rPr>
              <w:t>IV.</w:t>
            </w:r>
          </w:p>
        </w:tc>
        <w:tc>
          <w:tcPr>
            <w:tcW w:w="2000" w:type="dxa"/>
            <w:vAlign w:val="bottom"/>
          </w:tcPr>
          <w:p>
            <w:pPr>
              <w:ind w:left="120"/>
              <w:spacing w:after="0"/>
              <w:rPr>
                <w:sz w:val="20"/>
                <w:szCs w:val="20"/>
                <w:color w:val="auto"/>
              </w:rPr>
            </w:pPr>
            <w:r>
              <w:rPr>
                <w:rFonts w:ascii="Courier New" w:cs="Courier New" w:eastAsia="Courier New" w:hAnsi="Courier New"/>
                <w:sz w:val="13"/>
                <w:szCs w:val="13"/>
                <w:color w:val="auto"/>
              </w:rPr>
              <w:t>Forfeiture Makeups:</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When Executive leaves Unilever, Executive will</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be required to give up certain grants. To keep</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Executive whole, IFF will provide the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3"/>
                <w:szCs w:val="13"/>
                <w:color w:val="auto"/>
              </w:rPr>
              <w:t>following:</w:t>
            </w:r>
          </w:p>
        </w:tc>
        <w:tc>
          <w:tcPr>
            <w:tcW w:w="2660" w:type="dxa"/>
            <w:vAlign w:val="bottom"/>
          </w:tcPr>
          <w:p>
            <w:pPr>
              <w:spacing w:after="0"/>
              <w:rPr>
                <w:sz w:val="12"/>
                <w:szCs w:val="12"/>
                <w:color w:val="auto"/>
              </w:rPr>
            </w:pPr>
          </w:p>
        </w:tc>
      </w:tr>
      <w:tr>
        <w:trPr>
          <w:trHeight w:val="297"/>
        </w:trPr>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 Payment of $2,118,750, payable when</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Unilever would have made identical payments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under Unilever's long term incentive plan.</w:t>
            </w:r>
          </w:p>
        </w:tc>
      </w:tr>
      <w:tr>
        <w:trPr>
          <w:trHeight w:val="297"/>
        </w:trPr>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(b) Payment of $871,000 to compensate Executive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for loss of ability to exercise "in the money"</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vested options which Unilever has the right to</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cancel. If Unilever permits exercise of these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options, the amount would not be due from IFF.</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It is understood that, if this amount is due to</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Executive from IFF, Executive will have the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right to take amount in IFF stock and/or cash.</w:t>
            </w:r>
          </w:p>
        </w:tc>
      </w:tr>
      <w:tr>
        <w:trPr>
          <w:trHeight w:val="297"/>
        </w:trPr>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(c) Grant of stock option for 100,000 shares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under new plan approved by IFF shareholders at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annual meeting. This is to compensate executive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for loss of his remaining Unilever stock</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options which are under water and unvested.</w:t>
            </w:r>
          </w:p>
        </w:tc>
      </w:tr>
      <w:tr>
        <w:trPr>
          <w:trHeight w:val="297"/>
        </w:trPr>
        <w:tc>
          <w:tcPr>
            <w:tcW w:w="420" w:type="dxa"/>
            <w:vAlign w:val="bottom"/>
          </w:tcPr>
          <w:p>
            <w:pPr>
              <w:spacing w:after="0"/>
              <w:rPr>
                <w:sz w:val="20"/>
                <w:szCs w:val="20"/>
                <w:color w:val="auto"/>
              </w:rPr>
            </w:pPr>
            <w:r>
              <w:rPr>
                <w:rFonts w:ascii="Courier New" w:cs="Courier New" w:eastAsia="Courier New" w:hAnsi="Courier New"/>
                <w:sz w:val="13"/>
                <w:szCs w:val="13"/>
                <w:color w:val="auto"/>
              </w:rPr>
              <w:t>V.</w:t>
            </w:r>
          </w:p>
        </w:tc>
        <w:tc>
          <w:tcPr>
            <w:tcW w:w="2000" w:type="dxa"/>
            <w:vAlign w:val="bottom"/>
          </w:tcPr>
          <w:p>
            <w:pPr>
              <w:ind w:left="120"/>
              <w:spacing w:after="0"/>
              <w:rPr>
                <w:sz w:val="20"/>
                <w:szCs w:val="20"/>
                <w:color w:val="auto"/>
              </w:rPr>
            </w:pPr>
            <w:r>
              <w:rPr>
                <w:rFonts w:ascii="Courier New" w:cs="Courier New" w:eastAsia="Courier New" w:hAnsi="Courier New"/>
                <w:sz w:val="13"/>
                <w:szCs w:val="13"/>
                <w:color w:val="auto"/>
              </w:rPr>
              <w:t>Pension Make-up:</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In no event will Executive receive less pension</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on his retirement from IFF after five (5) years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than he would have received had he stayed at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Unilever for another five (5) years. If</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retirement from IFF occurs prior to five (5)</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years, the five (5) year pension credit will be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calculated based on Executive's earnings at IFF</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and, before IFF, at Unilever during the five</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(5) years immediately preceding such</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3"/>
                <w:szCs w:val="13"/>
                <w:color w:val="auto"/>
              </w:rPr>
              <w:t>retirement.</w:t>
            </w:r>
          </w:p>
        </w:tc>
        <w:tc>
          <w:tcPr>
            <w:tcW w:w="2660" w:type="dxa"/>
            <w:vAlign w:val="bottom"/>
          </w:tcPr>
          <w:p>
            <w:pPr>
              <w:spacing w:after="0"/>
              <w:rPr>
                <w:sz w:val="12"/>
                <w:szCs w:val="12"/>
                <w:color w:val="auto"/>
              </w:rPr>
            </w:pPr>
          </w:p>
        </w:tc>
      </w:tr>
      <w:tr>
        <w:trPr>
          <w:trHeight w:val="297"/>
        </w:trPr>
        <w:tc>
          <w:tcPr>
            <w:tcW w:w="420" w:type="dxa"/>
            <w:vAlign w:val="bottom"/>
          </w:tcPr>
          <w:p>
            <w:pPr>
              <w:spacing w:after="0"/>
              <w:rPr>
                <w:sz w:val="20"/>
                <w:szCs w:val="20"/>
                <w:color w:val="auto"/>
              </w:rPr>
            </w:pPr>
            <w:r>
              <w:rPr>
                <w:rFonts w:ascii="Courier New" w:cs="Courier New" w:eastAsia="Courier New" w:hAnsi="Courier New"/>
                <w:sz w:val="13"/>
                <w:szCs w:val="13"/>
                <w:color w:val="auto"/>
              </w:rPr>
              <w:t>VI.</w:t>
            </w:r>
          </w:p>
        </w:tc>
        <w:tc>
          <w:tcPr>
            <w:tcW w:w="2000" w:type="dxa"/>
            <w:vAlign w:val="bottom"/>
          </w:tcPr>
          <w:p>
            <w:pPr>
              <w:ind w:left="120"/>
              <w:spacing w:after="0"/>
              <w:rPr>
                <w:sz w:val="20"/>
                <w:szCs w:val="20"/>
                <w:color w:val="auto"/>
              </w:rPr>
            </w:pPr>
            <w:r>
              <w:rPr>
                <w:rFonts w:ascii="Courier New" w:cs="Courier New" w:eastAsia="Courier New" w:hAnsi="Courier New"/>
                <w:sz w:val="13"/>
                <w:szCs w:val="13"/>
                <w:color w:val="auto"/>
              </w:rPr>
              <w:t>Severance:</w:t>
            </w: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If Executive's employment is terminated prior</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to five (5) years by the Company "without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cause" or by the Executive for "good reason":</w:t>
            </w:r>
          </w:p>
        </w:tc>
      </w:tr>
      <w:tr>
        <w:trPr>
          <w:trHeight w:val="297"/>
        </w:trPr>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  Executive will receive salary, bonus and</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500"/>
              <w:spacing w:after="0"/>
              <w:rPr>
                <w:sz w:val="20"/>
                <w:szCs w:val="20"/>
                <w:color w:val="auto"/>
              </w:rPr>
            </w:pPr>
            <w:r>
              <w:rPr>
                <w:rFonts w:ascii="Courier New" w:cs="Courier New" w:eastAsia="Courier New" w:hAnsi="Courier New"/>
                <w:sz w:val="13"/>
                <w:szCs w:val="13"/>
                <w:color w:val="auto"/>
              </w:rPr>
              <w:t>benefits for the remaining term of his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500"/>
              <w:spacing w:after="0"/>
              <w:rPr>
                <w:sz w:val="20"/>
                <w:szCs w:val="20"/>
                <w:color w:val="auto"/>
              </w:rPr>
            </w:pPr>
            <w:r>
              <w:rPr>
                <w:rFonts w:ascii="Courier New" w:cs="Courier New" w:eastAsia="Courier New" w:hAnsi="Courier New"/>
                <w:sz w:val="13"/>
                <w:szCs w:val="13"/>
                <w:color w:val="auto"/>
                <w:w w:val="98"/>
              </w:rPr>
              <w:t>employment contract, but not for less than</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gridSpan w:val="2"/>
          </w:tcPr>
          <w:p>
            <w:pPr>
              <w:ind w:left="500"/>
              <w:spacing w:after="0"/>
              <w:rPr>
                <w:sz w:val="20"/>
                <w:szCs w:val="20"/>
                <w:color w:val="auto"/>
              </w:rPr>
            </w:pPr>
            <w:r>
              <w:rPr>
                <w:rFonts w:ascii="Courier New" w:cs="Courier New" w:eastAsia="Courier New" w:hAnsi="Courier New"/>
                <w:sz w:val="13"/>
                <w:szCs w:val="13"/>
                <w:color w:val="auto"/>
              </w:rPr>
              <w:t>two years. For example:</w:t>
            </w:r>
          </w:p>
        </w:tc>
      </w:tr>
      <w:tr>
        <w:trPr>
          <w:trHeight w:val="297"/>
        </w:trPr>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3"/>
                <w:szCs w:val="13"/>
                <w:color w:val="auto"/>
              </w:rPr>
              <w:t>Year of</w:t>
            </w:r>
          </w:p>
        </w:tc>
        <w:tc>
          <w:tcPr>
            <w:tcW w:w="2660" w:type="dxa"/>
            <w:vAlign w:val="bottom"/>
          </w:tcPr>
          <w:p>
            <w:pPr>
              <w:jc w:val="center"/>
              <w:ind w:right="416"/>
              <w:spacing w:after="0"/>
              <w:rPr>
                <w:sz w:val="20"/>
                <w:szCs w:val="20"/>
                <w:color w:val="auto"/>
              </w:rPr>
            </w:pPr>
            <w:r>
              <w:rPr>
                <w:rFonts w:ascii="Courier New" w:cs="Courier New" w:eastAsia="Courier New" w:hAnsi="Courier New"/>
                <w:sz w:val="13"/>
                <w:szCs w:val="13"/>
                <w:color w:val="auto"/>
                <w:w w:val="99"/>
              </w:rPr>
              <w:t>Period of</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3"/>
                <w:szCs w:val="13"/>
                <w:color w:val="auto"/>
              </w:rPr>
              <w:t>Termination</w:t>
            </w:r>
          </w:p>
        </w:tc>
        <w:tc>
          <w:tcPr>
            <w:tcW w:w="2660" w:type="dxa"/>
            <w:vAlign w:val="bottom"/>
          </w:tcPr>
          <w:p>
            <w:pPr>
              <w:jc w:val="center"/>
              <w:ind w:right="416"/>
              <w:spacing w:after="0"/>
              <w:rPr>
                <w:sz w:val="20"/>
                <w:szCs w:val="20"/>
                <w:color w:val="auto"/>
              </w:rPr>
            </w:pPr>
            <w:r>
              <w:rPr>
                <w:rFonts w:ascii="Courier New" w:cs="Courier New" w:eastAsia="Courier New" w:hAnsi="Courier New"/>
                <w:sz w:val="13"/>
                <w:szCs w:val="13"/>
                <w:color w:val="auto"/>
                <w:w w:val="98"/>
              </w:rPr>
              <w:t>Receipt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c>
          <w:tcPr>
            <w:tcW w:w="2660" w:type="dxa"/>
            <w:vAlign w:val="bottom"/>
          </w:tcPr>
          <w:p>
            <w:pPr>
              <w:ind w:left="120"/>
              <w:spacing w:after="0"/>
              <w:rPr>
                <w:sz w:val="20"/>
                <w:szCs w:val="20"/>
                <w:color w:val="auto"/>
              </w:rPr>
            </w:pPr>
            <w:r>
              <w:rPr>
                <w:rFonts w:ascii="Courier New" w:cs="Courier New" w:eastAsia="Courier New" w:hAnsi="Courier New"/>
                <w:sz w:val="13"/>
                <w:szCs w:val="13"/>
                <w:color w:val="auto"/>
              </w:rPr>
              <w:t>--------------------------</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3"/>
                <w:szCs w:val="13"/>
                <w:color w:val="auto"/>
              </w:rPr>
              <w:t>Year l</w:t>
            </w:r>
          </w:p>
        </w:tc>
        <w:tc>
          <w:tcPr>
            <w:tcW w:w="2660" w:type="dxa"/>
            <w:vAlign w:val="bottom"/>
          </w:tcPr>
          <w:p>
            <w:pPr>
              <w:jc w:val="center"/>
              <w:ind w:right="416"/>
              <w:spacing w:after="0"/>
              <w:rPr>
                <w:sz w:val="20"/>
                <w:szCs w:val="20"/>
                <w:color w:val="auto"/>
              </w:rPr>
            </w:pPr>
            <w:r>
              <w:rPr>
                <w:rFonts w:ascii="Courier New" w:cs="Courier New" w:eastAsia="Courier New" w:hAnsi="Courier New"/>
                <w:sz w:val="13"/>
                <w:szCs w:val="13"/>
                <w:color w:val="auto"/>
                <w:w w:val="98"/>
              </w:rPr>
              <w:t>5 years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3"/>
                <w:szCs w:val="13"/>
                <w:color w:val="auto"/>
              </w:rPr>
              <w:t>Year 2</w:t>
            </w:r>
          </w:p>
        </w:tc>
        <w:tc>
          <w:tcPr>
            <w:tcW w:w="2660" w:type="dxa"/>
            <w:vAlign w:val="bottom"/>
          </w:tcPr>
          <w:p>
            <w:pPr>
              <w:jc w:val="center"/>
              <w:ind w:right="416"/>
              <w:spacing w:after="0"/>
              <w:rPr>
                <w:sz w:val="20"/>
                <w:szCs w:val="20"/>
                <w:color w:val="auto"/>
              </w:rPr>
            </w:pPr>
            <w:r>
              <w:rPr>
                <w:rFonts w:ascii="Courier New" w:cs="Courier New" w:eastAsia="Courier New" w:hAnsi="Courier New"/>
                <w:sz w:val="13"/>
                <w:szCs w:val="13"/>
                <w:color w:val="auto"/>
                <w:w w:val="98"/>
              </w:rPr>
              <w:t>4 years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3"/>
                <w:szCs w:val="13"/>
                <w:color w:val="auto"/>
              </w:rPr>
              <w:t>Year 3</w:t>
            </w:r>
          </w:p>
        </w:tc>
        <w:tc>
          <w:tcPr>
            <w:tcW w:w="2660" w:type="dxa"/>
            <w:vAlign w:val="bottom"/>
          </w:tcPr>
          <w:p>
            <w:pPr>
              <w:jc w:val="center"/>
              <w:ind w:right="416"/>
              <w:spacing w:after="0"/>
              <w:rPr>
                <w:sz w:val="20"/>
                <w:szCs w:val="20"/>
                <w:color w:val="auto"/>
              </w:rPr>
            </w:pPr>
            <w:r>
              <w:rPr>
                <w:rFonts w:ascii="Courier New" w:cs="Courier New" w:eastAsia="Courier New" w:hAnsi="Courier New"/>
                <w:sz w:val="13"/>
                <w:szCs w:val="13"/>
                <w:color w:val="auto"/>
                <w:w w:val="98"/>
              </w:rPr>
              <w:t>3 years</w:t>
            </w:r>
          </w:p>
        </w:tc>
      </w:tr>
      <w:tr>
        <w:trPr>
          <w:trHeight w:val="148"/>
        </w:trPr>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3"/>
                <w:szCs w:val="13"/>
                <w:color w:val="auto"/>
              </w:rPr>
              <w:t>Year 4</w:t>
            </w:r>
          </w:p>
        </w:tc>
        <w:tc>
          <w:tcPr>
            <w:tcW w:w="2660" w:type="dxa"/>
            <w:vAlign w:val="bottom"/>
          </w:tcPr>
          <w:p>
            <w:pPr>
              <w:ind w:left="120"/>
              <w:spacing w:after="0"/>
              <w:rPr>
                <w:sz w:val="20"/>
                <w:szCs w:val="20"/>
                <w:color w:val="auto"/>
              </w:rPr>
            </w:pPr>
            <w:r>
              <w:rPr>
                <w:rFonts w:ascii="Courier New" w:cs="Courier New" w:eastAsia="Courier New" w:hAnsi="Courier New"/>
                <w:sz w:val="13"/>
                <w:szCs w:val="13"/>
                <w:color w:val="auto"/>
              </w:rPr>
              <w:t>2 years} Payable under IFF</w:t>
            </w:r>
          </w:p>
        </w:tc>
      </w:tr>
    </w:tbl>
    <w:p>
      <w:pPr>
        <w:spacing w:after="0" w:line="200" w:lineRule="exact"/>
        <w:rPr>
          <w:sz w:val="20"/>
          <w:szCs w:val="20"/>
          <w:color w:val="auto"/>
        </w:rPr>
      </w:pPr>
    </w:p>
    <w:p>
      <w:pPr>
        <w:spacing w:after="0" w:line="246" w:lineRule="exact"/>
        <w:rPr>
          <w:sz w:val="20"/>
          <w:szCs w:val="20"/>
          <w:color w:val="auto"/>
        </w:rPr>
      </w:pPr>
    </w:p>
    <w:p>
      <w:pPr>
        <w:ind w:left="2701"/>
        <w:spacing w:after="0"/>
        <w:tabs>
          <w:tab w:leader="none" w:pos="3600" w:val="left"/>
        </w:tabs>
        <w:rPr>
          <w:sz w:val="20"/>
          <w:szCs w:val="20"/>
          <w:color w:val="auto"/>
        </w:rPr>
      </w:pPr>
      <w:r>
        <w:rPr>
          <w:rFonts w:ascii="Courier New" w:cs="Courier New" w:eastAsia="Courier New" w:hAnsi="Courier New"/>
          <w:sz w:val="13"/>
          <w:szCs w:val="13"/>
          <w:color w:val="auto"/>
        </w:rPr>
        <w:t>Year 5</w:t>
      </w:r>
      <w:r>
        <w:rPr>
          <w:sz w:val="20"/>
          <w:szCs w:val="20"/>
          <w:color w:val="auto"/>
        </w:rPr>
        <w:tab/>
      </w:r>
      <w:r>
        <w:rPr>
          <w:rFonts w:ascii="Courier New" w:cs="Courier New" w:eastAsia="Courier New" w:hAnsi="Courier New"/>
          <w:sz w:val="12"/>
          <w:szCs w:val="12"/>
          <w:color w:val="auto"/>
        </w:rPr>
        <w:t>2 years} normal severance policy</w:t>
      </w:r>
    </w:p>
    <w:p>
      <w:pPr>
        <w:spacing w:after="0" w:line="152" w:lineRule="exact"/>
        <w:rPr>
          <w:sz w:val="20"/>
          <w:szCs w:val="20"/>
          <w:color w:val="auto"/>
        </w:rPr>
      </w:pPr>
    </w:p>
    <w:p>
      <w:pPr>
        <w:ind w:left="2921" w:right="4299" w:hanging="376"/>
        <w:spacing w:after="0" w:line="239" w:lineRule="auto"/>
        <w:tabs>
          <w:tab w:leader="none" w:pos="2921"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Sign on stock option grant will become/remain fully exercisable for its full term.</w:t>
      </w:r>
    </w:p>
    <w:p>
      <w:pPr>
        <w:sectPr>
          <w:pgSz w:w="11900" w:h="16838" w:orient="portrait"/>
          <w:cols w:equalWidth="0" w:num="1">
            <w:col w:w="10240"/>
          </w:cols>
          <w:pgMar w:left="219" w:top="584" w:right="1440" w:bottom="0" w:gutter="0" w:footer="0" w:header="0"/>
          <w:type w:val="continuous"/>
        </w:sectPr>
      </w:pPr>
    </w:p>
    <w:bookmarkStart w:id="40" w:name="page41"/>
    <w:bookmarkEnd w:id="40"/>
    <w:p>
      <w:pPr>
        <w:ind w:left="2540"/>
        <w:spacing w:after="0"/>
        <w:tabs>
          <w:tab w:leader="none" w:pos="2900" w:val="left"/>
        </w:tabs>
        <w:rPr>
          <w:sz w:val="20"/>
          <w:szCs w:val="20"/>
          <w:color w:val="auto"/>
        </w:rPr>
      </w:pPr>
      <w:r>
        <w:rPr>
          <w:rFonts w:ascii="Courier New" w:cs="Courier New" w:eastAsia="Courier New" w:hAnsi="Courier New"/>
          <w:sz w:val="13"/>
          <w:szCs w:val="13"/>
          <w:color w:val="auto"/>
        </w:rPr>
        <w:t>(c)</w:t>
      </w:r>
      <w:r>
        <w:rPr>
          <w:sz w:val="20"/>
          <w:szCs w:val="20"/>
          <w:color w:val="auto"/>
        </w:rPr>
        <w:tab/>
      </w:r>
      <w:r>
        <w:rPr>
          <w:rFonts w:ascii="Courier New" w:cs="Courier New" w:eastAsia="Courier New" w:hAnsi="Courier New"/>
          <w:sz w:val="12"/>
          <w:szCs w:val="12"/>
          <w:color w:val="auto"/>
        </w:rPr>
        <w:t>Pension benefit payable to Executive under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3"/>
          <w:szCs w:val="13"/>
          <w:color w:val="auto"/>
        </w:rPr>
        <w:t>Section V above will remain fully in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3"/>
          <w:szCs w:val="13"/>
          <w:color w:val="auto"/>
        </w:rPr>
        <w:t>force.</w:t>
      </w:r>
    </w:p>
    <w:p>
      <w:pPr>
        <w:spacing w:after="0" w:line="149"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If Executive's employment is terminated (i)</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after five (5) years or (ii) prior to five (5)</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2"/>
          <w:szCs w:val="12"/>
          <w:color w:val="auto"/>
        </w:rPr>
        <w:t>years other than by the Company "without cause"</w:t>
      </w:r>
    </w:p>
    <w:p>
      <w:pPr>
        <w:spacing w:after="0" w:line="10"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or by the Executive for "good reason", any</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payments to Executive will be determined under</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then normal IFF policy.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INTERNATIONAL FLAVORS &amp;</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FRAGRANCES, INC.</w:t>
      </w:r>
    </w:p>
    <w:p>
      <w:pPr>
        <w:sectPr>
          <w:pgSz w:w="11900" w:h="16838" w:orient="portrait"/>
          <w:cols w:equalWidth="0" w:num="1">
            <w:col w:w="10239"/>
          </w:cols>
          <w:pgMar w:left="220" w:top="287" w:right="1440" w:bottom="1440" w:gutter="0" w:footer="0" w:header="0"/>
        </w:sect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Richard Furlaud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Richard Goldstein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Richard Goldstein</w:t>
      </w:r>
    </w:p>
    <w:p>
      <w:pPr>
        <w:sectPr>
          <w:pgSz w:w="11900" w:h="16838" w:orient="portrait"/>
          <w:cols w:equalWidth="0" w:num="2">
            <w:col w:w="2360" w:space="720"/>
            <w:col w:w="7159"/>
          </w:cols>
          <w:pgMar w:left="220" w:top="287" w:right="1440" w:bottom="1440" w:gutter="0" w:footer="0" w:header="0"/>
          <w:type w:val="continuous"/>
        </w:sectPr>
      </w:pPr>
    </w:p>
    <w:bookmarkStart w:id="41" w:name="page42"/>
    <w:bookmarkEnd w:id="41"/>
    <w:p>
      <w:pPr>
        <w:ind w:left="2320"/>
        <w:spacing w:after="0"/>
        <w:rPr>
          <w:sz w:val="20"/>
          <w:szCs w:val="20"/>
          <w:color w:val="auto"/>
        </w:rPr>
      </w:pPr>
      <w:r>
        <w:rPr>
          <w:rFonts w:ascii="Courier New" w:cs="Courier New" w:eastAsia="Courier New" w:hAnsi="Courier New"/>
          <w:sz w:val="13"/>
          <w:szCs w:val="13"/>
          <w:color w:val="auto"/>
        </w:rPr>
        <w:t>RETIREMENT AGREEMENT</w:t>
      </w:r>
    </w:p>
    <w:p>
      <w:pPr>
        <w:spacing w:after="0" w:line="152" w:lineRule="exact"/>
        <w:rPr>
          <w:sz w:val="20"/>
          <w:szCs w:val="20"/>
          <w:color w:val="auto"/>
        </w:rPr>
      </w:pPr>
    </w:p>
    <w:p>
      <w:pPr>
        <w:ind w:right="4079" w:firstLine="771"/>
        <w:spacing w:after="0"/>
        <w:rPr>
          <w:sz w:val="20"/>
          <w:szCs w:val="20"/>
          <w:color w:val="auto"/>
        </w:rPr>
      </w:pPr>
      <w:r>
        <w:rPr>
          <w:rFonts w:ascii="Courier New" w:cs="Courier New" w:eastAsia="Courier New" w:hAnsi="Courier New"/>
          <w:sz w:val="13"/>
          <w:szCs w:val="13"/>
          <w:color w:val="auto"/>
        </w:rPr>
        <w:t>This RETIREMENT AGREEMENT (the "Agreement") is entered into as of the date signed by the second party hereto between CLINT D. BROOKS (the "Employee"), and International Flavors &amp; Fragrances Inc., a New York corporation (the "Company").</w:t>
      </w:r>
    </w:p>
    <w:p>
      <w:pPr>
        <w:spacing w:after="0" w:line="150" w:lineRule="exact"/>
        <w:rPr>
          <w:sz w:val="20"/>
          <w:szCs w:val="20"/>
          <w:color w:val="auto"/>
        </w:rPr>
      </w:pPr>
    </w:p>
    <w:p>
      <w:pPr>
        <w:ind w:left="2700"/>
        <w:spacing w:after="0"/>
        <w:rPr>
          <w:sz w:val="20"/>
          <w:szCs w:val="20"/>
          <w:color w:val="auto"/>
        </w:rPr>
      </w:pPr>
      <w:r>
        <w:rPr>
          <w:rFonts w:ascii="Courier New" w:cs="Courier New" w:eastAsia="Courier New" w:hAnsi="Courier New"/>
          <w:sz w:val="13"/>
          <w:szCs w:val="13"/>
          <w:color w:val="auto"/>
        </w:rPr>
        <w:t>WITNESSETH</w:t>
      </w:r>
    </w:p>
    <w:p>
      <w:pPr>
        <w:spacing w:after="0" w:line="152" w:lineRule="exact"/>
        <w:rPr>
          <w:sz w:val="20"/>
          <w:szCs w:val="20"/>
          <w:color w:val="auto"/>
        </w:rPr>
      </w:pPr>
    </w:p>
    <w:p>
      <w:pPr>
        <w:ind w:right="4079" w:firstLine="771"/>
        <w:spacing w:after="0" w:line="239" w:lineRule="auto"/>
        <w:rPr>
          <w:sz w:val="20"/>
          <w:szCs w:val="20"/>
          <w:color w:val="auto"/>
        </w:rPr>
      </w:pPr>
      <w:r>
        <w:rPr>
          <w:rFonts w:ascii="Courier New" w:cs="Courier New" w:eastAsia="Courier New" w:hAnsi="Courier New"/>
          <w:sz w:val="13"/>
          <w:szCs w:val="13"/>
          <w:color w:val="auto"/>
        </w:rPr>
        <w:t>WHEREAS, the Employee is employed by Company as Senior Vice President, Research &amp; Development; and</w:t>
      </w:r>
    </w:p>
    <w:p>
      <w:pPr>
        <w:spacing w:after="0" w:line="152" w:lineRule="exact"/>
        <w:rPr>
          <w:sz w:val="20"/>
          <w:szCs w:val="20"/>
          <w:color w:val="auto"/>
        </w:rPr>
      </w:pPr>
    </w:p>
    <w:p>
      <w:pPr>
        <w:ind w:right="4299" w:firstLine="771"/>
        <w:spacing w:after="0" w:line="277" w:lineRule="auto"/>
        <w:rPr>
          <w:sz w:val="20"/>
          <w:szCs w:val="20"/>
          <w:color w:val="auto"/>
        </w:rPr>
      </w:pPr>
      <w:r>
        <w:rPr>
          <w:rFonts w:ascii="Courier New" w:cs="Courier New" w:eastAsia="Courier New" w:hAnsi="Courier New"/>
          <w:sz w:val="12"/>
          <w:szCs w:val="12"/>
          <w:color w:val="auto"/>
        </w:rPr>
        <w:t>WHEREAS, the Company and the Employee have agreed that the Employee shall retire from the Company on April 1, 2007 (the "Retirement Date"); and</w:t>
      </w:r>
    </w:p>
    <w:p>
      <w:pPr>
        <w:spacing w:after="0" w:line="131" w:lineRule="exact"/>
        <w:rPr>
          <w:sz w:val="20"/>
          <w:szCs w:val="20"/>
          <w:color w:val="auto"/>
        </w:rPr>
      </w:pPr>
    </w:p>
    <w:p>
      <w:pPr>
        <w:ind w:right="4079" w:firstLine="771"/>
        <w:spacing w:after="0"/>
        <w:rPr>
          <w:sz w:val="20"/>
          <w:szCs w:val="20"/>
          <w:color w:val="auto"/>
        </w:rPr>
      </w:pPr>
      <w:r>
        <w:rPr>
          <w:rFonts w:ascii="Courier New" w:cs="Courier New" w:eastAsia="Courier New" w:hAnsi="Courier New"/>
          <w:sz w:val="13"/>
          <w:szCs w:val="13"/>
          <w:color w:val="auto"/>
        </w:rPr>
        <w:t>WHEREAS, the Employee and the Company now desire to enter into an agreement concerning the duties and responsibilities of the Employee from the date hereof until the Retirement Date and in respect of the Employee's severance from the Company as hereinafter set forth,</w:t>
      </w:r>
    </w:p>
    <w:p>
      <w:pPr>
        <w:spacing w:after="0" w:line="153" w:lineRule="exact"/>
        <w:rPr>
          <w:sz w:val="20"/>
          <w:szCs w:val="20"/>
          <w:color w:val="auto"/>
        </w:rPr>
      </w:pPr>
    </w:p>
    <w:p>
      <w:pPr>
        <w:ind w:right="4219" w:firstLine="771"/>
        <w:spacing w:after="0" w:line="239" w:lineRule="auto"/>
        <w:rPr>
          <w:sz w:val="20"/>
          <w:szCs w:val="20"/>
          <w:color w:val="auto"/>
        </w:rPr>
      </w:pPr>
      <w:r>
        <w:rPr>
          <w:rFonts w:ascii="Courier New" w:cs="Courier New" w:eastAsia="Courier New" w:hAnsi="Courier New"/>
          <w:sz w:val="13"/>
          <w:szCs w:val="13"/>
          <w:color w:val="auto"/>
        </w:rPr>
        <w:t>NOW, THEREFORE, in consideration of the mutual promises contained in this Agreement, the Employee and the Company agree as follows:</w:t>
      </w:r>
    </w:p>
    <w:p>
      <w:pPr>
        <w:spacing w:after="0" w:line="152" w:lineRule="exact"/>
        <w:rPr>
          <w:sz w:val="20"/>
          <w:szCs w:val="20"/>
          <w:color w:val="auto"/>
        </w:rPr>
      </w:pPr>
    </w:p>
    <w:p>
      <w:pPr>
        <w:ind w:right="4079" w:firstLine="770"/>
        <w:spacing w:after="0" w:line="241" w:lineRule="auto"/>
        <w:tabs>
          <w:tab w:leader="none" w:pos="1003"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CONTINUATION OF EMPLOYMENT; DUTIES. Until the Retirement Date, the Employee shall remain a full-time employee of the Company. Effective December 1, 2006 the employee shall resign as a director and/or officer of the Company and all entities controlled directly or indirectly by the Company (together with the Company, the "Company Group") of which he has served as a director and /or officer. The Employee shall provide transitional assistance, as required from time to time, to those employees of the Company assuming the responsibilities previously held by the Employee. This shall include among other things, preparation of employee reviews. This assistance shall continue until the Retirement Date.</w:t>
      </w:r>
    </w:p>
    <w:p>
      <w:pPr>
        <w:spacing w:after="0" w:line="152" w:lineRule="exact"/>
        <w:rPr>
          <w:rFonts w:ascii="Courier New" w:cs="Courier New" w:eastAsia="Courier New" w:hAnsi="Courier New"/>
          <w:sz w:val="13"/>
          <w:szCs w:val="13"/>
          <w:color w:val="auto"/>
        </w:rPr>
      </w:pPr>
    </w:p>
    <w:p>
      <w:pPr>
        <w:ind w:right="4299" w:firstLine="770"/>
        <w:spacing w:after="0" w:line="239" w:lineRule="auto"/>
        <w:tabs>
          <w:tab w:leader="none" w:pos="1003"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RELATIONSHIP; RESIGNATION OFFICERSHIPS AND DIRECTORSHIPS. On the Retirement Date the Employee's employment with all members of the Company Group shall terminate.</w:t>
      </w:r>
    </w:p>
    <w:p>
      <w:pPr>
        <w:spacing w:after="0" w:line="153" w:lineRule="exact"/>
        <w:rPr>
          <w:rFonts w:ascii="Courier New" w:cs="Courier New" w:eastAsia="Courier New" w:hAnsi="Courier New"/>
          <w:sz w:val="13"/>
          <w:szCs w:val="13"/>
          <w:color w:val="auto"/>
        </w:rPr>
      </w:pPr>
    </w:p>
    <w:p>
      <w:pPr>
        <w:ind w:right="4079" w:firstLine="770"/>
        <w:spacing w:after="0" w:line="239" w:lineRule="auto"/>
        <w:tabs>
          <w:tab w:leader="none" w:pos="1003"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CONSIDERATION TO THE EMPLOYEE. The Company shall make the following payments and provide the following</w:t>
      </w:r>
    </w:p>
    <w:p>
      <w:pPr>
        <w:spacing w:after="0" w:line="200" w:lineRule="exact"/>
        <w:rPr>
          <w:sz w:val="20"/>
          <w:szCs w:val="20"/>
          <w:color w:val="auto"/>
        </w:rPr>
      </w:pPr>
    </w:p>
    <w:p>
      <w:pPr>
        <w:spacing w:after="0" w:line="248" w:lineRule="exact"/>
        <w:rPr>
          <w:sz w:val="20"/>
          <w:szCs w:val="20"/>
          <w:color w:val="auto"/>
        </w:rPr>
      </w:pPr>
    </w:p>
    <w:p>
      <w:pPr>
        <w:ind w:right="4459"/>
        <w:spacing w:after="0" w:line="239" w:lineRule="auto"/>
        <w:rPr>
          <w:sz w:val="20"/>
          <w:szCs w:val="20"/>
          <w:color w:val="auto"/>
        </w:rPr>
      </w:pPr>
      <w:r>
        <w:rPr>
          <w:rFonts w:ascii="Courier New" w:cs="Courier New" w:eastAsia="Courier New" w:hAnsi="Courier New"/>
          <w:sz w:val="13"/>
          <w:szCs w:val="13"/>
          <w:color w:val="auto"/>
        </w:rPr>
        <w:t>additional benefits and consideration to the Employee, subject to Section 6 hereof:</w:t>
      </w:r>
    </w:p>
    <w:p>
      <w:pPr>
        <w:spacing w:after="0" w:line="152" w:lineRule="exact"/>
        <w:rPr>
          <w:sz w:val="20"/>
          <w:szCs w:val="20"/>
          <w:color w:val="auto"/>
        </w:rPr>
      </w:pPr>
    </w:p>
    <w:p>
      <w:pPr>
        <w:ind w:right="4459" w:firstLine="770"/>
        <w:spacing w:after="0" w:line="267" w:lineRule="auto"/>
        <w:tabs>
          <w:tab w:leader="none" w:pos="108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SALARY AND BENEFITS THROUGH THE RETIREMENT DATE. Through and including the Retirement Date, the Employee shall continue to be paid his current base salary of $31,583.33 per month ($379,000. per year), and shall continue to be entitled to all of the benefits that he currently enjoys.</w:t>
      </w:r>
    </w:p>
    <w:p>
      <w:pPr>
        <w:spacing w:after="0" w:line="136" w:lineRule="exact"/>
        <w:rPr>
          <w:rFonts w:ascii="Courier New" w:cs="Courier New" w:eastAsia="Courier New" w:hAnsi="Courier New"/>
          <w:sz w:val="12"/>
          <w:szCs w:val="12"/>
          <w:color w:val="auto"/>
        </w:rPr>
      </w:pPr>
    </w:p>
    <w:p>
      <w:pPr>
        <w:ind w:right="4079" w:firstLine="770"/>
        <w:spacing w:after="0" w:line="262" w:lineRule="auto"/>
        <w:tabs>
          <w:tab w:leader="none" w:pos="108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INCENTIVE COMPENSATION. The Employee shall be entitled to the same annual incentive compensation award in respect of 2006 under the Company's Annual Incentive Plan ("AIP"), promulgated under the Company's Stock Award and Incentive Plan ("SAIP"), that is paid to others with the same target award and pre-established performance objectives as the Employee, subject to adjustment based on performance, but in any event not less than 50%, at the sole discretion of the Compensation Committee with the advice of the CEO. The 2006 AIP shall be paid to the Employee in early 2007 at the same time as incentive compensation awards under the AIP are paid to employees of the Company generally. The Employee shall also be entitled to receive the full amount of any award that is paid to others with the same target award as the Employee in respect of Cycle IV (2004 - 2006) under the Company's Long-Term Incentive Plan ("LTIP") under the SAIP, 66% of any award that is paid to others with the same target award as the Employee in respect of Cycle V (2005 - 2007), and 33% of any award that is paid to others with the same target award as the Employee in respect of Cycle VI (2006 - 2008) under the LTIP. The Employee acknowledges that, in accordance with the preceding sentence, the amounts that he would be paid were the target award levels attained for Cycle IV, Cycle V and Cycle VI of the LTIP would be $219,600, $151,600 and $75,800 respectively. Any earned Cycle IV, Cycle V and Cycle VI awards under the LTIP shall be paid to the Employee in early 2007, 2008, and 2009 at the same times as awards under such cycles of the LTIP are paid to other participants in such LTIP cycles. The Employee shall not be entitled to any other incentive compensation, whether under the AIP, LTIP or any other plans or programs, in respect of any other year.</w:t>
      </w:r>
    </w:p>
    <w:p>
      <w:pPr>
        <w:spacing w:after="0" w:line="295" w:lineRule="exact"/>
        <w:rPr>
          <w:sz w:val="20"/>
          <w:szCs w:val="20"/>
          <w:color w:val="auto"/>
        </w:rPr>
      </w:pPr>
    </w:p>
    <w:p>
      <w:pPr>
        <w:ind w:right="4299" w:firstLine="771"/>
        <w:spacing w:after="0" w:line="267" w:lineRule="auto"/>
        <w:rPr>
          <w:sz w:val="20"/>
          <w:szCs w:val="20"/>
          <w:color w:val="auto"/>
        </w:rPr>
      </w:pPr>
      <w:r>
        <w:rPr>
          <w:rFonts w:ascii="Courier New" w:cs="Courier New" w:eastAsia="Courier New" w:hAnsi="Courier New"/>
          <w:sz w:val="12"/>
          <w:szCs w:val="12"/>
          <w:color w:val="auto"/>
        </w:rPr>
        <w:t>EQUITY COMPENSATION. Except as provided herein, the exercisability, lapsing and forfeiture of the Employee's stock options and restricted stock units shall be governed by the provisions of various Stock Option Agreements between the Employee and the Company. In respect of Performance Restricted</w:t>
      </w:r>
    </w:p>
    <w:p>
      <w:pPr>
        <w:spacing w:after="0" w:line="200" w:lineRule="exact"/>
        <w:rPr>
          <w:sz w:val="20"/>
          <w:szCs w:val="20"/>
          <w:color w:val="auto"/>
        </w:rPr>
      </w:pPr>
    </w:p>
    <w:p>
      <w:pPr>
        <w:spacing w:after="0" w:line="233" w:lineRule="exact"/>
        <w:rPr>
          <w:sz w:val="20"/>
          <w:szCs w:val="20"/>
          <w:color w:val="auto"/>
        </w:rPr>
      </w:pPr>
    </w:p>
    <w:p>
      <w:pPr>
        <w:ind w:right="4079"/>
        <w:spacing w:after="0" w:line="241" w:lineRule="auto"/>
        <w:rPr>
          <w:sz w:val="20"/>
          <w:szCs w:val="20"/>
          <w:color w:val="auto"/>
        </w:rPr>
      </w:pPr>
      <w:r>
        <w:rPr>
          <w:rFonts w:ascii="Courier New" w:cs="Courier New" w:eastAsia="Courier New" w:hAnsi="Courier New"/>
          <w:sz w:val="13"/>
          <w:szCs w:val="13"/>
          <w:color w:val="auto"/>
        </w:rPr>
        <w:t>Stock Units granted in 2004 these units, to the extent earned, will be accelerated to vest on March 31, 2007. In respect of 5000 Restricted Stock Units granted in 2005, 2000 units will be accelerated to vest on March 31, 2007 and 3000 units shall be forfeited. In respect of 2,370 Performance Restricted Stock Units granted in 2005, 1,580 units will be accelerated to vest on March 31, 2007 and 790 will be forfeited. In respect of all Restricted Stock Units and Stock Settled Appreciation Rights granted as part of the Equity Choice Program in 2006, all Restricted Stock Units and Stock Settled Appreciation Rights will be forfeited.</w:t>
      </w:r>
    </w:p>
    <w:p>
      <w:pPr>
        <w:spacing w:after="0" w:line="152" w:lineRule="exact"/>
        <w:rPr>
          <w:sz w:val="20"/>
          <w:szCs w:val="20"/>
          <w:color w:val="auto"/>
        </w:rPr>
      </w:pPr>
    </w:p>
    <w:p>
      <w:pPr>
        <w:ind w:right="4079" w:firstLine="770"/>
        <w:spacing w:after="0" w:line="241" w:lineRule="auto"/>
        <w:tabs>
          <w:tab w:leader="none" w:pos="108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PENSION AND OTHER BENEFITS. The Employee shall be vested in the benefits that he has accrued as of the Retirement Date under the Company's Pension Plan, including its Supplemental Pension Plan, in accordance with such Plan. He shall also be vested in the benefits that he has accrued under the Company's Retirement Income Fund Plan (including the Company's Supplemental Retirement Income Plan) and the Company's Deferred Compensation Plan, subject to any forfeitures or other requirements of such plans, all in accordance with such Plans.</w:t>
      </w:r>
    </w:p>
    <w:p>
      <w:pPr>
        <w:spacing w:after="0" w:line="151" w:lineRule="exact"/>
        <w:rPr>
          <w:rFonts w:ascii="Courier New" w:cs="Courier New" w:eastAsia="Courier New" w:hAnsi="Courier New"/>
          <w:sz w:val="13"/>
          <w:szCs w:val="13"/>
          <w:color w:val="auto"/>
        </w:rPr>
      </w:pPr>
    </w:p>
    <w:p>
      <w:pPr>
        <w:ind w:right="4219" w:firstLine="770"/>
        <w:spacing w:after="0"/>
        <w:tabs>
          <w:tab w:leader="none" w:pos="108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COMPANY CAR. On the Retirement Date, the Employee shall have the choice of either purchasing the automobile currently being provided to the Employee by the Company, or returning it to the Company. Whether purchase or return, such transaction shall be conducted in accordance with Company policy and instructions.</w:t>
      </w:r>
    </w:p>
    <w:p>
      <w:pPr>
        <w:spacing w:after="0" w:line="151" w:lineRule="exact"/>
        <w:rPr>
          <w:rFonts w:ascii="Courier New" w:cs="Courier New" w:eastAsia="Courier New" w:hAnsi="Courier New"/>
          <w:sz w:val="13"/>
          <w:szCs w:val="13"/>
          <w:color w:val="auto"/>
        </w:rPr>
      </w:pPr>
    </w:p>
    <w:p>
      <w:pPr>
        <w:ind w:left="1080" w:hanging="310"/>
        <w:spacing w:after="0"/>
        <w:tabs>
          <w:tab w:leader="none" w:pos="108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FUNDING OF BENEFITS UNDER THIS AGREEMENT. The Company's</w:t>
      </w:r>
    </w:p>
    <w:p>
      <w:pPr>
        <w:sectPr>
          <w:pgSz w:w="11900" w:h="16838" w:orient="portrait"/>
          <w:cols w:equalWidth="0" w:num="1">
            <w:col w:w="10239"/>
          </w:cols>
          <w:pgMar w:left="220" w:top="436" w:right="1440" w:bottom="0" w:gutter="0" w:footer="0" w:header="0"/>
        </w:sectPr>
      </w:pPr>
    </w:p>
    <w:bookmarkStart w:id="42" w:name="page43"/>
    <w:bookmarkEnd w:id="42"/>
    <w:p>
      <w:pPr>
        <w:ind w:right="4139"/>
        <w:spacing w:after="0"/>
        <w:rPr>
          <w:sz w:val="20"/>
          <w:szCs w:val="20"/>
          <w:color w:val="auto"/>
        </w:rPr>
      </w:pPr>
      <w:r>
        <w:rPr>
          <w:rFonts w:ascii="Courier New" w:cs="Courier New" w:eastAsia="Courier New" w:hAnsi="Courier New"/>
          <w:sz w:val="13"/>
          <w:szCs w:val="13"/>
          <w:color w:val="auto"/>
        </w:rPr>
        <w:t>obligations under this section 3 shall be added to those covered by the RABBI Trust evidenced by the trust Agreement dated October 4, 2000 between IFF and First Union National Bank, as Trustee (or any successor RABBI Trust) and to the extent that any Company obligations are funded under the RABBI Trust, the Company's obligations under this Agreement should so be funded.</w:t>
      </w:r>
    </w:p>
    <w:p>
      <w:pPr>
        <w:spacing w:after="0" w:line="154" w:lineRule="exact"/>
        <w:rPr>
          <w:sz w:val="20"/>
          <w:szCs w:val="20"/>
          <w:color w:val="auto"/>
        </w:rPr>
      </w:pPr>
    </w:p>
    <w:p>
      <w:pPr>
        <w:ind w:right="4079" w:firstLine="770"/>
        <w:spacing w:after="0"/>
        <w:tabs>
          <w:tab w:leader="none" w:pos="1003" w:val="left"/>
        </w:tabs>
        <w:numPr>
          <w:ilvl w:val="0"/>
          <w:numId w:val="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NONSOLICITATION. The Employee agrees that he shall not solicit, induce, or attempt to influence any individual who is an employee of the Company Group to terminate his or her employment relationship with the Company Group, or to become employed by him or his affiliates or any person by which he is employed, or interfere in any other way with the employment, or other relationship, of the Company Group and 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employee thereof for a period of two years from the Retirement Date.</w:t>
      </w:r>
    </w:p>
    <w:p>
      <w:pPr>
        <w:spacing w:after="0" w:line="152" w:lineRule="exact"/>
        <w:rPr>
          <w:sz w:val="20"/>
          <w:szCs w:val="20"/>
          <w:color w:val="auto"/>
        </w:rPr>
      </w:pPr>
    </w:p>
    <w:p>
      <w:pPr>
        <w:ind w:right="4079" w:firstLine="770"/>
        <w:spacing w:after="0" w:line="241" w:lineRule="auto"/>
        <w:tabs>
          <w:tab w:leader="none" w:pos="1003"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CONSIDERATION. The Employee understands and agrees that the payments and benefits provided for in this Agreement are the only payments and benefits to which he is entitled relating to his employment and/or in connection with the termination of his employment with the Company, and are being provided to him in consideration for his signing of the Agreement and the "Release," as defined in Section 6, which consideration he agrees is adequate and satisfactory to him.</w:t>
      </w:r>
    </w:p>
    <w:p>
      <w:pPr>
        <w:spacing w:after="0" w:line="151" w:lineRule="exact"/>
        <w:rPr>
          <w:rFonts w:ascii="Courier New" w:cs="Courier New" w:eastAsia="Courier New" w:hAnsi="Courier New"/>
          <w:sz w:val="13"/>
          <w:szCs w:val="13"/>
          <w:color w:val="auto"/>
        </w:rPr>
      </w:pPr>
    </w:p>
    <w:p>
      <w:pPr>
        <w:ind w:right="4079" w:firstLine="770"/>
        <w:spacing w:after="0" w:line="241" w:lineRule="auto"/>
        <w:tabs>
          <w:tab w:leader="none" w:pos="1003"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As a condition to the Employee's entitlement to the compensation, payments and benefits provided for in Sections 1 and 3 hereof, the Employee shall have executed and delivered to the Company a release in the form attached hereto as Schedule I (the "Release"), and such Release shall have become irrevocable. If the Employee exercises his right to revoke the Release in accordance with the terms thereof, then this Agreement shall become null and void ab initio.</w:t>
      </w:r>
    </w:p>
    <w:p>
      <w:pPr>
        <w:spacing w:after="0" w:line="151" w:lineRule="exact"/>
        <w:rPr>
          <w:rFonts w:ascii="Courier New" w:cs="Courier New" w:eastAsia="Courier New" w:hAnsi="Courier New"/>
          <w:sz w:val="13"/>
          <w:szCs w:val="13"/>
          <w:color w:val="auto"/>
        </w:rPr>
      </w:pPr>
    </w:p>
    <w:p>
      <w:pPr>
        <w:ind w:right="4079" w:firstLine="770"/>
        <w:spacing w:after="0" w:line="263" w:lineRule="auto"/>
        <w:tabs>
          <w:tab w:leader="none" w:pos="1003"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NON-DISPARAGEMENT. Each of the Employee and the Company agrees that at no time will either the Employee or any officer, director, employee or other representative of the Company in any way denigrate, demean or otherwise say or do anything, whether in or oral discussions or in writing, that would cause any third party, including but not limited to suppliers, customers and competitors of the Company, to lower its perception about the integrity, public or private image, professional competence, or quality of products or service, of the other or, in the case of the Company, of any officer, director, employee or other representative of the Company. If the Company is asked by a prospective employer for a reference with respect to a new position for which the Employee is being considered, without the Employee's prior written consent the Company will do no more than confirm the Employee's dates of employment and salary history.</w:t>
      </w:r>
    </w:p>
    <w:p>
      <w:pPr>
        <w:spacing w:after="0" w:line="140" w:lineRule="exact"/>
        <w:rPr>
          <w:rFonts w:ascii="Courier New" w:cs="Courier New" w:eastAsia="Courier New" w:hAnsi="Courier New"/>
          <w:sz w:val="12"/>
          <w:szCs w:val="12"/>
          <w:color w:val="auto"/>
        </w:rPr>
      </w:pPr>
    </w:p>
    <w:p>
      <w:pPr>
        <w:ind w:right="4219" w:firstLine="770"/>
        <w:spacing w:after="0" w:line="241" w:lineRule="auto"/>
        <w:tabs>
          <w:tab w:leader="none" w:pos="1003"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COOPERATION AND ASSISTANCE. The Employee acknowledges that he may have historical information or knowledge that may be useful to the Company in connection with current or future legal, regulatory or administrative proceedings. The employee will cooperate with the Company in the defense or prosecution of any such claims that relate to events or occurrences that transpired during the employee's employment with the Company. The Employee's cooperation in connection with such claims or actions shall include being reasonably available,</w:t>
      </w:r>
    </w:p>
    <w:p>
      <w:pPr>
        <w:spacing w:after="0" w:line="200" w:lineRule="exact"/>
        <w:rPr>
          <w:sz w:val="20"/>
          <w:szCs w:val="20"/>
          <w:color w:val="auto"/>
        </w:rPr>
      </w:pPr>
    </w:p>
    <w:p>
      <w:pPr>
        <w:spacing w:after="0" w:line="248" w:lineRule="exact"/>
        <w:rPr>
          <w:sz w:val="20"/>
          <w:szCs w:val="20"/>
          <w:color w:val="auto"/>
        </w:rPr>
      </w:pPr>
    </w:p>
    <w:p>
      <w:pPr>
        <w:ind w:right="4079"/>
        <w:spacing w:after="0"/>
        <w:rPr>
          <w:sz w:val="20"/>
          <w:szCs w:val="20"/>
          <w:color w:val="auto"/>
        </w:rPr>
      </w:pPr>
      <w:r>
        <w:rPr>
          <w:rFonts w:ascii="Courier New" w:cs="Courier New" w:eastAsia="Courier New" w:hAnsi="Courier New"/>
          <w:sz w:val="13"/>
          <w:szCs w:val="13"/>
          <w:color w:val="auto"/>
        </w:rPr>
        <w:t>subject to his other business and personal commitments, to meet counsel to prepare for discovery or trial and to testify truthfully as a witness when reasonably requested by the Company at reasonable times and with reasonable advance notice to the Employee. The Company shall reimburse the Employee for any out-of-pocket expenses including the reasonable fees of the Employee's personal attorney, which he incurs in connection with such cooperation.</w:t>
      </w:r>
    </w:p>
    <w:p>
      <w:pPr>
        <w:spacing w:after="0" w:line="155" w:lineRule="exact"/>
        <w:rPr>
          <w:sz w:val="20"/>
          <w:szCs w:val="20"/>
          <w:color w:val="auto"/>
        </w:rPr>
      </w:pPr>
    </w:p>
    <w:p>
      <w:pPr>
        <w:ind w:right="4139" w:firstLine="770"/>
        <w:spacing w:after="0" w:line="241" w:lineRule="auto"/>
        <w:tabs>
          <w:tab w:leader="none" w:pos="1003"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PROPERTY. Except as otherwise provided, the Employee expressly agrees that, on December 1, 2006, he will return to the Company all property of the Company Group including, but not limited to, any and all files, computers, computer equipment and software and diskettes, documents, papers, records, accords, notes, agenda, memoranda, plans calendars and other books and records of any kind and nature whatsoever containing information concerning the Company Group or their customers or operations. The Employee affirms that he will not retain copies of any such property or other materials. Notwithstanding the foregoing, the Employee shall not be required to return his rolodexes, personal diaries and correspondence.</w:t>
      </w:r>
    </w:p>
    <w:p>
      <w:pPr>
        <w:spacing w:after="0" w:line="152" w:lineRule="exact"/>
        <w:rPr>
          <w:rFonts w:ascii="Courier New" w:cs="Courier New" w:eastAsia="Courier New" w:hAnsi="Courier New"/>
          <w:sz w:val="13"/>
          <w:szCs w:val="13"/>
          <w:color w:val="auto"/>
        </w:rPr>
      </w:pPr>
    </w:p>
    <w:p>
      <w:pPr>
        <w:ind w:right="4079" w:firstLine="770"/>
        <w:spacing w:after="0" w:line="262" w:lineRule="auto"/>
        <w:tabs>
          <w:tab w:leader="none" w:pos="108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NON-DISCLOSURE. Under the employee's Security Agreement with the Company, a copy of which is attached to this agreement as Schedule II, and under applicable trade secret law, the Employee is obliged to keep in confidence all trade secrets and proprietary and confidential information of the Company Group, whether patentable or not which he learned or of which he became aware or informed during his employment by the Company (except to the extent disclosure is or may be required by a statute, by a court of law, by any governmental agency having supervisor authority over the business of the Company or by an administrative or legislative body (including a committee thereof) with apparent jurisdiction to order him to divulge, disclose or make accessible such information), and not to directly or indirectly publish, disclose, market or use, or authorize, advise, hire, counsel or otherwise procure any other person or entity, directly or indirectly, to publish, disclose, market or use, any such information. Both under such Security Agreement and under applicable law, such obligations continue not only while the Employee is employed by the Company, but after cessation of that employment. In amplification and not in limitation of the foregoing, the Employee acknowledges that during his employment with the Company, he has or may have acquired proprietary and confidential knowledge and information of the Company Group, including but not limited to, fragrance</w:t>
      </w:r>
    </w:p>
    <w:p>
      <w:pPr>
        <w:spacing w:after="0" w:line="200" w:lineRule="exact"/>
        <w:rPr>
          <w:sz w:val="20"/>
          <w:szCs w:val="20"/>
          <w:color w:val="auto"/>
        </w:rPr>
      </w:pPr>
    </w:p>
    <w:p>
      <w:pPr>
        <w:spacing w:after="0" w:line="392" w:lineRule="exact"/>
        <w:rPr>
          <w:sz w:val="20"/>
          <w:szCs w:val="20"/>
          <w:color w:val="auto"/>
        </w:rPr>
      </w:pPr>
    </w:p>
    <w:p>
      <w:pPr>
        <w:ind w:right="4079"/>
        <w:spacing w:after="0" w:line="241" w:lineRule="auto"/>
        <w:rPr>
          <w:sz w:val="20"/>
          <w:szCs w:val="20"/>
          <w:color w:val="auto"/>
        </w:rPr>
      </w:pPr>
      <w:r>
        <w:rPr>
          <w:rFonts w:ascii="Courier New" w:cs="Courier New" w:eastAsia="Courier New" w:hAnsi="Courier New"/>
          <w:sz w:val="13"/>
          <w:szCs w:val="13"/>
          <w:color w:val="auto"/>
        </w:rPr>
        <w:t>and flavor formulae, secret processes and products, qualities and grades of flavor and fragrance ingredients and raw materials, including but not limited to aroma chemicals, perfumery and flavor and fragrance compounding "know-how" and other technical data belonging to or relating to the Company Group, and the identity of customers and suppliers of the Company Group and the quantities of products ordered by or from and the prices paid by or to those customers and suppliers. In addition, the Employee has also acquired similar confidential knowledge and information related to the Company's research and development priorities and efforts. The Employee agrees to abide by the terms and conditions of the Security Agreement and of this Section 10.</w:t>
      </w:r>
    </w:p>
    <w:p>
      <w:pPr>
        <w:spacing w:after="0" w:line="153" w:lineRule="exact"/>
        <w:rPr>
          <w:sz w:val="20"/>
          <w:szCs w:val="20"/>
          <w:color w:val="auto"/>
        </w:rPr>
      </w:pPr>
    </w:p>
    <w:p>
      <w:pPr>
        <w:ind w:right="4299" w:firstLine="770"/>
        <w:spacing w:after="0" w:line="269" w:lineRule="auto"/>
        <w:tabs>
          <w:tab w:leader="none" w:pos="108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AND WITHHOLDING. Any Federal, State and/or local income, personal property, franchise, excise or other taxes owed by the Employee as a result of the payments or benefits provided under the terms of this agreement</w:t>
      </w:r>
    </w:p>
    <w:p>
      <w:pPr>
        <w:sectPr>
          <w:pgSz w:w="11900" w:h="16838" w:orient="portrait"/>
          <w:cols w:equalWidth="0" w:num="1">
            <w:col w:w="10239"/>
          </w:cols>
          <w:pgMar w:left="220" w:top="141" w:right="1440" w:bottom="0" w:gutter="0" w:footer="0" w:header="0"/>
        </w:sectPr>
      </w:pPr>
    </w:p>
    <w:bookmarkStart w:id="43" w:name="page44"/>
    <w:bookmarkEnd w:id="43"/>
    <w:p>
      <w:pPr>
        <w:ind w:right="4079"/>
        <w:spacing w:after="0" w:line="241" w:lineRule="auto"/>
        <w:rPr>
          <w:sz w:val="20"/>
          <w:szCs w:val="20"/>
          <w:color w:val="auto"/>
        </w:rPr>
      </w:pPr>
      <w:r>
        <w:rPr>
          <w:rFonts w:ascii="Courier New" w:cs="Courier New" w:eastAsia="Courier New" w:hAnsi="Courier New"/>
          <w:sz w:val="13"/>
          <w:szCs w:val="13"/>
          <w:color w:val="auto"/>
        </w:rPr>
        <w:t>shall be the sole responsibility and obligation of the Employee. The parties hereto agree and acknowledge that the Company shall withhold from any payments made or benefits provided to the Employee any and all amounts that are necessary to enable the Company to satisfy any withholding or other tax obligation that arises in connection with such payments or benefits, and the Company shall report any such amounts that it determines are compensation income on a Form W-2.</w:t>
      </w:r>
    </w:p>
    <w:p>
      <w:pPr>
        <w:spacing w:after="0" w:line="151" w:lineRule="exact"/>
        <w:rPr>
          <w:sz w:val="20"/>
          <w:szCs w:val="20"/>
          <w:color w:val="auto"/>
        </w:rPr>
      </w:pPr>
    </w:p>
    <w:p>
      <w:pPr>
        <w:ind w:right="4079" w:firstLine="770"/>
        <w:spacing w:after="0"/>
        <w:tabs>
          <w:tab w:leader="none" w:pos="108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ORAL MODIFICATION. This Agreement may not be changed orally and no modification, amendment or waiver of any provision contained in this Agreement, or any future representation, promise or condition in connection with the subject matter of this Agreement shall be binding upon any party hereto unless made in writing and signed by such party.</w:t>
      </w:r>
    </w:p>
    <w:p>
      <w:pPr>
        <w:spacing w:after="0" w:line="153" w:lineRule="exact"/>
        <w:rPr>
          <w:rFonts w:ascii="Courier New" w:cs="Courier New" w:eastAsia="Courier New" w:hAnsi="Courier New"/>
          <w:sz w:val="13"/>
          <w:szCs w:val="13"/>
          <w:color w:val="auto"/>
        </w:rPr>
      </w:pPr>
    </w:p>
    <w:p>
      <w:pPr>
        <w:ind w:right="4079" w:firstLine="770"/>
        <w:spacing w:after="0" w:line="263" w:lineRule="auto"/>
        <w:tabs>
          <w:tab w:leader="none" w:pos="108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RESOLUTION OF DISPUTES. Any disputes under or in connection with this Agreement shall, at the election of either party, be resolved by arbitration, to be held in New York, New York in accordance with the rules and procedures of the American Arbitration Association then in effect. Judgment upon the award rendered by the arbitrator(s) may be entered in any court having jurisdiction. Each party shall bear its own costs, including but not limited to attorneys' fees, of the arbitration or of any litigation arising out of this Agreement. Pending the resolution of any arbitration or litigation, the Company shall continue payment of all amounts due the Employee under this Agreement and all benefits to which the Employee is entitled at the time the dispute arises.</w:t>
      </w:r>
    </w:p>
    <w:p>
      <w:pPr>
        <w:spacing w:after="0" w:line="200" w:lineRule="exact"/>
        <w:rPr>
          <w:rFonts w:ascii="Courier New" w:cs="Courier New" w:eastAsia="Courier New" w:hAnsi="Courier New"/>
          <w:sz w:val="12"/>
          <w:szCs w:val="12"/>
          <w:color w:val="auto"/>
        </w:rPr>
      </w:pPr>
    </w:p>
    <w:p>
      <w:pPr>
        <w:spacing w:after="0" w:line="238" w:lineRule="exact"/>
        <w:rPr>
          <w:rFonts w:ascii="Courier New" w:cs="Courier New" w:eastAsia="Courier New" w:hAnsi="Courier New"/>
          <w:sz w:val="12"/>
          <w:szCs w:val="12"/>
          <w:color w:val="auto"/>
        </w:rPr>
      </w:pPr>
    </w:p>
    <w:p>
      <w:pPr>
        <w:ind w:right="4079" w:firstLine="770"/>
        <w:spacing w:after="0"/>
        <w:tabs>
          <w:tab w:leader="none" w:pos="108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SEVERABILITY. In the event that any provision of this Agreement or the application thereof should be held to be void, voidable, unlawful or, for any reason, unenforceable, the remaining portion and application shall remain in full force and effect, and to that end the provisions of this Agreement are declared to be severable.</w:t>
      </w:r>
    </w:p>
    <w:p>
      <w:pPr>
        <w:spacing w:after="0" w:line="153" w:lineRule="exact"/>
        <w:rPr>
          <w:rFonts w:ascii="Courier New" w:cs="Courier New" w:eastAsia="Courier New" w:hAnsi="Courier New"/>
          <w:sz w:val="13"/>
          <w:szCs w:val="13"/>
          <w:color w:val="auto"/>
        </w:rPr>
      </w:pPr>
    </w:p>
    <w:p>
      <w:pPr>
        <w:ind w:right="4139" w:firstLine="770"/>
        <w:spacing w:after="0"/>
        <w:tabs>
          <w:tab w:leader="none" w:pos="108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is made and entered into, and shall be subject to, governed by, and interpreted in accordance with the laws of the State of New York and shall be fully enforceable in the courts of that state, without regard to principles of conflict of laws.</w:t>
      </w:r>
    </w:p>
    <w:p>
      <w:pPr>
        <w:spacing w:after="0" w:line="152" w:lineRule="exact"/>
        <w:rPr>
          <w:rFonts w:ascii="Courier New" w:cs="Courier New" w:eastAsia="Courier New" w:hAnsi="Courier New"/>
          <w:sz w:val="13"/>
          <w:szCs w:val="13"/>
          <w:color w:val="auto"/>
        </w:rPr>
      </w:pPr>
    </w:p>
    <w:p>
      <w:pPr>
        <w:ind w:right="4139" w:firstLine="770"/>
        <w:spacing w:after="0" w:line="241" w:lineRule="auto"/>
        <w:tabs>
          <w:tab w:leader="none" w:pos="108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AND ASSIGNS. This Agreement shall inure to the benefit of and shall be binding upon the parties hereto and their respective heirs, administrators, representatives, executors, successors and assigns, including but not limited to (i) with respect to the Company, any entity with which the Company may merge or consolidate or to which the Company may sell all or substantially all of its assets, and (ii) with respect to the Employee, his executors, administrators, heirs and legal representatives.</w:t>
      </w:r>
    </w:p>
    <w:p>
      <w:pPr>
        <w:spacing w:after="0" w:line="151" w:lineRule="exact"/>
        <w:rPr>
          <w:rFonts w:ascii="Courier New" w:cs="Courier New" w:eastAsia="Courier New" w:hAnsi="Courier New"/>
          <w:sz w:val="13"/>
          <w:szCs w:val="13"/>
          <w:color w:val="auto"/>
        </w:rPr>
      </w:pPr>
    </w:p>
    <w:p>
      <w:pPr>
        <w:ind w:right="4079" w:firstLine="770"/>
        <w:spacing w:after="0" w:line="239" w:lineRule="auto"/>
        <w:tabs>
          <w:tab w:leader="none" w:pos="108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NOTICES. All notices required pursuant to this Agreement shall be in writing and shall be deemed given if mailed, postage prepaid, or if delivered by fax or by hand, to a party at the address set forth below:</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If to the Employee:</w:t>
      </w:r>
    </w:p>
    <w:p>
      <w:pPr>
        <w:spacing w:after="0" w:line="1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Dr. Clint D. Brooks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4 Grand Pointe Way</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Sea Bright, NJ 07760</w:t>
      </w:r>
    </w:p>
    <w:p>
      <w:pPr>
        <w:spacing w:after="0" w:line="1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If to the Company:</w:t>
      </w:r>
    </w:p>
    <w:p>
      <w:pPr>
        <w:spacing w:after="0" w:line="1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International Flavors &amp; Fragrances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521 West 57th Street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New York, New York 10019</w:t>
      </w:r>
    </w:p>
    <w:p>
      <w:pPr>
        <w:spacing w:after="0" w:line="149" w:lineRule="exact"/>
        <w:rPr>
          <w:sz w:val="20"/>
          <w:szCs w:val="20"/>
          <w:color w:val="auto"/>
        </w:rPr>
      </w:pPr>
    </w:p>
    <w:p>
      <w:pPr>
        <w:ind w:left="780"/>
        <w:spacing w:after="0"/>
        <w:tabs>
          <w:tab w:leader="none" w:pos="1680" w:val="left"/>
        </w:tabs>
        <w:rPr>
          <w:sz w:val="20"/>
          <w:szCs w:val="20"/>
          <w:color w:val="auto"/>
        </w:rPr>
      </w:pPr>
      <w:r>
        <w:rPr>
          <w:rFonts w:ascii="Courier New" w:cs="Courier New" w:eastAsia="Courier New" w:hAnsi="Courier New"/>
          <w:sz w:val="13"/>
          <w:szCs w:val="13"/>
          <w:color w:val="auto"/>
        </w:rPr>
        <w:t>Attention:</w:t>
      </w:r>
      <w:r>
        <w:rPr>
          <w:sz w:val="20"/>
          <w:szCs w:val="20"/>
          <w:color w:val="auto"/>
        </w:rPr>
        <w:tab/>
      </w:r>
      <w:r>
        <w:rPr>
          <w:rFonts w:ascii="Courier New" w:cs="Courier New" w:eastAsia="Courier New" w:hAnsi="Courier New"/>
          <w:sz w:val="12"/>
          <w:szCs w:val="12"/>
          <w:color w:val="auto"/>
        </w:rPr>
        <w:t>Corporate Secretary</w:t>
      </w:r>
    </w:p>
    <w:p>
      <w:pPr>
        <w:spacing w:after="0" w:line="152" w:lineRule="exact"/>
        <w:rPr>
          <w:sz w:val="20"/>
          <w:szCs w:val="20"/>
          <w:color w:val="auto"/>
        </w:rPr>
      </w:pPr>
    </w:p>
    <w:p>
      <w:pPr>
        <w:ind w:right="4299"/>
        <w:spacing w:after="0" w:line="239" w:lineRule="auto"/>
        <w:rPr>
          <w:sz w:val="20"/>
          <w:szCs w:val="20"/>
          <w:color w:val="auto"/>
        </w:rPr>
      </w:pPr>
      <w:r>
        <w:rPr>
          <w:rFonts w:ascii="Courier New" w:cs="Courier New" w:eastAsia="Courier New" w:hAnsi="Courier New"/>
          <w:sz w:val="13"/>
          <w:szCs w:val="13"/>
          <w:color w:val="auto"/>
        </w:rPr>
        <w:t>Any change in address by either party shall be effective when notified to the other party as aforesaid.</w:t>
      </w:r>
    </w:p>
    <w:p>
      <w:pPr>
        <w:spacing w:after="0" w:line="200" w:lineRule="exact"/>
        <w:rPr>
          <w:sz w:val="20"/>
          <w:szCs w:val="20"/>
          <w:color w:val="auto"/>
        </w:rPr>
      </w:pPr>
    </w:p>
    <w:p>
      <w:pPr>
        <w:spacing w:after="0" w:line="248" w:lineRule="exact"/>
        <w:rPr>
          <w:sz w:val="20"/>
          <w:szCs w:val="20"/>
          <w:color w:val="auto"/>
        </w:rPr>
      </w:pPr>
    </w:p>
    <w:p>
      <w:pPr>
        <w:ind w:right="4139" w:firstLine="770"/>
        <w:spacing w:after="0" w:line="277" w:lineRule="auto"/>
        <w:tabs>
          <w:tab w:leader="none" w:pos="108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COUNTERPARTS. This Agreement may be executed in counterparts, and each counterpart, when executed, shall have the effect of a signed original.</w:t>
      </w:r>
    </w:p>
    <w:p>
      <w:pPr>
        <w:spacing w:after="0" w:line="131" w:lineRule="exact"/>
        <w:rPr>
          <w:rFonts w:ascii="Courier New" w:cs="Courier New" w:eastAsia="Courier New" w:hAnsi="Courier New"/>
          <w:sz w:val="12"/>
          <w:szCs w:val="12"/>
          <w:color w:val="auto"/>
        </w:rPr>
      </w:pPr>
    </w:p>
    <w:p>
      <w:pPr>
        <w:ind w:right="4139" w:firstLine="770"/>
        <w:spacing w:after="0" w:line="263" w:lineRule="auto"/>
        <w:tabs>
          <w:tab w:leader="none" w:pos="108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ACKNOWLEDGEMENT OF KNOWING AND VOLUNTARY RELEASE; REVOCATION RIGHT. The Employee certifies that he has read the terms of this Agreement. The execution hereof by the Employee shall indicate that this Agreement conforms to the Employee's understandings and is acceptable to him as a final agreement. It is further understood and agreed that the Employee has had the opportunity to consult with counsel of his choice, that he has in fact consulted with his own counsel with respect to this Agreement and that he has been given a reasonable and sufficient period of time of not less than 21 days in which to consider and return this Agreement. In addition, through notice as indicated above, the Employee may revoke this Agreement within 7 days of submitting it.</w:t>
      </w:r>
    </w:p>
    <w:p>
      <w:pPr>
        <w:spacing w:after="0" w:line="142" w:lineRule="exact"/>
        <w:rPr>
          <w:sz w:val="20"/>
          <w:szCs w:val="20"/>
          <w:color w:val="auto"/>
        </w:rPr>
      </w:pPr>
    </w:p>
    <w:p>
      <w:pPr>
        <w:ind w:left="380" w:right="4219" w:firstLine="386"/>
        <w:spacing w:after="0" w:line="239" w:lineRule="auto"/>
        <w:rPr>
          <w:sz w:val="20"/>
          <w:szCs w:val="20"/>
          <w:color w:val="auto"/>
        </w:rPr>
      </w:pPr>
      <w:r>
        <w:rPr>
          <w:rFonts w:ascii="Courier New" w:cs="Courier New" w:eastAsia="Courier New" w:hAnsi="Courier New"/>
          <w:sz w:val="13"/>
          <w:szCs w:val="13"/>
          <w:color w:val="auto"/>
        </w:rPr>
        <w:t>WHEREFORE, intending to be legally bound, the parties have agreed to the aforesaid terms and indicate their agreement by signing below.</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CLINT D. BROOKS</w:t>
      </w:r>
    </w:p>
    <w:p>
      <w:pPr>
        <w:sectPr>
          <w:pgSz w:w="11900" w:h="16838" w:orient="portrait"/>
          <w:cols w:equalWidth="0" w:num="1">
            <w:col w:w="10239"/>
          </w:cols>
          <w:pgMar w:left="220" w:top="141" w:right="1440" w:bottom="0" w:gutter="0" w:footer="0" w:header="0"/>
        </w:sect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Clint D. Brooks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Clint D. Brooks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2"/>
          <w:szCs w:val="12"/>
          <w:color w:val="auto"/>
        </w:rPr>
        <w:t>11/30/06</w:t>
      </w:r>
    </w:p>
    <w:p>
      <w:pPr>
        <w:spacing w:after="0" w:line="10"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3"/>
          <w:szCs w:val="13"/>
          <w:color w:val="auto"/>
        </w:rPr>
        <w:t>Date</w:t>
      </w:r>
    </w:p>
    <w:p>
      <w:pPr>
        <w:spacing w:after="0" w:line="348" w:lineRule="exact"/>
        <w:rPr>
          <w:sz w:val="20"/>
          <w:szCs w:val="20"/>
          <w:color w:val="auto"/>
        </w:rPr>
      </w:pPr>
    </w:p>
    <w:p>
      <w:pPr>
        <w:sectPr>
          <w:pgSz w:w="11900" w:h="16838" w:orient="portrait"/>
          <w:cols w:equalWidth="0" w:num="2">
            <w:col w:w="3600" w:space="720"/>
            <w:col w:w="5919"/>
          </w:cols>
          <w:pgMar w:left="220" w:top="141" w:right="1440" w:bottom="0" w:gutter="0" w:footer="0" w:header="0"/>
          <w:type w:val="continuous"/>
        </w:sectPr>
      </w:pP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INTERNATIONAL/FLAVORS &amp; FRAGRANCES INC.</w:t>
      </w:r>
    </w:p>
    <w:p>
      <w:pPr>
        <w:sectPr>
          <w:pgSz w:w="11900" w:h="16838" w:orient="portrait"/>
          <w:cols w:equalWidth="0" w:num="1">
            <w:col w:w="10239"/>
          </w:cols>
          <w:pgMar w:left="220" w:top="141"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Steven J. Heaslip</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Steven J. Heaslip</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Senior/Vice President</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3"/>
          <w:szCs w:val="13"/>
          <w:color w:val="auto"/>
        </w:rPr>
        <w:t>Global Human Resources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2"/>
          <w:szCs w:val="12"/>
          <w:color w:val="auto"/>
        </w:rPr>
        <w:t>11/30/06</w:t>
      </w:r>
    </w:p>
    <w:p>
      <w:pPr>
        <w:spacing w:after="0" w:line="10"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3"/>
          <w:szCs w:val="13"/>
          <w:color w:val="auto"/>
        </w:rPr>
        <w:t>Date</w:t>
      </w:r>
    </w:p>
    <w:p>
      <w:pPr>
        <w:spacing w:after="0" w:line="644" w:lineRule="exact"/>
        <w:rPr>
          <w:sz w:val="20"/>
          <w:szCs w:val="20"/>
          <w:color w:val="auto"/>
        </w:rPr>
      </w:pPr>
    </w:p>
    <w:p>
      <w:pPr>
        <w:sectPr>
          <w:pgSz w:w="11900" w:h="16838" w:orient="portrait"/>
          <w:cols w:equalWidth="0" w:num="2">
            <w:col w:w="3600" w:space="720"/>
            <w:col w:w="5919"/>
          </w:cols>
          <w:pgMar w:left="220" w:top="141" w:right="1440" w:bottom="0" w:gutter="0" w:footer="0" w:header="0"/>
          <w:type w:val="continuous"/>
        </w:sectPr>
      </w:pPr>
    </w:p>
    <w:p>
      <w:pPr>
        <w:spacing w:after="0" w:line="246"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3"/>
          <w:szCs w:val="13"/>
          <w:color w:val="auto"/>
        </w:rPr>
        <w:t>IFF SECURITY AGREEMENT</w:t>
      </w:r>
    </w:p>
    <w:p>
      <w:pPr>
        <w:spacing w:after="0" w:line="149"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3"/>
          <w:szCs w:val="13"/>
          <w:color w:val="auto"/>
        </w:rPr>
        <w:t>INTERNATIONAL FLAVORS &amp; FRAGRANCES, INC. 521 WEST 57TH</w:t>
      </w:r>
    </w:p>
    <w:p>
      <w:pPr>
        <w:spacing w:after="0" w:line="1"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3"/>
          <w:szCs w:val="13"/>
          <w:color w:val="auto"/>
        </w:rPr>
        <w:t>STREET, NEW YORK, NY 10019</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consideration of my employment by IFF or any of its subsidiaries (herein</w:t>
      </w:r>
    </w:p>
    <w:p>
      <w:pPr>
        <w:sectPr>
          <w:pgSz w:w="11900" w:h="16838" w:orient="portrait"/>
          <w:cols w:equalWidth="0" w:num="1">
            <w:col w:w="10239"/>
          </w:cols>
          <w:pgMar w:left="220" w:top="141" w:right="1440" w:bottom="0" w:gutter="0" w:footer="0" w:header="0"/>
          <w:type w:val="continuous"/>
        </w:sectPr>
      </w:pPr>
    </w:p>
    <w:bookmarkStart w:id="44" w:name="page45"/>
    <w:bookmarkEnd w:id="44"/>
    <w:p>
      <w:pPr>
        <w:ind w:left="1"/>
        <w:spacing w:after="0"/>
        <w:rPr>
          <w:sz w:val="20"/>
          <w:szCs w:val="20"/>
          <w:color w:val="auto"/>
        </w:rPr>
      </w:pPr>
      <w:r>
        <w:rPr>
          <w:rFonts w:ascii="Courier New" w:cs="Courier New" w:eastAsia="Courier New" w:hAnsi="Courier New"/>
          <w:sz w:val="13"/>
          <w:szCs w:val="13"/>
          <w:color w:val="auto"/>
        </w:rPr>
        <w:t>together called IFF), I hereby agree as follows:</w:t>
      </w:r>
    </w:p>
    <w:p>
      <w:pPr>
        <w:spacing w:after="0" w:line="152" w:lineRule="exact"/>
        <w:rPr>
          <w:sz w:val="20"/>
          <w:szCs w:val="20"/>
          <w:color w:val="auto"/>
        </w:rPr>
      </w:pPr>
    </w:p>
    <w:p>
      <w:pPr>
        <w:ind w:left="1" w:right="4079" w:hanging="1"/>
        <w:spacing w:after="0" w:line="241" w:lineRule="auto"/>
        <w:tabs>
          <w:tab w:leader="none" w:pos="232"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acknowledge that in the course of my employment by IFF, I may have access to, acquire or gain confidential knowledge or information (I) with respect to formulae, secret processes, plans, devices, products, computer programs and other intangible property, know-how and other data belonging or relating to IFF or belonging to a customer or supplier of IFF, or (ii) with respect to the identity of customers of IFF. and the identity of products and the quantity and prices of the same ordered by such customers. I acknowledge that all such information is the sole property of IFF or its customer or supplier, and I shall treat it as set forth below.</w:t>
      </w:r>
    </w:p>
    <w:p>
      <w:pPr>
        <w:spacing w:after="0" w:line="152" w:lineRule="exact"/>
        <w:rPr>
          <w:rFonts w:ascii="Courier New" w:cs="Courier New" w:eastAsia="Courier New" w:hAnsi="Courier New"/>
          <w:sz w:val="13"/>
          <w:szCs w:val="13"/>
          <w:color w:val="auto"/>
        </w:rPr>
      </w:pPr>
    </w:p>
    <w:p>
      <w:pPr>
        <w:ind w:left="1" w:right="4079" w:hanging="1"/>
        <w:spacing w:after="0"/>
        <w:tabs>
          <w:tab w:leader="none" w:pos="232"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shall keep confidential all such knowledge or information described above and shall not divulge it to others nor use it for my own private purposes or personal gain, without the express written consent of IFF. This obligation on my part shall continue during and after the period of my employment by IFF.</w:t>
      </w:r>
    </w:p>
    <w:p>
      <w:pPr>
        <w:spacing w:after="0" w:line="152" w:lineRule="exact"/>
        <w:rPr>
          <w:rFonts w:ascii="Courier New" w:cs="Courier New" w:eastAsia="Courier New" w:hAnsi="Courier New"/>
          <w:sz w:val="13"/>
          <w:szCs w:val="13"/>
          <w:color w:val="auto"/>
        </w:rPr>
      </w:pPr>
    </w:p>
    <w:p>
      <w:pPr>
        <w:ind w:left="1" w:right="4079" w:hanging="1"/>
        <w:spacing w:after="0"/>
        <w:tabs>
          <w:tab w:leader="none" w:pos="232"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Upon termination of my employment, or at any time IFF may request, I shall deliver to IFF all notes, memoranda, formulae, records, files or other papers, tapes, discs or programs, and copies thereof, in my custody relating to any such knowledge or information described above to which I have had access or which I may have developed during the term of my employment.</w:t>
      </w:r>
    </w:p>
    <w:p>
      <w:pPr>
        <w:spacing w:after="0" w:line="153" w:lineRule="exact"/>
        <w:rPr>
          <w:rFonts w:ascii="Courier New" w:cs="Courier New" w:eastAsia="Courier New" w:hAnsi="Courier New"/>
          <w:sz w:val="13"/>
          <w:szCs w:val="13"/>
          <w:color w:val="auto"/>
        </w:rPr>
      </w:pPr>
    </w:p>
    <w:p>
      <w:pPr>
        <w:ind w:left="1" w:right="4139" w:hanging="1"/>
        <w:spacing w:after="0"/>
        <w:tabs>
          <w:tab w:leader="none" w:pos="232"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shall not, without the prior written permission of IFF, after leaving the employ of IFF for any reason, work for others, or for my own account, on any of the secret processes, formulae or programs on which I have worked or to which I have had access while in the employ of IFF.</w:t>
      </w:r>
    </w:p>
    <w:p>
      <w:pPr>
        <w:spacing w:after="0" w:line="150" w:lineRule="exact"/>
        <w:rPr>
          <w:rFonts w:ascii="Courier New" w:cs="Courier New" w:eastAsia="Courier New" w:hAnsi="Courier New"/>
          <w:sz w:val="13"/>
          <w:szCs w:val="13"/>
          <w:color w:val="auto"/>
        </w:rPr>
      </w:pPr>
    </w:p>
    <w:p>
      <w:pPr>
        <w:ind w:left="241" w:hanging="241"/>
        <w:spacing w:after="0"/>
        <w:tabs>
          <w:tab w:leader="none" w:pos="241"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invention, formula, process, product, program, idea, discovery and</w:t>
      </w:r>
    </w:p>
    <w:p>
      <w:pPr>
        <w:spacing w:after="0" w:line="3" w:lineRule="exact"/>
        <w:rPr>
          <w:rFonts w:ascii="Courier New" w:cs="Courier New" w:eastAsia="Courier New" w:hAnsi="Courier New"/>
          <w:sz w:val="13"/>
          <w:szCs w:val="13"/>
          <w:color w:val="auto"/>
        </w:rPr>
      </w:pPr>
    </w:p>
    <w:p>
      <w:pPr>
        <w:ind w:left="1" w:right="4379"/>
        <w:spacing w:after="0" w:line="239"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 conceived or developed by me within the period of my employment, relating to any activity engaged in by IFF, shall be the sole and exclusive property of IFF and I shall promptly communicate</w:t>
      </w:r>
    </w:p>
    <w:p>
      <w:pPr>
        <w:spacing w:after="0" w:line="200" w:lineRule="exact"/>
        <w:rPr>
          <w:sz w:val="20"/>
          <w:szCs w:val="20"/>
          <w:color w:val="auto"/>
        </w:rPr>
      </w:pPr>
    </w:p>
    <w:p>
      <w:pPr>
        <w:spacing w:after="0" w:line="250" w:lineRule="exact"/>
        <w:rPr>
          <w:sz w:val="20"/>
          <w:szCs w:val="20"/>
          <w:color w:val="auto"/>
        </w:rPr>
      </w:pPr>
    </w:p>
    <w:p>
      <w:pPr>
        <w:ind w:left="1" w:right="4079"/>
        <w:spacing w:after="0"/>
        <w:rPr>
          <w:sz w:val="20"/>
          <w:szCs w:val="20"/>
          <w:color w:val="auto"/>
        </w:rPr>
      </w:pPr>
      <w:r>
        <w:rPr>
          <w:rFonts w:ascii="Courier New" w:cs="Courier New" w:eastAsia="Courier New" w:hAnsi="Courier New"/>
          <w:sz w:val="13"/>
          <w:szCs w:val="13"/>
          <w:color w:val="auto"/>
        </w:rPr>
        <w:t>to IFF full information with respect to any of the foregoing conceived or developed by me. I shall execute and deliver all documents and do all other things as shall be deemed by IFF to be necessary and proper to effect the assignment to IFF of the sole and exclusive right, title, and interest in and to all such inventions, formulae, processes, products, programs, ideas, discoveries, and improvements and patent applications and patents thereon.</w:t>
      </w:r>
    </w:p>
    <w:p>
      <w:pPr>
        <w:spacing w:after="0" w:line="155" w:lineRule="exact"/>
        <w:rPr>
          <w:sz w:val="20"/>
          <w:szCs w:val="20"/>
          <w:color w:val="auto"/>
        </w:rPr>
      </w:pPr>
    </w:p>
    <w:p>
      <w:pPr>
        <w:ind w:left="1" w:right="4079" w:hanging="1"/>
        <w:spacing w:after="0"/>
        <w:tabs>
          <w:tab w:leader="none" w:pos="232" w:val="left"/>
        </w:tabs>
        <w:numPr>
          <w:ilvl w:val="0"/>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understand and agree that IFF has no interest in and will not accept divulgence to it of any confidential knowledge or information which is the property of any previous employer or other third party. Notwithstanding any other paragraph of this agreement, I shall not communicate any such confidential knowledge or information to IFF nor use the same during the course of my employment.</w:t>
      </w:r>
    </w:p>
    <w:p>
      <w:pPr>
        <w:sectPr>
          <w:pgSz w:w="11900" w:h="16838" w:orient="portrait"/>
          <w:cols w:equalWidth="0" w:num="1">
            <w:col w:w="10240"/>
          </w:cols>
          <w:pgMar w:left="219" w:top="139" w:right="1440" w:bottom="0" w:gutter="0" w:footer="0" w:header="0"/>
        </w:sectPr>
      </w:pPr>
    </w:p>
    <w:p>
      <w:pPr>
        <w:spacing w:after="0" w:line="155"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9/27/00</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Clint D. Brooks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200" w:lineRule="exact"/>
        <w:rPr>
          <w:sz w:val="20"/>
          <w:szCs w:val="20"/>
          <w:color w:val="auto"/>
        </w:rPr>
      </w:pPr>
    </w:p>
    <w:p>
      <w:pPr>
        <w:sectPr>
          <w:pgSz w:w="11900" w:h="16838" w:orient="portrait"/>
          <w:cols w:equalWidth="0" w:num="2">
            <w:col w:w="2361" w:space="720"/>
            <w:col w:w="7159"/>
          </w:cols>
          <w:pgMar w:left="219" w:top="139" w:right="1440" w:bottom="0" w:gutter="0" w:footer="0" w:header="0"/>
          <w:type w:val="continuous"/>
        </w:sectPr>
      </w:pPr>
    </w:p>
    <w:p>
      <w:pPr>
        <w:spacing w:after="0" w:line="246" w:lineRule="exact"/>
        <w:rPr>
          <w:sz w:val="20"/>
          <w:szCs w:val="20"/>
          <w:color w:val="auto"/>
        </w:rPr>
      </w:pPr>
    </w:p>
    <w:p>
      <w:pPr>
        <w:ind w:left="2321"/>
        <w:spacing w:after="0"/>
        <w:rPr>
          <w:sz w:val="20"/>
          <w:szCs w:val="20"/>
          <w:color w:val="auto"/>
        </w:rPr>
      </w:pPr>
      <w:r>
        <w:rPr>
          <w:rFonts w:ascii="Courier New" w:cs="Courier New" w:eastAsia="Courier New" w:hAnsi="Courier New"/>
          <w:sz w:val="13"/>
          <w:szCs w:val="13"/>
          <w:color w:val="auto"/>
        </w:rPr>
        <w:t>Schedule I - Release</w:t>
      </w:r>
    </w:p>
    <w:p>
      <w:pPr>
        <w:spacing w:after="0" w:line="1" w:lineRule="exact"/>
        <w:rPr>
          <w:sz w:val="20"/>
          <w:szCs w:val="20"/>
          <w:color w:val="auto"/>
        </w:rPr>
      </w:pPr>
    </w:p>
    <w:p>
      <w:pPr>
        <w:ind w:left="2861"/>
        <w:spacing w:after="0"/>
        <w:rPr>
          <w:sz w:val="20"/>
          <w:szCs w:val="20"/>
          <w:color w:val="auto"/>
        </w:rPr>
      </w:pPr>
      <w:r>
        <w:rPr>
          <w:rFonts w:ascii="Courier New" w:cs="Courier New" w:eastAsia="Courier New" w:hAnsi="Courier New"/>
          <w:sz w:val="13"/>
          <w:szCs w:val="13"/>
          <w:color w:val="auto"/>
        </w:rPr>
        <w:t>RELEASE</w:t>
      </w:r>
    </w:p>
    <w:p>
      <w:pPr>
        <w:spacing w:after="0" w:line="152" w:lineRule="exact"/>
        <w:rPr>
          <w:sz w:val="20"/>
          <w:szCs w:val="20"/>
          <w:color w:val="auto"/>
        </w:rPr>
      </w:pPr>
    </w:p>
    <w:p>
      <w:pPr>
        <w:ind w:left="1" w:right="4079"/>
        <w:spacing w:after="0" w:line="241" w:lineRule="auto"/>
        <w:rPr>
          <w:sz w:val="20"/>
          <w:szCs w:val="20"/>
          <w:color w:val="auto"/>
        </w:rPr>
      </w:pPr>
      <w:r>
        <w:rPr>
          <w:rFonts w:ascii="Courier New" w:cs="Courier New" w:eastAsia="Courier New" w:hAnsi="Courier New"/>
          <w:sz w:val="13"/>
          <w:szCs w:val="13"/>
          <w:color w:val="auto"/>
        </w:rPr>
        <w:t>KNOW ALL PERSONS BY THESE PRESENTS that the undersigned, Clint D. Brooks (hereinafter referred to as "Employee"), for and in consideration of certain enhanced benefits described in the Retirement Agreement between the Employee and International Flavors &amp; Fragrances Inc., a New York corporation with a place of business at 521 West 57th Street, New York, New York 10019 (hereinafter referred to as "IFF Inc."), DOES HEREBY AGREE TO RELEASE and DOES HEREBY RELEASE IFF Inc. and all of its parents, subsidiaries and affiliates and its and their respective directors, officers and employees (hereinafter referred to as "Releasees") from all "Claims", as hereinafter defined.</w:t>
      </w:r>
    </w:p>
    <w:p>
      <w:pPr>
        <w:spacing w:after="0" w:line="152" w:lineRule="exact"/>
        <w:rPr>
          <w:sz w:val="20"/>
          <w:szCs w:val="20"/>
          <w:color w:val="auto"/>
        </w:rPr>
      </w:pPr>
    </w:p>
    <w:p>
      <w:pPr>
        <w:ind w:left="1" w:right="4079" w:firstLine="386"/>
        <w:spacing w:after="0"/>
        <w:rPr>
          <w:sz w:val="20"/>
          <w:szCs w:val="20"/>
          <w:color w:val="auto"/>
        </w:rPr>
      </w:pPr>
      <w:r>
        <w:rPr>
          <w:rFonts w:ascii="Courier New" w:cs="Courier New" w:eastAsia="Courier New" w:hAnsi="Courier New"/>
          <w:sz w:val="13"/>
          <w:szCs w:val="13"/>
          <w:color w:val="auto"/>
        </w:rPr>
        <w:t>As used in this Release, the term "Claims" means and includes all charges, complaints, claims, liabilities, obligations, promises, agreements, damages, actions, causes of action, rights, costs, losses and expenses (including attorneys' fees and costs actually incurred) of any nature whatsoever, known or unknown, suspected or unsuspected, which Employee now has, or claims to have, or which Employee at any earlier time</w:t>
      </w:r>
    </w:p>
    <w:p>
      <w:pPr>
        <w:spacing w:after="0" w:line="200" w:lineRule="exact"/>
        <w:rPr>
          <w:sz w:val="20"/>
          <w:szCs w:val="20"/>
          <w:color w:val="auto"/>
        </w:rPr>
      </w:pPr>
    </w:p>
    <w:p>
      <w:pPr>
        <w:spacing w:after="0" w:line="251" w:lineRule="exact"/>
        <w:rPr>
          <w:sz w:val="20"/>
          <w:szCs w:val="20"/>
          <w:color w:val="auto"/>
        </w:rPr>
      </w:pPr>
    </w:p>
    <w:p>
      <w:pPr>
        <w:ind w:left="1" w:right="4079"/>
        <w:spacing w:after="0" w:line="262" w:lineRule="auto"/>
        <w:rPr>
          <w:sz w:val="20"/>
          <w:szCs w:val="20"/>
          <w:color w:val="auto"/>
        </w:rPr>
      </w:pPr>
      <w:r>
        <w:rPr>
          <w:rFonts w:ascii="Courier New" w:cs="Courier New" w:eastAsia="Courier New" w:hAnsi="Courier New"/>
          <w:sz w:val="12"/>
          <w:szCs w:val="12"/>
          <w:color w:val="auto"/>
        </w:rPr>
        <w:t>had, or claimed to have had, or which Employee at any future time may have, or claim to have, against each or any of the Releasees as to any matters occurring or arising on or before the date this Release is executed by Employee. The Claims Employee is releasing under this Release include, but are not limited to, rights arising out of alleged violations of any contracts, express or implied, written or oral, or any implied covenant of good faith and fair dealing, any public policy claim, and any claims for wrongful discharge, fraud, misrepresentation, infliction of emotional distress, tortious interference with contract or prospective economic advantage or any other tort, and any other claims relating to or arising out of Employee's employment with IFF Inc. or the termination thereof, and any claim for violation of any federal, state or other governmental statute, regulation or ordinance including, but not limited to, the following, each as amended to date: (1) Title VII of the Civil Rights Act of 1964, 42 U.S.C. Sections 2000e et seq. (race, color, religion, sex and national origin discrimination); (2) Section 1981 of the Civil Rights Act of 1866, 42 U.S.C. Section 1981 (race discrimination); (3) the Age Discrimination in Employment Act, as amended by the Older Worker Benefit Protection Act, 29 U.S.C. 621 et seq. (age discrimination); (4) the Equal Pay Act of 1963, 29 U.S.C. Section 206 (equal pay); (5) Executive Order 11246 (race, color, religion,</w:t>
      </w:r>
    </w:p>
    <w:p>
      <w:pPr>
        <w:spacing w:after="0" w:line="200" w:lineRule="exact"/>
        <w:rPr>
          <w:sz w:val="20"/>
          <w:szCs w:val="20"/>
          <w:color w:val="auto"/>
        </w:rPr>
      </w:pPr>
    </w:p>
    <w:p>
      <w:pPr>
        <w:spacing w:after="0" w:line="392" w:lineRule="exact"/>
        <w:rPr>
          <w:sz w:val="20"/>
          <w:szCs w:val="20"/>
          <w:color w:val="auto"/>
        </w:rPr>
      </w:pPr>
    </w:p>
    <w:p>
      <w:pPr>
        <w:ind w:left="1" w:right="4079"/>
        <w:spacing w:after="0" w:line="263" w:lineRule="auto"/>
        <w:rPr>
          <w:sz w:val="20"/>
          <w:szCs w:val="20"/>
          <w:color w:val="auto"/>
        </w:rPr>
      </w:pPr>
      <w:r>
        <w:rPr>
          <w:rFonts w:ascii="Courier New" w:cs="Courier New" w:eastAsia="Courier New" w:hAnsi="Courier New"/>
          <w:sz w:val="12"/>
          <w:szCs w:val="12"/>
          <w:color w:val="auto"/>
        </w:rPr>
        <w:t>sex and national origin discrimination); (6) Executive Order 11141 (age discrimination); (7) Section 503 of the Rehabilitation Act of 1973, 29 U.S.C. Sections 701 et seq. (handicap discrimination); (8) the Americans With Disabilities Act, 42 U.S.C. Sections 12101 et seq.;(9) the Employee Retirement Income Security Act of 1974, 29 U.S.C. Sections 1001 et seq. (retirement matters); (10) the Sarbanes-Oxley Act of 2002, 15 U.S.C. Sections 7201; and (11) any applicable New York, New Jersey or other statute or foreign statute, regulation, ordinance (including without limitation the NJ Law against Discrimination, NJSA 10:5-1 et seq.; NJ Conscientious Employee Protection Act, NJSA 34:19-1 et seq.; NJ Family Leave Act, NJSA 34:11B-1 et seq.; NJ Equal Pay Act NJSA 34:11-56.1 et seq.; NY Human Rights Law, NY Exec. Law 290 et. seq.; NY Equal Rights Law, NY Civil Rights Law 40-c et seq.; NY Whistleblower Protection</w:t>
      </w:r>
    </w:p>
    <w:p>
      <w:pPr>
        <w:sectPr>
          <w:pgSz w:w="11900" w:h="16838" w:orient="portrait"/>
          <w:cols w:equalWidth="0" w:num="1">
            <w:col w:w="10240"/>
          </w:cols>
          <w:pgMar w:left="219" w:top="139" w:right="1440" w:bottom="0" w:gutter="0" w:footer="0" w:header="0"/>
          <w:type w:val="continuous"/>
        </w:sectPr>
      </w:pPr>
    </w:p>
    <w:bookmarkStart w:id="45" w:name="page46"/>
    <w:bookmarkEnd w:id="45"/>
    <w:p>
      <w:pPr>
        <w:ind w:left="1" w:right="4139"/>
        <w:spacing w:after="0" w:line="239" w:lineRule="auto"/>
        <w:rPr>
          <w:sz w:val="20"/>
          <w:szCs w:val="20"/>
          <w:color w:val="auto"/>
        </w:rPr>
      </w:pPr>
      <w:r>
        <w:rPr>
          <w:rFonts w:ascii="Courier New" w:cs="Courier New" w:eastAsia="Courier New" w:hAnsi="Courier New"/>
          <w:sz w:val="13"/>
          <w:szCs w:val="13"/>
          <w:color w:val="auto"/>
        </w:rPr>
        <w:t>Law, NY Labor Law 740 et seq.; NY Family Leave Law, NY Labor Law 201-c et seq.; and the NY Equal Pay Law, NY Labor Law 194) or case law relating to employment terminations including wrongful termination.</w:t>
      </w:r>
    </w:p>
    <w:p>
      <w:pPr>
        <w:spacing w:after="0" w:line="151"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Employee hereby represents that he has been given a period of twenty-one</w:t>
      </w:r>
    </w:p>
    <w:p>
      <w:pPr>
        <w:spacing w:after="0" w:line="3" w:lineRule="exact"/>
        <w:rPr>
          <w:sz w:val="20"/>
          <w:szCs w:val="20"/>
          <w:color w:val="auto"/>
        </w:rPr>
      </w:pPr>
    </w:p>
    <w:p>
      <w:pPr>
        <w:ind w:left="1" w:right="4139" w:hanging="1"/>
        <w:spacing w:after="0" w:line="239" w:lineRule="auto"/>
        <w:tabs>
          <w:tab w:leader="none" w:pos="386"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to review and consider this Release before signing it. Employee further understands that he may use none or as much of this 21 day period as he wishes prior to signing.</w:t>
      </w:r>
    </w:p>
    <w:p>
      <w:pPr>
        <w:spacing w:after="0" w:line="200" w:lineRule="exact"/>
        <w:rPr>
          <w:sz w:val="20"/>
          <w:szCs w:val="20"/>
          <w:color w:val="auto"/>
        </w:rPr>
      </w:pPr>
    </w:p>
    <w:p>
      <w:pPr>
        <w:spacing w:after="0" w:line="250" w:lineRule="exact"/>
        <w:rPr>
          <w:sz w:val="20"/>
          <w:szCs w:val="20"/>
          <w:color w:val="auto"/>
        </w:rPr>
      </w:pPr>
    </w:p>
    <w:p>
      <w:pPr>
        <w:ind w:left="1" w:right="4079" w:firstLine="386"/>
        <w:spacing w:after="0"/>
        <w:rPr>
          <w:sz w:val="20"/>
          <w:szCs w:val="20"/>
          <w:color w:val="auto"/>
        </w:rPr>
      </w:pPr>
      <w:r>
        <w:rPr>
          <w:rFonts w:ascii="Courier New" w:cs="Courier New" w:eastAsia="Courier New" w:hAnsi="Courier New"/>
          <w:sz w:val="13"/>
          <w:szCs w:val="13"/>
          <w:color w:val="auto"/>
        </w:rPr>
        <w:t>Employee is advised that he has the right to and should consult with an attorney before signing this Release. Employee understands that whether or not to do so is the Employee's decision. Employee has exercised his right to consult with an attorney to the extent, if any, that he desired.</w:t>
      </w:r>
    </w:p>
    <w:p>
      <w:pPr>
        <w:spacing w:after="0" w:line="153" w:lineRule="exact"/>
        <w:rPr>
          <w:sz w:val="20"/>
          <w:szCs w:val="20"/>
          <w:color w:val="auto"/>
        </w:rPr>
      </w:pPr>
    </w:p>
    <w:p>
      <w:pPr>
        <w:ind w:left="1" w:right="4079" w:firstLine="386"/>
        <w:spacing w:after="0"/>
        <w:rPr>
          <w:sz w:val="20"/>
          <w:szCs w:val="20"/>
          <w:color w:val="auto"/>
        </w:rPr>
      </w:pPr>
      <w:r>
        <w:rPr>
          <w:rFonts w:ascii="Courier New" w:cs="Courier New" w:eastAsia="Courier New" w:hAnsi="Courier New"/>
          <w:sz w:val="13"/>
          <w:szCs w:val="13"/>
          <w:color w:val="auto"/>
        </w:rPr>
        <w:t>Nothing herein shall waive or be construed as waiving any Claims of the Employee for workers' compensation or state unemployment benefits, or Claims which may arise after the execution hereof by the Employee, or Claims to be paid pursuant to Company benefit or welfare plans under which you may have vested or deferred vested benefits.</w:t>
      </w:r>
    </w:p>
    <w:p>
      <w:pPr>
        <w:spacing w:after="0" w:line="154" w:lineRule="exact"/>
        <w:rPr>
          <w:sz w:val="20"/>
          <w:szCs w:val="20"/>
          <w:color w:val="auto"/>
        </w:rPr>
      </w:pPr>
    </w:p>
    <w:p>
      <w:pPr>
        <w:ind w:left="1" w:right="4079" w:firstLine="386"/>
        <w:spacing w:after="0" w:line="241" w:lineRule="auto"/>
        <w:rPr>
          <w:sz w:val="20"/>
          <w:szCs w:val="20"/>
          <w:color w:val="auto"/>
        </w:rPr>
      </w:pPr>
      <w:r>
        <w:rPr>
          <w:rFonts w:ascii="Courier New" w:cs="Courier New" w:eastAsia="Courier New" w:hAnsi="Courier New"/>
          <w:sz w:val="13"/>
          <w:szCs w:val="13"/>
          <w:color w:val="auto"/>
        </w:rPr>
        <w:t>Employee may revoke this Release within seven (7) days after he/she signs it. Revocation can be made by delivering a written notice of revocation to Dennis Meany, IFF Inc., 521 West 57th Street, New York, New York 10019. For such revocation to be effective, Dennis Meany must receive written notice not later than the close of business on the seventh day after the day on which Employee executes this Release. If Employee revokes this Release, it shall not be effective and shall be null and void.</w:t>
      </w:r>
    </w:p>
    <w:p>
      <w:pPr>
        <w:spacing w:after="0" w:line="200" w:lineRule="exact"/>
        <w:rPr>
          <w:sz w:val="20"/>
          <w:szCs w:val="20"/>
          <w:color w:val="auto"/>
        </w:rPr>
      </w:pPr>
    </w:p>
    <w:p>
      <w:pPr>
        <w:spacing w:after="0" w:line="248" w:lineRule="exact"/>
        <w:rPr>
          <w:sz w:val="20"/>
          <w:szCs w:val="20"/>
          <w:color w:val="auto"/>
        </w:rPr>
      </w:pPr>
    </w:p>
    <w:p>
      <w:pPr>
        <w:ind w:left="1" w:right="4139" w:firstLine="386"/>
        <w:spacing w:after="0" w:line="239" w:lineRule="auto"/>
        <w:rPr>
          <w:sz w:val="20"/>
          <w:szCs w:val="20"/>
          <w:color w:val="auto"/>
        </w:rPr>
      </w:pPr>
      <w:r>
        <w:rPr>
          <w:rFonts w:ascii="Courier New" w:cs="Courier New" w:eastAsia="Courier New" w:hAnsi="Courier New"/>
          <w:sz w:val="13"/>
          <w:szCs w:val="13"/>
          <w:color w:val="auto"/>
        </w:rPr>
        <w:t>EMPLOYEE ACKNOWLEDGES THAT HE HAS READ THIS RELEASE, UNDERSTANDS IT AND IS VOLUNTARILY EXECUTING IT.</w:t>
      </w:r>
    </w:p>
    <w:p>
      <w:pPr>
        <w:spacing w:after="0" w:line="152" w:lineRule="exact"/>
        <w:rPr>
          <w:sz w:val="20"/>
          <w:szCs w:val="20"/>
          <w:color w:val="auto"/>
        </w:rPr>
      </w:pPr>
    </w:p>
    <w:p>
      <w:pPr>
        <w:ind w:left="1" w:right="4619" w:firstLine="386"/>
        <w:spacing w:after="0" w:line="239" w:lineRule="auto"/>
        <w:rPr>
          <w:sz w:val="20"/>
          <w:szCs w:val="20"/>
          <w:color w:val="auto"/>
        </w:rPr>
      </w:pPr>
      <w:r>
        <w:rPr>
          <w:rFonts w:ascii="Courier New" w:cs="Courier New" w:eastAsia="Courier New" w:hAnsi="Courier New"/>
          <w:sz w:val="13"/>
          <w:szCs w:val="13"/>
          <w:color w:val="auto"/>
        </w:rPr>
        <w:t>(PLEASE READ THIS RELEASE CAREFULLY. IT COVERS ALL KNOWN AND UNKNOWN CLAIMS.)</w:t>
      </w:r>
    </w:p>
    <w:p>
      <w:pPr>
        <w:spacing w:after="0" w:line="149"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Executed at New York, New York, on 11/30/2006.</w:t>
      </w:r>
    </w:p>
    <w:p>
      <w:pPr>
        <w:spacing w:after="0" w:line="149"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Signature of Witness: Print Name of Witness Address of Witness:</w:t>
      </w:r>
    </w:p>
    <w:p>
      <w:pPr>
        <w:spacing w:after="0" w:line="298"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 Clint D. Brooks</w:t>
      </w:r>
    </w:p>
    <w:p>
      <w:pPr>
        <w:spacing w:after="0" w:line="3" w:lineRule="exact"/>
        <w:rPr>
          <w:sz w:val="20"/>
          <w:szCs w:val="20"/>
          <w:color w:val="auto"/>
        </w:rPr>
      </w:pPr>
    </w:p>
    <w:p>
      <w:pPr>
        <w:ind w:left="308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Clint D. Brooks</w:t>
      </w:r>
    </w:p>
    <w:p>
      <w:pPr>
        <w:spacing w:after="0" w:line="298"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 Steven J. Heaslip</w:t>
      </w:r>
    </w:p>
    <w:p>
      <w:pPr>
        <w:spacing w:after="0" w:line="3" w:lineRule="exact"/>
        <w:rPr>
          <w:sz w:val="20"/>
          <w:szCs w:val="20"/>
          <w:color w:val="auto"/>
        </w:rPr>
      </w:pPr>
    </w:p>
    <w:p>
      <w:pPr>
        <w:ind w:left="308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Steven J. Heaslip</w:t>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Signature of Witness: Print Name of Witness Address of Witness:</w:t>
      </w:r>
    </w:p>
    <w:p>
      <w:pPr>
        <w:spacing w:after="0" w:line="298"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 Clint D. Brooks</w:t>
      </w:r>
    </w:p>
    <w:p>
      <w:pPr>
        <w:spacing w:after="0" w:line="3" w:lineRule="exact"/>
        <w:rPr>
          <w:sz w:val="20"/>
          <w:szCs w:val="20"/>
          <w:color w:val="auto"/>
        </w:rPr>
      </w:pPr>
    </w:p>
    <w:p>
      <w:pPr>
        <w:ind w:left="308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Clint D. Brooks</w:t>
      </w:r>
    </w:p>
    <w:p>
      <w:pPr>
        <w:spacing w:after="0" w:line="298"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 Steven J. Heaslip</w:t>
      </w:r>
    </w:p>
    <w:p>
      <w:pPr>
        <w:spacing w:after="0" w:line="3" w:lineRule="exact"/>
        <w:rPr>
          <w:sz w:val="20"/>
          <w:szCs w:val="20"/>
          <w:color w:val="auto"/>
        </w:rPr>
      </w:pPr>
    </w:p>
    <w:p>
      <w:pPr>
        <w:ind w:left="308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081"/>
        <w:spacing w:after="0"/>
        <w:rPr>
          <w:sz w:val="20"/>
          <w:szCs w:val="20"/>
          <w:color w:val="auto"/>
        </w:rPr>
      </w:pPr>
      <w:r>
        <w:rPr>
          <w:rFonts w:ascii="Courier New" w:cs="Courier New" w:eastAsia="Courier New" w:hAnsi="Courier New"/>
          <w:sz w:val="13"/>
          <w:szCs w:val="13"/>
          <w:color w:val="auto"/>
        </w:rPr>
        <w:t>Steven J. Heaslip</w:t>
      </w:r>
    </w:p>
    <w:p>
      <w:pPr>
        <w:sectPr>
          <w:pgSz w:w="11900" w:h="16838" w:orient="portrait"/>
          <w:cols w:equalWidth="0" w:num="1">
            <w:col w:w="10240"/>
          </w:cols>
          <w:pgMar w:left="219" w:top="141" w:right="1440" w:bottom="1440" w:gutter="0" w:footer="0" w:header="0"/>
        </w:sectPr>
      </w:pPr>
    </w:p>
    <w:bookmarkStart w:id="46" w:name="page47"/>
    <w:bookmarkEnd w:id="46"/>
    <w:p>
      <w:pPr>
        <w:ind w:left="1540"/>
        <w:spacing w:after="0"/>
        <w:rPr>
          <w:sz w:val="20"/>
          <w:szCs w:val="20"/>
          <w:color w:val="auto"/>
        </w:rPr>
      </w:pPr>
      <w:r>
        <w:rPr>
          <w:rFonts w:ascii="Courier New" w:cs="Courier New" w:eastAsia="Courier New" w:hAnsi="Courier New"/>
          <w:sz w:val="13"/>
          <w:szCs w:val="13"/>
          <w:color w:val="auto"/>
        </w:rPr>
        <w:t>RESOLUTIONS TO CLARIFY THAT EQUITY AWARDS</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CARRY A LEGAL RIGHT TO AN ANTIDILUTION ADJUSTMENT IN THE</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EVENT OF AN EQUITY RESTRUCTURING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61" w:lineRule="exact"/>
        <w:rPr>
          <w:sz w:val="20"/>
          <w:szCs w:val="20"/>
          <w:color w:val="auto"/>
        </w:rPr>
      </w:pPr>
    </w:p>
    <w:p>
      <w:pPr>
        <w:ind w:left="380" w:right="4079" w:firstLine="386"/>
        <w:spacing w:after="0" w:line="239" w:lineRule="auto"/>
        <w:rPr>
          <w:sz w:val="20"/>
          <w:szCs w:val="20"/>
          <w:color w:val="auto"/>
        </w:rPr>
      </w:pPr>
      <w:r>
        <w:rPr>
          <w:rFonts w:ascii="Courier New" w:cs="Courier New" w:eastAsia="Courier New" w:hAnsi="Courier New"/>
          <w:sz w:val="13"/>
          <w:szCs w:val="13"/>
          <w:color w:val="auto"/>
        </w:rPr>
        <w:t>WHEREAS, the Corporation has granted stock options and other equity awards under its equity compensation plans, which awards remain outstanding at the date hereof;</w:t>
      </w:r>
    </w:p>
    <w:p>
      <w:pPr>
        <w:spacing w:after="0" w:line="153" w:lineRule="exact"/>
        <w:rPr>
          <w:sz w:val="20"/>
          <w:szCs w:val="20"/>
          <w:color w:val="auto"/>
        </w:rPr>
      </w:pPr>
    </w:p>
    <w:p>
      <w:pPr>
        <w:ind w:left="380" w:right="4079" w:firstLine="386"/>
        <w:spacing w:after="0"/>
        <w:rPr>
          <w:sz w:val="20"/>
          <w:szCs w:val="20"/>
          <w:color w:val="auto"/>
        </w:rPr>
      </w:pPr>
      <w:r>
        <w:rPr>
          <w:rFonts w:ascii="Courier New" w:cs="Courier New" w:eastAsia="Courier New" w:hAnsi="Courier New"/>
          <w:sz w:val="13"/>
          <w:szCs w:val="13"/>
          <w:color w:val="auto"/>
        </w:rPr>
        <w:t>WHEREAS, this Committee is empowered under the terms of its Charter and the Corporation's equity compensation plans to set the terms of equity awards and to interpret the terms of the plans and equity award agreements, and to take other action with respect to the equity award plans and outstanding awards;</w:t>
      </w:r>
    </w:p>
    <w:p>
      <w:pPr>
        <w:spacing w:after="0" w:line="154" w:lineRule="exact"/>
        <w:rPr>
          <w:sz w:val="20"/>
          <w:szCs w:val="20"/>
          <w:color w:val="auto"/>
        </w:rPr>
      </w:pPr>
    </w:p>
    <w:p>
      <w:pPr>
        <w:ind w:left="380" w:right="4139" w:firstLine="386"/>
        <w:spacing w:after="0" w:line="263" w:lineRule="auto"/>
        <w:rPr>
          <w:sz w:val="20"/>
          <w:szCs w:val="20"/>
          <w:color w:val="auto"/>
        </w:rPr>
      </w:pPr>
      <w:r>
        <w:rPr>
          <w:rFonts w:ascii="Courier New" w:cs="Courier New" w:eastAsia="Courier New" w:hAnsi="Courier New"/>
          <w:sz w:val="12"/>
          <w:szCs w:val="12"/>
          <w:color w:val="auto"/>
        </w:rPr>
        <w:t>WHEREAS, the Corporation has intended that any equity restructuring that affects the value of common stock held by a stockholder would result in an adjustment to each outstanding equity award in a way that preserves, without enlarging, the value of the award and the rights of the employee and other plan participants holding the award, and the Committee believes that each plan participant currently holding an award has a legal right to such an adjustment (with the manner in which the adjustment is made to be determined by the Corporation), and that the Corporation has a reciprocal legal right to make such an adjustment in order to prevent enlargement of the participant's rights with respect to such equity award;</w:t>
      </w:r>
    </w:p>
    <w:p>
      <w:pPr>
        <w:spacing w:after="0" w:line="142" w:lineRule="exact"/>
        <w:rPr>
          <w:sz w:val="20"/>
          <w:szCs w:val="20"/>
          <w:color w:val="auto"/>
        </w:rPr>
      </w:pPr>
    </w:p>
    <w:p>
      <w:pPr>
        <w:ind w:left="380" w:right="4139" w:firstLine="386"/>
        <w:spacing w:after="0"/>
        <w:rPr>
          <w:sz w:val="20"/>
          <w:szCs w:val="20"/>
          <w:color w:val="auto"/>
        </w:rPr>
      </w:pPr>
      <w:r>
        <w:rPr>
          <w:rFonts w:ascii="Courier New" w:cs="Courier New" w:eastAsia="Courier New" w:hAnsi="Courier New"/>
          <w:sz w:val="13"/>
          <w:szCs w:val="13"/>
          <w:color w:val="auto"/>
        </w:rPr>
        <w:t>WHEREAS, changes in accounting standards applicable to equity awards could require the Corporation to recognize substantial and unpredictable amounts of accounting expense in the event of an adjustment to outstanding equity awards in connection with an equity restructuring if the adjustment were deemed to be in the discretion of the Corporation and not pursuant to a preexisting legal right of the participant;</w:t>
      </w:r>
    </w:p>
    <w:p>
      <w:pPr>
        <w:spacing w:after="0" w:line="155" w:lineRule="exact"/>
        <w:rPr>
          <w:sz w:val="20"/>
          <w:szCs w:val="20"/>
          <w:color w:val="auto"/>
        </w:rPr>
      </w:pPr>
    </w:p>
    <w:p>
      <w:pPr>
        <w:ind w:left="380" w:right="4219" w:firstLine="386"/>
        <w:spacing w:after="0"/>
        <w:rPr>
          <w:sz w:val="20"/>
          <w:szCs w:val="20"/>
          <w:color w:val="auto"/>
        </w:rPr>
      </w:pPr>
      <w:r>
        <w:rPr>
          <w:rFonts w:ascii="Courier New" w:cs="Courier New" w:eastAsia="Courier New" w:hAnsi="Courier New"/>
          <w:sz w:val="13"/>
          <w:szCs w:val="13"/>
          <w:color w:val="auto"/>
        </w:rPr>
        <w:t>WHEREAS, this Committee desires to take action confirming that participants and the Corporation have a legal right to an appropriate adjustment to outstanding equity awards in the event of an equity restructuring, and to take action clarifying and formalizing such rights; and</w:t>
      </w:r>
    </w:p>
    <w:p>
      <w:pPr>
        <w:spacing w:after="0" w:line="154" w:lineRule="exact"/>
        <w:rPr>
          <w:sz w:val="20"/>
          <w:szCs w:val="20"/>
          <w:color w:val="auto"/>
        </w:rPr>
      </w:pPr>
    </w:p>
    <w:p>
      <w:pPr>
        <w:ind w:left="380" w:right="4379" w:firstLine="386"/>
        <w:spacing w:after="0" w:line="239" w:lineRule="auto"/>
        <w:rPr>
          <w:sz w:val="20"/>
          <w:szCs w:val="20"/>
          <w:color w:val="auto"/>
        </w:rPr>
      </w:pPr>
      <w:r>
        <w:rPr>
          <w:rFonts w:ascii="Courier New" w:cs="Courier New" w:eastAsia="Courier New" w:hAnsi="Courier New"/>
          <w:sz w:val="13"/>
          <w:szCs w:val="13"/>
          <w:color w:val="auto"/>
        </w:rPr>
        <w:t>WHEREAS, at the time the Committee is taking this action no equity restructuring is contemplated by the Corporation.</w:t>
      </w:r>
    </w:p>
    <w:p>
      <w:pPr>
        <w:spacing w:after="0" w:line="149"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NOW, THEREFORE, BE IT RESOLVED, that the Corporation hereby</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acknowledges and confirms that each</w:t>
      </w:r>
    </w:p>
    <w:p>
      <w:pPr>
        <w:spacing w:after="0" w:line="200" w:lineRule="exact"/>
        <w:rPr>
          <w:sz w:val="20"/>
          <w:szCs w:val="20"/>
          <w:color w:val="auto"/>
        </w:rPr>
      </w:pPr>
    </w:p>
    <w:p>
      <w:pPr>
        <w:spacing w:after="0" w:line="248" w:lineRule="exact"/>
        <w:rPr>
          <w:sz w:val="20"/>
          <w:szCs w:val="20"/>
          <w:color w:val="auto"/>
        </w:rPr>
      </w:pPr>
    </w:p>
    <w:p>
      <w:pPr>
        <w:ind w:left="380" w:right="4139"/>
        <w:spacing w:after="0" w:line="265" w:lineRule="auto"/>
        <w:rPr>
          <w:sz w:val="20"/>
          <w:szCs w:val="20"/>
          <w:color w:val="auto"/>
        </w:rPr>
      </w:pPr>
      <w:r>
        <w:rPr>
          <w:rFonts w:ascii="Courier New" w:cs="Courier New" w:eastAsia="Courier New" w:hAnsi="Courier New"/>
          <w:sz w:val="12"/>
          <w:szCs w:val="12"/>
          <w:color w:val="auto"/>
        </w:rPr>
        <w:t>participant who has been granted an equity award under the Corporation's equity award plans that remains outstanding, or is hereafter granted such an equity award, has and shall have a legal right to an adjustment to such equity award in the event of an equity restructuring of the Corporation, with any such adjustment preserving the rights of the participant with respect to such equity award without enlarging such rights; and further</w:t>
      </w:r>
    </w:p>
    <w:p>
      <w:pPr>
        <w:spacing w:after="0" w:line="138" w:lineRule="exact"/>
        <w:rPr>
          <w:sz w:val="20"/>
          <w:szCs w:val="20"/>
          <w:color w:val="auto"/>
        </w:rPr>
      </w:pPr>
    </w:p>
    <w:p>
      <w:pPr>
        <w:ind w:left="380" w:right="4219" w:firstLine="386"/>
        <w:spacing w:after="0" w:line="264" w:lineRule="auto"/>
        <w:rPr>
          <w:sz w:val="20"/>
          <w:szCs w:val="20"/>
          <w:color w:val="auto"/>
        </w:rPr>
      </w:pPr>
      <w:r>
        <w:rPr>
          <w:rFonts w:ascii="Courier New" w:cs="Courier New" w:eastAsia="Courier New" w:hAnsi="Courier New"/>
          <w:sz w:val="12"/>
          <w:szCs w:val="12"/>
          <w:color w:val="auto"/>
        </w:rPr>
        <w:t>RESOLVED, that for purposes of these resolutions, (i) an "equity award" means any "share-based payment arrangement" as defined under Statement of Financial Accounting Standards No. 123R ("FAS 123R"), which may include cash-denominated and cash-settled awards, linked to any class of the Corporation's common stock or other equity securities of the Corporation; (ii) an "equity restructuring" has the meaning as defined under FAS 123R; and (iii) "equity award plans" mean the following:</w:t>
      </w:r>
    </w:p>
    <w:p>
      <w:pPr>
        <w:spacing w:after="0" w:line="138" w:lineRule="exact"/>
        <w:rPr>
          <w:sz w:val="20"/>
          <w:szCs w:val="20"/>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2000 Stock Award and Incentive Plan</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2000 Supplemental Stock Award Plan</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2000 Stock Option Plan for Non-Employee Directors</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Directors Annual Stock Award Pool</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1997 Employee Stock Option Plan</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1997 Employee Stock Option Plan for The Netherlands</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Stock Option Plan of 1992</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Stock Option Plan of 1992 for The Netherlands</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1990 Stock Option Plan for Non-Employee Directors</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Stock Option Plan of 1988</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Employee Stock Option Plan of 1988 for The Netherlands</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Global Employee Stock Purchase Plan</w:t>
      </w:r>
    </w:p>
    <w:p>
      <w:pPr>
        <w:spacing w:after="0" w:line="149" w:lineRule="exact"/>
        <w:rPr>
          <w:rFonts w:ascii="Courier New" w:cs="Courier New" w:eastAsia="Courier New" w:hAnsi="Courier New"/>
          <w:sz w:val="13"/>
          <w:szCs w:val="13"/>
          <w:color w:val="auto"/>
        </w:rPr>
      </w:pPr>
    </w:p>
    <w:p>
      <w:pPr>
        <w:ind w:left="780" w:hanging="395"/>
        <w:spacing w:after="0"/>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Deferred Compensation Plan</w:t>
      </w:r>
    </w:p>
    <w:p>
      <w:pPr>
        <w:spacing w:after="0" w:line="151" w:lineRule="exact"/>
        <w:rPr>
          <w:rFonts w:ascii="Courier New" w:cs="Courier New" w:eastAsia="Courier New" w:hAnsi="Courier New"/>
          <w:sz w:val="13"/>
          <w:szCs w:val="13"/>
          <w:color w:val="auto"/>
        </w:rPr>
      </w:pPr>
    </w:p>
    <w:p>
      <w:pPr>
        <w:ind w:left="780" w:right="4079" w:hanging="395"/>
        <w:spacing w:after="0" w:line="241" w:lineRule="auto"/>
        <w:tabs>
          <w:tab w:leader="none" w:pos="78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other plan or program of the Corporation or its subsidiaries under which equity awards are outstanding, including individual equity awards, equity awards under employment agreements, awards under predecessors to any of plans listed above, rights in the nature of equity awards (e.g., deferred shares) under any deferred compensation plan or arrangement, and awards of acquired businesses assumed by the Corporation or its subsidiaries; and further</w:t>
      </w:r>
    </w:p>
    <w:p>
      <w:pPr>
        <w:spacing w:after="0" w:line="151" w:lineRule="exact"/>
        <w:rPr>
          <w:sz w:val="20"/>
          <w:szCs w:val="20"/>
          <w:color w:val="auto"/>
        </w:rPr>
      </w:pPr>
    </w:p>
    <w:p>
      <w:pPr>
        <w:ind w:left="380" w:right="4079" w:firstLine="386"/>
        <w:spacing w:after="0" w:line="263" w:lineRule="auto"/>
        <w:rPr>
          <w:sz w:val="20"/>
          <w:szCs w:val="20"/>
          <w:color w:val="auto"/>
        </w:rPr>
      </w:pPr>
      <w:r>
        <w:rPr>
          <w:rFonts w:ascii="Courier New" w:cs="Courier New" w:eastAsia="Courier New" w:hAnsi="Courier New"/>
          <w:sz w:val="12"/>
          <w:szCs w:val="12"/>
          <w:color w:val="auto"/>
        </w:rPr>
        <w:t>RESOLVED, that, if an adjustment is required under the terms of an equity award, the manner in which such adjustment will be implemented shall be determined by this Committee or other authorized representatives of the Corporation, provided that as implemented such adjustment shall meet the standard of preserving, without enlarging, the rights of the participant holding the equity award. In making such an adjustment, the number and kind of shares underlying an equity award may be adjusted, as well as any exercise or purchase price, any performance condition tied to the market price of Common Stock, and any other term of the equity award, and, in</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making such adjustment, the Committee will take into account any</w:t>
      </w:r>
    </w:p>
    <w:p>
      <w:pPr>
        <w:sectPr>
          <w:pgSz w:w="11900" w:h="16838" w:orient="portrait"/>
          <w:cols w:equalWidth="0" w:num="1">
            <w:col w:w="10239"/>
          </w:cols>
          <w:pgMar w:left="220" w:top="436" w:right="1440" w:bottom="0" w:gutter="0" w:footer="0" w:header="0"/>
        </w:sectPr>
      </w:pPr>
    </w:p>
    <w:bookmarkStart w:id="47" w:name="page48"/>
    <w:bookmarkEnd w:id="47"/>
    <w:p>
      <w:pPr>
        <w:ind w:right="4219"/>
        <w:spacing w:after="0"/>
        <w:rPr>
          <w:sz w:val="20"/>
          <w:szCs w:val="20"/>
          <w:color w:val="auto"/>
        </w:rPr>
      </w:pPr>
      <w:r>
        <w:rPr>
          <w:rFonts w:ascii="Courier New" w:cs="Courier New" w:eastAsia="Courier New" w:hAnsi="Courier New"/>
          <w:sz w:val="13"/>
          <w:szCs w:val="13"/>
          <w:color w:val="auto"/>
        </w:rPr>
        <w:t>distribution of cash, shares or other property or other value received by the participant in connection with the equity restructuring or other extraordinary transaction in respect of the outstanding equity award; and further</w:t>
      </w:r>
    </w:p>
    <w:p>
      <w:pPr>
        <w:spacing w:after="0" w:line="153" w:lineRule="exact"/>
        <w:rPr>
          <w:sz w:val="20"/>
          <w:szCs w:val="20"/>
          <w:color w:val="auto"/>
        </w:rPr>
      </w:pPr>
    </w:p>
    <w:p>
      <w:pPr>
        <w:ind w:right="4079" w:firstLine="386"/>
        <w:spacing w:after="0" w:line="265" w:lineRule="auto"/>
        <w:rPr>
          <w:sz w:val="20"/>
          <w:szCs w:val="20"/>
          <w:color w:val="auto"/>
        </w:rPr>
      </w:pPr>
      <w:r>
        <w:rPr>
          <w:rFonts w:ascii="Courier New" w:cs="Courier New" w:eastAsia="Courier New" w:hAnsi="Courier New"/>
          <w:sz w:val="12"/>
          <w:szCs w:val="12"/>
          <w:color w:val="auto"/>
        </w:rPr>
        <w:t>RESOLVED, that, if any plan or equity award has terms that reserve the right of the Corporation to terminate the equity award upon a merger or similar transaction in which holders of common stock before the transaction will not be holders of publicly traded equity securities after the transaction, that reserved right takes precedence over the more general right to an adjustment specified in the these resolutions; and further</w:t>
      </w:r>
    </w:p>
    <w:p>
      <w:pPr>
        <w:spacing w:after="0" w:line="138" w:lineRule="exact"/>
        <w:rPr>
          <w:sz w:val="20"/>
          <w:szCs w:val="20"/>
          <w:color w:val="auto"/>
        </w:rPr>
      </w:pPr>
    </w:p>
    <w:p>
      <w:pPr>
        <w:ind w:right="4079" w:firstLine="386"/>
        <w:spacing w:after="0"/>
        <w:rPr>
          <w:sz w:val="20"/>
          <w:szCs w:val="20"/>
          <w:color w:val="auto"/>
        </w:rPr>
      </w:pPr>
      <w:r>
        <w:rPr>
          <w:rFonts w:ascii="Courier New" w:cs="Courier New" w:eastAsia="Courier New" w:hAnsi="Courier New"/>
          <w:sz w:val="13"/>
          <w:szCs w:val="13"/>
          <w:color w:val="auto"/>
        </w:rPr>
        <w:t>RESOLVED, that any right to an adjustment to an outstanding equity award authorized by these resolutions in excess of the participant's preexisting right to such an adjustment of such equity award shall not apply in the case of any equity restructuring contemplated (as such term is used in paragraph 54 of FAS 123R) at the time of adoption of these resolutions; and further</w:t>
      </w:r>
    </w:p>
    <w:p>
      <w:pPr>
        <w:spacing w:after="0" w:line="155" w:lineRule="exact"/>
        <w:rPr>
          <w:sz w:val="20"/>
          <w:szCs w:val="20"/>
          <w:color w:val="auto"/>
        </w:rPr>
      </w:pPr>
    </w:p>
    <w:p>
      <w:pPr>
        <w:ind w:right="4379" w:firstLine="386"/>
        <w:spacing w:after="0" w:line="239" w:lineRule="auto"/>
        <w:rPr>
          <w:sz w:val="20"/>
          <w:szCs w:val="20"/>
          <w:color w:val="auto"/>
        </w:rPr>
      </w:pPr>
      <w:r>
        <w:rPr>
          <w:rFonts w:ascii="Courier New" w:cs="Courier New" w:eastAsia="Courier New" w:hAnsi="Courier New"/>
          <w:sz w:val="13"/>
          <w:szCs w:val="13"/>
          <w:color w:val="auto"/>
        </w:rPr>
        <w:t>RESOLVED, that, to the extent that any agreement evidencing an outstanding equity award does not currently explicitly so provide, such agreement is hereby amended to state:</w:t>
      </w:r>
    </w:p>
    <w:p>
      <w:pPr>
        <w:spacing w:after="0" w:line="153" w:lineRule="exact"/>
        <w:rPr>
          <w:sz w:val="20"/>
          <w:szCs w:val="20"/>
          <w:color w:val="auto"/>
        </w:rPr>
      </w:pPr>
    </w:p>
    <w:p>
      <w:pPr>
        <w:ind w:left="400" w:right="4079"/>
        <w:spacing w:after="0" w:line="241" w:lineRule="auto"/>
        <w:rPr>
          <w:sz w:val="20"/>
          <w:szCs w:val="20"/>
          <w:color w:val="auto"/>
        </w:rPr>
      </w:pPr>
      <w:r>
        <w:rPr>
          <w:rFonts w:ascii="Courier New" w:cs="Courier New" w:eastAsia="Courier New" w:hAnsi="Courier New"/>
          <w:sz w:val="13"/>
          <w:szCs w:val="13"/>
          <w:color w:val="auto"/>
        </w:rPr>
        <w:t>The participant has a legal right to an adjustment to this equity award in the event of an equity restructuring of the Corporation, which adjustment shall preserve, without enlarging, the value of the equity award to the participant, subject to and in accordance with the resolutions of the Compensation Committee of the Board of Directors of International Flavors &amp; Fragrances Inc. adopted January 29, 2007; and further</w:t>
      </w:r>
    </w:p>
    <w:p>
      <w:pPr>
        <w:spacing w:after="0" w:line="151" w:lineRule="exact"/>
        <w:rPr>
          <w:sz w:val="20"/>
          <w:szCs w:val="20"/>
          <w:color w:val="auto"/>
        </w:rPr>
      </w:pPr>
    </w:p>
    <w:p>
      <w:pPr>
        <w:ind w:right="4139" w:firstLine="386"/>
        <w:spacing w:after="0"/>
        <w:rPr>
          <w:sz w:val="20"/>
          <w:szCs w:val="20"/>
          <w:color w:val="auto"/>
        </w:rPr>
      </w:pPr>
      <w:r>
        <w:rPr>
          <w:rFonts w:ascii="Courier New" w:cs="Courier New" w:eastAsia="Courier New" w:hAnsi="Courier New"/>
          <w:sz w:val="13"/>
          <w:szCs w:val="13"/>
          <w:color w:val="auto"/>
        </w:rPr>
        <w:t>RESOLVED, that the appropriate officers of the Corporation are authorized and directed to take such other steps as they deem necessary or appropriate to implement these resolutions, and the actions of such officers in furtherance of these resolutions are hereby ratified and approved.</w:t>
      </w:r>
    </w:p>
    <w:p>
      <w:pPr>
        <w:sectPr>
          <w:pgSz w:w="11900" w:h="16838" w:orient="portrait"/>
          <w:cols w:equalWidth="0" w:num="1">
            <w:col w:w="9859"/>
          </w:cols>
          <w:pgMar w:left="600" w:top="141" w:right="1440" w:bottom="1440" w:gutter="0" w:footer="0" w:header="0"/>
        </w:sectPr>
      </w:pPr>
    </w:p>
    <w:bookmarkStart w:id="48" w:name="page49"/>
    <w:bookmarkEnd w:id="48"/>
    <w:p>
      <w:pPr>
        <w:ind w:left="1"/>
        <w:spacing w:after="0"/>
        <w:rPr>
          <w:sz w:val="20"/>
          <w:szCs w:val="20"/>
          <w:color w:val="auto"/>
        </w:rPr>
      </w:pPr>
      <w:r>
        <w:rPr>
          <w:rFonts w:ascii="Courier New" w:cs="Courier New" w:eastAsia="Courier New" w:hAnsi="Courier New"/>
          <w:sz w:val="13"/>
          <w:szCs w:val="13"/>
          <w:color w:val="auto"/>
        </w:rPr>
        <w:t>LIST OF SUBSIDIARIES OF INTERNATIONAL FLAVORS &amp; FRAGRANCES INC.</w:t>
      </w:r>
    </w:p>
    <w:p>
      <w:pPr>
        <w:spacing w:after="0" w:line="152" w:lineRule="exact"/>
        <w:rPr>
          <w:sz w:val="20"/>
          <w:szCs w:val="20"/>
          <w:color w:val="auto"/>
        </w:rPr>
      </w:pPr>
    </w:p>
    <w:p>
      <w:pPr>
        <w:ind w:left="1" w:right="4079"/>
        <w:spacing w:after="0"/>
        <w:rPr>
          <w:sz w:val="20"/>
          <w:szCs w:val="20"/>
          <w:color w:val="auto"/>
        </w:rPr>
      </w:pPr>
      <w:r>
        <w:rPr>
          <w:rFonts w:ascii="Courier New" w:cs="Courier New" w:eastAsia="Courier New" w:hAnsi="Courier New"/>
          <w:sz w:val="13"/>
          <w:szCs w:val="13"/>
          <w:color w:val="auto"/>
        </w:rPr>
        <w:t>Below is a list of the subsidiaries of the Company. Each subsidiary does business under the name identified below. All of the voting stock of each subsidiary is owned, either directly or indirectly, by the Company, except where noted and except, in certain instances for directors' qualifying shares.</w:t>
      </w: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02"/>
        </w:trPr>
        <w:tc>
          <w:tcPr>
            <w:tcW w:w="1180" w:type="dxa"/>
            <w:vAlign w:val="bottom"/>
            <w:gridSpan w:val="2"/>
          </w:tcPr>
          <w:p>
            <w:pPr>
              <w:spacing w:after="0"/>
              <w:rPr>
                <w:sz w:val="20"/>
                <w:szCs w:val="20"/>
                <w:color w:val="auto"/>
              </w:rPr>
            </w:pPr>
            <w:r>
              <w:rPr>
                <w:rFonts w:ascii="Courier New" w:cs="Courier New" w:eastAsia="Courier New" w:hAnsi="Courier New"/>
                <w:sz w:val="9"/>
                <w:szCs w:val="9"/>
                <w:color w:val="auto"/>
              </w:rPr>
              <w:t>Name of Subsidary</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rPr>
                <w:sz w:val="20"/>
                <w:szCs w:val="20"/>
                <w:color w:val="auto"/>
              </w:rPr>
            </w:pPr>
            <w:r>
              <w:rPr>
                <w:rFonts w:ascii="Courier New" w:cs="Courier New" w:eastAsia="Courier New" w:hAnsi="Courier New"/>
                <w:sz w:val="9"/>
                <w:szCs w:val="9"/>
                <w:color w:val="auto"/>
              </w:rPr>
              <w:t>Place of Incorporation</w:t>
            </w:r>
          </w:p>
        </w:tc>
      </w:tr>
      <w:tr>
        <w:trPr>
          <w:trHeight w:val="100"/>
        </w:trPr>
        <w:tc>
          <w:tcPr>
            <w:tcW w:w="3540" w:type="dxa"/>
            <w:vAlign w:val="bottom"/>
            <w:gridSpan w:val="5"/>
          </w:tcPr>
          <w:p>
            <w:pPr>
              <w:spacing w:after="0" w:line="100" w:lineRule="exact"/>
              <w:rPr>
                <w:sz w:val="20"/>
                <w:szCs w:val="20"/>
                <w:color w:val="auto"/>
              </w:rPr>
            </w:pPr>
            <w:r>
              <w:rPr>
                <w:rFonts w:ascii="Courier New" w:cs="Courier New" w:eastAsia="Courier New" w:hAnsi="Courier New"/>
                <w:sz w:val="9"/>
                <w:szCs w:val="9"/>
                <w:color w:val="auto"/>
                <w:w w:val="98"/>
              </w:rPr>
              <w:t>- ----------------------------------------------------------------</w:t>
            </w:r>
          </w:p>
        </w:tc>
        <w:tc>
          <w:tcPr>
            <w:tcW w:w="1320" w:type="dxa"/>
            <w:vAlign w:val="bottom"/>
          </w:tcPr>
          <w:p>
            <w:pPr>
              <w:ind w:left="140"/>
              <w:spacing w:after="0" w:line="100" w:lineRule="exact"/>
              <w:rPr>
                <w:sz w:val="20"/>
                <w:szCs w:val="20"/>
                <w:color w:val="auto"/>
              </w:rPr>
            </w:pPr>
            <w:r>
              <w:rPr>
                <w:rFonts w:ascii="Courier New" w:cs="Courier New" w:eastAsia="Courier New" w:hAnsi="Courier New"/>
                <w:sz w:val="9"/>
                <w:szCs w:val="9"/>
                <w:color w:val="auto"/>
                <w:w w:val="97"/>
              </w:rPr>
              <w:t>----------------------</w:t>
            </w:r>
          </w:p>
        </w:tc>
      </w:tr>
      <w:tr>
        <w:trPr>
          <w:trHeight w:val="197"/>
        </w:trPr>
        <w:tc>
          <w:tcPr>
            <w:tcW w:w="720" w:type="dxa"/>
            <w:vAlign w:val="bottom"/>
          </w:tcPr>
          <w:p>
            <w:pPr>
              <w:spacing w:after="0"/>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rPr>
                <w:sz w:val="20"/>
                <w:szCs w:val="20"/>
                <w:color w:val="auto"/>
              </w:rPr>
            </w:pPr>
            <w:r>
              <w:rPr>
                <w:rFonts w:ascii="Courier New" w:cs="Courier New" w:eastAsia="Courier New" w:hAnsi="Courier New"/>
                <w:sz w:val="9"/>
                <w:szCs w:val="9"/>
                <w:color w:val="auto"/>
              </w:rPr>
              <w:t>I.F.F. (Nederland) B.V.</w:t>
            </w:r>
          </w:p>
        </w:tc>
        <w:tc>
          <w:tcPr>
            <w:tcW w:w="1320" w:type="dxa"/>
            <w:vAlign w:val="bottom"/>
          </w:tcPr>
          <w:p>
            <w:pPr>
              <w:ind w:left="40"/>
              <w:spacing w:after="0"/>
              <w:rPr>
                <w:sz w:val="20"/>
                <w:szCs w:val="20"/>
                <w:color w:val="auto"/>
              </w:rPr>
            </w:pPr>
            <w:r>
              <w:rPr>
                <w:rFonts w:ascii="Courier New" w:cs="Courier New" w:eastAsia="Courier New" w:hAnsi="Courier New"/>
                <w:sz w:val="9"/>
                <w:szCs w:val="9"/>
                <w:color w:val="auto"/>
              </w:rPr>
              <w:t>The Netherlands</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Aromatics Holdings Limited</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Ireland</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IFF-Benicarlo, S.A.</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Spain</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(China)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China</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Irish Flavours and Fragrances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Ireland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I.F.F. (Great Britain)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(Italia) S.r.l.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Italy</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(Deutschland) G.m.b.H.</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Germany</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(Switzerland) A.G.</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Switzerland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(France) SAS</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France</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(Hong Kong)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Hong Kong</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(Japan)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Japan</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S.A.C.I.</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Argentina</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I.F.F. Essencias e Fragrancias Ltda.</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Brazil</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(Australia) Pty.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Australia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w w:val="97"/>
              </w:rPr>
              <w:t>P.T. Essence Indonesia</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Indonesia</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(Mexico) S.A. de C.V.</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Mexico</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IFF Mexico Manufactura,</w:t>
            </w:r>
          </w:p>
        </w:tc>
        <w:tc>
          <w:tcPr>
            <w:tcW w:w="226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S.A. de C.V.</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Mexico</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(Espana) S.A.</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Spain</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(Poland) Sp.z.o.o.</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Poland</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w w:val="97"/>
              </w:rPr>
              <w:t>IFF Trading Company B.V.</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The Netherlands</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(Hangzhou) Co. Ltd (1)</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China</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(Zhejiang) Co.,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China</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(S.A.) (Pty)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South Africa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The PAKS Corporation</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New York</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(Canada)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Canada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Alva Insurance Ltd.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Bermuda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van Ameringen-Haebler, Inc.</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New York</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(Caribe) Inc.</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Delaware</w:t>
            </w:r>
          </w:p>
        </w:tc>
      </w:tr>
      <w:tr>
        <w:trPr>
          <w:trHeight w:val="100"/>
        </w:trPr>
        <w:tc>
          <w:tcPr>
            <w:tcW w:w="1180" w:type="dxa"/>
            <w:vAlign w:val="bottom"/>
            <w:gridSpan w:val="2"/>
          </w:tcPr>
          <w:p>
            <w:pPr>
              <w:spacing w:after="0" w:line="100" w:lineRule="exact"/>
              <w:rPr>
                <w:sz w:val="20"/>
                <w:szCs w:val="20"/>
                <w:color w:val="auto"/>
              </w:rPr>
            </w:pPr>
            <w:r>
              <w:rPr>
                <w:rFonts w:ascii="Courier New" w:cs="Courier New" w:eastAsia="Courier New" w:hAnsi="Courier New"/>
                <w:sz w:val="9"/>
                <w:szCs w:val="9"/>
                <w:color w:val="auto"/>
              </w:rPr>
              <w:t>Sabores y Fragrancias</w:t>
            </w:r>
          </w:p>
        </w:tc>
        <w:tc>
          <w:tcPr>
            <w:tcW w:w="660" w:type="dxa"/>
            <w:vAlign w:val="bottom"/>
            <w:gridSpan w:val="2"/>
          </w:tcPr>
          <w:p>
            <w:pPr>
              <w:spacing w:after="0" w:line="100" w:lineRule="exact"/>
              <w:rPr>
                <w:sz w:val="20"/>
                <w:szCs w:val="20"/>
                <w:color w:val="auto"/>
              </w:rPr>
            </w:pPr>
            <w:r>
              <w:rPr>
                <w:rFonts w:ascii="Courier New" w:cs="Courier New" w:eastAsia="Courier New" w:hAnsi="Courier New"/>
                <w:sz w:val="9"/>
                <w:szCs w:val="9"/>
                <w:color w:val="auto"/>
              </w:rPr>
              <w:t>S.A.</w:t>
            </w:r>
          </w:p>
        </w:tc>
        <w:tc>
          <w:tcPr>
            <w:tcW w:w="1700" w:type="dxa"/>
            <w:vAlign w:val="bottom"/>
          </w:tcPr>
          <w:p>
            <w:pPr>
              <w:spacing w:after="0"/>
              <w:rPr>
                <w:sz w:val="8"/>
                <w:szCs w:val="8"/>
                <w:color w:val="auto"/>
              </w:rPr>
            </w:pPr>
          </w:p>
        </w:tc>
        <w:tc>
          <w:tcPr>
            <w:tcW w:w="1320" w:type="dxa"/>
            <w:vAlign w:val="bottom"/>
          </w:tcPr>
          <w:p>
            <w:pPr>
              <w:ind w:left="40"/>
              <w:spacing w:after="0" w:line="100" w:lineRule="exact"/>
              <w:rPr>
                <w:sz w:val="20"/>
                <w:szCs w:val="20"/>
                <w:color w:val="auto"/>
              </w:rPr>
            </w:pPr>
            <w:r>
              <w:rPr>
                <w:rFonts w:ascii="Courier New" w:cs="Courier New" w:eastAsia="Courier New" w:hAnsi="Courier New"/>
                <w:sz w:val="9"/>
                <w:szCs w:val="9"/>
                <w:color w:val="auto"/>
              </w:rPr>
              <w:t>Colombia</w:t>
            </w:r>
          </w:p>
        </w:tc>
      </w:tr>
      <w:tr>
        <w:trPr>
          <w:trHeight w:val="691"/>
        </w:trPr>
        <w:tc>
          <w:tcPr>
            <w:tcW w:w="720" w:type="dxa"/>
            <w:vAlign w:val="bottom"/>
          </w:tcPr>
          <w:p>
            <w:pPr>
              <w:spacing w:after="0"/>
              <w:rPr>
                <w:sz w:val="20"/>
                <w:szCs w:val="20"/>
                <w:color w:val="auto"/>
              </w:rPr>
            </w:pPr>
            <w:r>
              <w:rPr>
                <w:rFonts w:ascii="Courier New" w:cs="Courier New" w:eastAsia="Courier New" w:hAnsi="Courier New"/>
                <w:sz w:val="9"/>
                <w:szCs w:val="9"/>
                <w:color w:val="auto"/>
                <w:w w:val="99"/>
              </w:rPr>
              <w:t>IFF Sabores y</w:t>
            </w:r>
          </w:p>
        </w:tc>
        <w:tc>
          <w:tcPr>
            <w:tcW w:w="1120" w:type="dxa"/>
            <w:vAlign w:val="bottom"/>
            <w:gridSpan w:val="3"/>
          </w:tcPr>
          <w:p>
            <w:pPr>
              <w:ind w:left="20"/>
              <w:spacing w:after="0"/>
              <w:rPr>
                <w:sz w:val="20"/>
                <w:szCs w:val="20"/>
                <w:color w:val="auto"/>
              </w:rPr>
            </w:pPr>
            <w:r>
              <w:rPr>
                <w:rFonts w:ascii="Courier New" w:cs="Courier New" w:eastAsia="Courier New" w:hAnsi="Courier New"/>
                <w:sz w:val="9"/>
                <w:szCs w:val="9"/>
                <w:color w:val="auto"/>
                <w:w w:val="99"/>
              </w:rPr>
              <w:t>Fragrancias de Chile</w:t>
            </w:r>
          </w:p>
        </w:tc>
        <w:tc>
          <w:tcPr>
            <w:tcW w:w="1700" w:type="dxa"/>
            <w:vAlign w:val="bottom"/>
          </w:tcPr>
          <w:p>
            <w:pPr>
              <w:ind w:left="20"/>
              <w:spacing w:after="0"/>
              <w:rPr>
                <w:sz w:val="20"/>
                <w:szCs w:val="20"/>
                <w:color w:val="auto"/>
              </w:rPr>
            </w:pPr>
            <w:r>
              <w:rPr>
                <w:rFonts w:ascii="Courier New" w:cs="Courier New" w:eastAsia="Courier New" w:hAnsi="Courier New"/>
                <w:sz w:val="9"/>
                <w:szCs w:val="9"/>
                <w:color w:val="auto"/>
              </w:rPr>
              <w:t>Ltda.</w:t>
            </w:r>
          </w:p>
        </w:tc>
        <w:tc>
          <w:tcPr>
            <w:tcW w:w="1320" w:type="dxa"/>
            <w:vAlign w:val="bottom"/>
          </w:tcPr>
          <w:p>
            <w:pPr>
              <w:ind w:left="40"/>
              <w:spacing w:after="0"/>
              <w:rPr>
                <w:sz w:val="20"/>
                <w:szCs w:val="20"/>
                <w:color w:val="auto"/>
              </w:rPr>
            </w:pPr>
            <w:r>
              <w:rPr>
                <w:rFonts w:ascii="Courier New" w:cs="Courier New" w:eastAsia="Courier New" w:hAnsi="Courier New"/>
                <w:sz w:val="9"/>
                <w:szCs w:val="9"/>
                <w:color w:val="auto"/>
              </w:rPr>
              <w:t>Chile</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IFF Aroma Esans Sanay</w:t>
            </w:r>
          </w:p>
        </w:tc>
        <w:tc>
          <w:tcPr>
            <w:tcW w:w="66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A.S.</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Turkey</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(Israel)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Israel</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Misr Co. for Aromatic</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Products (MARP) S.A.E.</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Egypt</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(Portugal) Lds.</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Portugal</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(Zimbabwe) (Private)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Zimbabwe</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(Mauritius)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Mauritius</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Speciality Fragrances</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(India) Private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India</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(Philippines) Inc.</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Philippines</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(Asia Pacific) Pte.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Singapore</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(Thailand)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Thailand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(Korea) Inc.</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Korea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Laboratoire Monique Remy SAS</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France</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(Nederland) Holding B.V.</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The Netherlands</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Ardenne S.a.r.l.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Luxembourg</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(Luxembourg) S.a.r.l.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Luxembourg</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(Luxembourg) Holding S.a.r.l.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Luxembourg</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(GB) Holdings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United Kingdom</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w w:val="97"/>
              </w:rPr>
              <w:t>IFF International Inc.</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New York</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IFF Financial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w w:val="97"/>
              </w:rPr>
              <w:t>Services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Ireland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Global Holding S.a.r.l.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Luxembourg</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IFF Capital Services</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Ireland</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IFF (Gibraltar) Limited</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Gibraltar</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IFF Australia</w:t>
            </w:r>
          </w:p>
        </w:tc>
        <w:tc>
          <w:tcPr>
            <w:tcW w:w="1120" w:type="dxa"/>
            <w:vAlign w:val="bottom"/>
            <w:gridSpan w:val="3"/>
          </w:tcPr>
          <w:p>
            <w:pPr>
              <w:ind w:left="20"/>
              <w:spacing w:after="0" w:line="99" w:lineRule="exact"/>
              <w:rPr>
                <w:sz w:val="20"/>
                <w:szCs w:val="20"/>
                <w:color w:val="auto"/>
              </w:rPr>
            </w:pPr>
            <w:r>
              <w:rPr>
                <w:rFonts w:ascii="Courier New" w:cs="Courier New" w:eastAsia="Courier New" w:hAnsi="Courier New"/>
                <w:sz w:val="9"/>
                <w:szCs w:val="9"/>
                <w:color w:val="auto"/>
                <w:w w:val="99"/>
              </w:rPr>
              <w:t>Holdings Pty Limited</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Australia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IFF Chemical Holdings</w:t>
            </w:r>
          </w:p>
        </w:tc>
        <w:tc>
          <w:tcPr>
            <w:tcW w:w="66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Inc.</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Delaware</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w w:val="97"/>
              </w:rPr>
              <w:t>IFF (Gibraltar) Holdings</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Gibraltar</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IFF Mexico Holdings LLC</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Delaware</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IFF Latin American Holdings (Espana) SL</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Spain</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IFF Augusta Limited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Fragrance Ingredients</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Holdings Inc.</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Delaware</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Bush Boake Allen Inc.</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Virginia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Bush Boake Allen (Chile) S.A.</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Chile</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Industria E Commercial do Brasil Limitada</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Brazil</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Controladora S.A. de C.V.</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Mexico</w:t>
            </w:r>
          </w:p>
        </w:tc>
      </w:tr>
      <w:tr>
        <w:trPr>
          <w:trHeight w:val="100"/>
        </w:trPr>
        <w:tc>
          <w:tcPr>
            <w:tcW w:w="3540" w:type="dxa"/>
            <w:vAlign w:val="bottom"/>
            <w:gridSpan w:val="5"/>
          </w:tcPr>
          <w:p>
            <w:pPr>
              <w:spacing w:after="0" w:line="100" w:lineRule="exact"/>
              <w:rPr>
                <w:sz w:val="20"/>
                <w:szCs w:val="20"/>
                <w:color w:val="auto"/>
              </w:rPr>
            </w:pPr>
            <w:r>
              <w:rPr>
                <w:rFonts w:ascii="Courier New" w:cs="Courier New" w:eastAsia="Courier New" w:hAnsi="Courier New"/>
                <w:sz w:val="9"/>
                <w:szCs w:val="9"/>
                <w:color w:val="auto"/>
              </w:rPr>
              <w:t>Bush Boake Allen (Nominees) Limited</w:t>
            </w:r>
          </w:p>
        </w:tc>
        <w:tc>
          <w:tcPr>
            <w:tcW w:w="1320" w:type="dxa"/>
            <w:vAlign w:val="bottom"/>
          </w:tcPr>
          <w:p>
            <w:pPr>
              <w:ind w:left="40"/>
              <w:spacing w:after="0" w:line="100" w:lineRule="exact"/>
              <w:rPr>
                <w:sz w:val="20"/>
                <w:szCs w:val="20"/>
                <w:color w:val="auto"/>
              </w:rPr>
            </w:pPr>
            <w:r>
              <w:rPr>
                <w:rFonts w:ascii="Courier New" w:cs="Courier New" w:eastAsia="Courier New" w:hAnsi="Courier New"/>
                <w:sz w:val="9"/>
                <w:szCs w:val="9"/>
                <w:color w:val="auto"/>
              </w:rPr>
              <w:t>England</w:t>
            </w:r>
          </w:p>
        </w:tc>
      </w:tr>
      <w:tr>
        <w:trPr>
          <w:trHeight w:val="691"/>
        </w:trPr>
        <w:tc>
          <w:tcPr>
            <w:tcW w:w="3540" w:type="dxa"/>
            <w:vAlign w:val="bottom"/>
            <w:gridSpan w:val="5"/>
          </w:tcPr>
          <w:p>
            <w:pPr>
              <w:spacing w:after="0"/>
              <w:rPr>
                <w:sz w:val="20"/>
                <w:szCs w:val="20"/>
                <w:color w:val="auto"/>
              </w:rPr>
            </w:pPr>
            <w:r>
              <w:rPr>
                <w:rFonts w:ascii="Courier New" w:cs="Courier New" w:eastAsia="Courier New" w:hAnsi="Courier New"/>
                <w:sz w:val="9"/>
                <w:szCs w:val="9"/>
                <w:color w:val="auto"/>
              </w:rPr>
              <w:t>Bush Boake Allen Holdings (U.K.) Limited</w:t>
            </w:r>
          </w:p>
        </w:tc>
        <w:tc>
          <w:tcPr>
            <w:tcW w:w="1320" w:type="dxa"/>
            <w:vAlign w:val="bottom"/>
          </w:tcPr>
          <w:p>
            <w:pPr>
              <w:ind w:left="40"/>
              <w:spacing w:after="0"/>
              <w:rPr>
                <w:sz w:val="20"/>
                <w:szCs w:val="20"/>
                <w:color w:val="auto"/>
              </w:rPr>
            </w:pPr>
            <w:r>
              <w:rPr>
                <w:rFonts w:ascii="Courier New" w:cs="Courier New" w:eastAsia="Courier New" w:hAnsi="Courier New"/>
                <w:sz w:val="9"/>
                <w:szCs w:val="9"/>
                <w:color w:val="auto"/>
              </w:rPr>
              <w:t>England</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Pension Investments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(Executive Pension Trustees)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(Pension Trustees)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Bush Boake Allen (Works</w:t>
            </w:r>
          </w:p>
        </w:tc>
        <w:tc>
          <w:tcPr>
            <w:tcW w:w="226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Pension Trustees)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w w:val="97"/>
              </w:rPr>
              <w:t>Bush Boake Allen Limited</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GMB Proteins Limited</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Australia Pty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Australia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A. Boake, Roberts And</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Company (Holding),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Bush Boake Allen (New</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Zealand)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New Zealand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(New Zealand)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New Zealand</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Singapore Pte. Ltd.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Singapore</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Bush Boake Allen Denmark ApS.</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Denmark</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Bush Boake Allen France</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France</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Zimbabwe (Private)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Zimbabwe</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2820" w:type="dxa"/>
            <w:vAlign w:val="bottom"/>
            <w:gridSpan w:val="4"/>
          </w:tcPr>
          <w:p>
            <w:pPr>
              <w:ind w:left="20"/>
              <w:spacing w:after="0" w:line="99" w:lineRule="exact"/>
              <w:rPr>
                <w:sz w:val="20"/>
                <w:szCs w:val="20"/>
                <w:color w:val="auto"/>
              </w:rPr>
            </w:pPr>
            <w:r>
              <w:rPr>
                <w:rFonts w:ascii="Courier New" w:cs="Courier New" w:eastAsia="Courier New" w:hAnsi="Courier New"/>
                <w:sz w:val="9"/>
                <w:szCs w:val="9"/>
                <w:color w:val="auto"/>
              </w:rPr>
              <w:t>Flavours &amp; Fragrances (India) Limited (2)</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India</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Hindustan Flavours and Fragrances (International) Limited (3)</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India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w w:val="99"/>
              </w:rPr>
              <w:t>Bush Boake Allen (Jamaica) Limited</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(4)</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Jamaica</w:t>
            </w:r>
          </w:p>
        </w:tc>
      </w:tr>
      <w:tr>
        <w:trPr>
          <w:trHeight w:val="99"/>
        </w:trPr>
        <w:tc>
          <w:tcPr>
            <w:tcW w:w="1180" w:type="dxa"/>
            <w:vAlign w:val="bottom"/>
            <w:gridSpan w:val="2"/>
          </w:tcPr>
          <w:p>
            <w:pPr>
              <w:spacing w:after="0" w:line="99" w:lineRule="exact"/>
              <w:rPr>
                <w:sz w:val="20"/>
                <w:szCs w:val="20"/>
                <w:color w:val="auto"/>
              </w:rPr>
            </w:pPr>
            <w:r>
              <w:rPr>
                <w:rFonts w:ascii="Courier New" w:cs="Courier New" w:eastAsia="Courier New" w:hAnsi="Courier New"/>
                <w:sz w:val="9"/>
                <w:szCs w:val="9"/>
                <w:color w:val="auto"/>
              </w:rPr>
              <w:t>Bush Boake Allen (SA)</w:t>
            </w:r>
          </w:p>
        </w:tc>
        <w:tc>
          <w:tcPr>
            <w:tcW w:w="236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(Proprietary)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South Africa</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(Thailand)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Thailand</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Bush Boake Allen Benelux B.V.</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Netherlands</w:t>
            </w:r>
          </w:p>
        </w:tc>
      </w:tr>
      <w:tr>
        <w:trPr>
          <w:trHeight w:val="99"/>
        </w:trPr>
        <w:tc>
          <w:tcPr>
            <w:tcW w:w="72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International</w:t>
            </w:r>
          </w:p>
        </w:tc>
        <w:tc>
          <w:tcPr>
            <w:tcW w:w="46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Flavors</w:t>
            </w:r>
          </w:p>
        </w:tc>
        <w:tc>
          <w:tcPr>
            <w:tcW w:w="100" w:type="dxa"/>
            <w:vAlign w:val="bottom"/>
          </w:tcPr>
          <w:p>
            <w:pPr>
              <w:spacing w:after="0" w:line="99" w:lineRule="exact"/>
              <w:rPr>
                <w:sz w:val="20"/>
                <w:szCs w:val="20"/>
                <w:color w:val="auto"/>
              </w:rPr>
            </w:pPr>
            <w:r>
              <w:rPr>
                <w:rFonts w:ascii="Courier New" w:cs="Courier New" w:eastAsia="Courier New" w:hAnsi="Courier New"/>
                <w:sz w:val="9"/>
                <w:szCs w:val="9"/>
                <w:color w:val="auto"/>
              </w:rPr>
              <w:t>&amp;</w:t>
            </w:r>
          </w:p>
        </w:tc>
        <w:tc>
          <w:tcPr>
            <w:tcW w:w="560" w:type="dxa"/>
            <w:vAlign w:val="bottom"/>
          </w:tcPr>
          <w:p>
            <w:pPr>
              <w:spacing w:after="0" w:line="99" w:lineRule="exact"/>
              <w:rPr>
                <w:sz w:val="20"/>
                <w:szCs w:val="20"/>
                <w:color w:val="auto"/>
              </w:rPr>
            </w:pPr>
            <w:r>
              <w:rPr>
                <w:rFonts w:ascii="Courier New" w:cs="Courier New" w:eastAsia="Courier New" w:hAnsi="Courier New"/>
                <w:sz w:val="9"/>
                <w:szCs w:val="9"/>
                <w:color w:val="auto"/>
                <w:w w:val="99"/>
              </w:rPr>
              <w:t>Fragrances</w:t>
            </w:r>
          </w:p>
        </w:tc>
        <w:tc>
          <w:tcPr>
            <w:tcW w:w="1700" w:type="dxa"/>
            <w:vAlign w:val="bottom"/>
          </w:tcPr>
          <w:p>
            <w:pPr>
              <w:ind w:left="20"/>
              <w:spacing w:after="0" w:line="99" w:lineRule="exact"/>
              <w:rPr>
                <w:sz w:val="20"/>
                <w:szCs w:val="20"/>
                <w:color w:val="auto"/>
              </w:rPr>
            </w:pPr>
            <w:r>
              <w:rPr>
                <w:rFonts w:ascii="Courier New" w:cs="Courier New" w:eastAsia="Courier New" w:hAnsi="Courier New"/>
                <w:sz w:val="9"/>
                <w:szCs w:val="9"/>
                <w:color w:val="auto"/>
              </w:rPr>
              <w:t>I.F.F. (Norden) AB</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Sweden</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Stafford Specialty Ingredients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Bush Boake Allen Pakistan (Private) Limited (5)</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Pakistan</w:t>
            </w:r>
          </w:p>
        </w:tc>
      </w:tr>
      <w:tr>
        <w:trPr>
          <w:trHeight w:val="99"/>
        </w:trPr>
        <w:tc>
          <w:tcPr>
            <w:tcW w:w="1280" w:type="dxa"/>
            <w:vAlign w:val="bottom"/>
            <w:gridSpan w:val="3"/>
          </w:tcPr>
          <w:p>
            <w:pPr>
              <w:spacing w:after="0" w:line="99" w:lineRule="exact"/>
              <w:rPr>
                <w:sz w:val="20"/>
                <w:szCs w:val="20"/>
                <w:color w:val="auto"/>
              </w:rPr>
            </w:pPr>
            <w:r>
              <w:rPr>
                <w:rFonts w:ascii="Courier New" w:cs="Courier New" w:eastAsia="Courier New" w:hAnsi="Courier New"/>
                <w:sz w:val="9"/>
                <w:szCs w:val="9"/>
                <w:color w:val="auto"/>
              </w:rPr>
              <w:t>Asian Investments, Inc.</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Delaware</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w w:val="99"/>
              </w:rPr>
              <w:t>Fragrance Holdings Private Limited</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India</w:t>
            </w:r>
          </w:p>
        </w:tc>
      </w:tr>
      <w:tr>
        <w:trPr>
          <w:trHeight w:val="99"/>
        </w:trPr>
        <w:tc>
          <w:tcPr>
            <w:tcW w:w="3540" w:type="dxa"/>
            <w:vAlign w:val="bottom"/>
            <w:gridSpan w:val="5"/>
          </w:tcPr>
          <w:p>
            <w:pPr>
              <w:spacing w:after="0" w:line="99" w:lineRule="exact"/>
              <w:rPr>
                <w:sz w:val="20"/>
                <w:szCs w:val="20"/>
                <w:color w:val="auto"/>
              </w:rPr>
            </w:pPr>
            <w:r>
              <w:rPr>
                <w:rFonts w:ascii="Courier New" w:cs="Courier New" w:eastAsia="Courier New" w:hAnsi="Courier New"/>
                <w:sz w:val="9"/>
                <w:szCs w:val="9"/>
                <w:color w:val="auto"/>
              </w:rPr>
              <w:t>Essence Scientific Research Private Limited</w:t>
            </w: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India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Jamaica Extracts Limited (6)</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Jamaica</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Bush Boake Allen Barbados Inc.</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Barbados</w:t>
            </w:r>
          </w:p>
        </w:tc>
      </w:tr>
      <w:tr>
        <w:trPr>
          <w:trHeight w:val="99"/>
        </w:trPr>
        <w:tc>
          <w:tcPr>
            <w:tcW w:w="1840" w:type="dxa"/>
            <w:vAlign w:val="bottom"/>
            <w:gridSpan w:val="4"/>
          </w:tcPr>
          <w:p>
            <w:pPr>
              <w:spacing w:after="0" w:line="99" w:lineRule="exact"/>
              <w:rPr>
                <w:sz w:val="20"/>
                <w:szCs w:val="20"/>
                <w:color w:val="auto"/>
              </w:rPr>
            </w:pPr>
            <w:r>
              <w:rPr>
                <w:rFonts w:ascii="Courier New" w:cs="Courier New" w:eastAsia="Courier New" w:hAnsi="Courier New"/>
                <w:sz w:val="9"/>
                <w:szCs w:val="9"/>
                <w:color w:val="auto"/>
              </w:rPr>
              <w:t>Bush Boake Allen Enterprises Ltd.</w:t>
            </w:r>
          </w:p>
        </w:tc>
        <w:tc>
          <w:tcPr>
            <w:tcW w:w="1700" w:type="dxa"/>
            <w:vAlign w:val="bottom"/>
          </w:tcPr>
          <w:p>
            <w:pPr>
              <w:spacing w:after="0"/>
              <w:rPr>
                <w:sz w:val="8"/>
                <w:szCs w:val="8"/>
                <w:color w:val="auto"/>
              </w:rPr>
            </w:pPr>
          </w:p>
        </w:tc>
        <w:tc>
          <w:tcPr>
            <w:tcW w:w="1320" w:type="dxa"/>
            <w:vAlign w:val="bottom"/>
          </w:tcPr>
          <w:p>
            <w:pPr>
              <w:ind w:left="40"/>
              <w:spacing w:after="0" w:line="99" w:lineRule="exact"/>
              <w:rPr>
                <w:sz w:val="20"/>
                <w:szCs w:val="20"/>
                <w:color w:val="auto"/>
              </w:rPr>
            </w:pPr>
            <w:r>
              <w:rPr>
                <w:rFonts w:ascii="Courier New" w:cs="Courier New" w:eastAsia="Courier New" w:hAnsi="Courier New"/>
                <w:sz w:val="9"/>
                <w:szCs w:val="9"/>
                <w:color w:val="auto"/>
              </w:rPr>
              <w:t>England</w:t>
            </w:r>
          </w:p>
        </w:tc>
      </w:tr>
      <w:tr>
        <w:trPr>
          <w:trHeight w:val="100"/>
        </w:trPr>
        <w:tc>
          <w:tcPr>
            <w:tcW w:w="3540" w:type="dxa"/>
            <w:vAlign w:val="bottom"/>
            <w:gridSpan w:val="5"/>
          </w:tcPr>
          <w:p>
            <w:pPr>
              <w:spacing w:after="0" w:line="100" w:lineRule="exact"/>
              <w:rPr>
                <w:sz w:val="20"/>
                <w:szCs w:val="20"/>
                <w:color w:val="auto"/>
              </w:rPr>
            </w:pPr>
            <w:r>
              <w:rPr>
                <w:rFonts w:ascii="Courier New" w:cs="Courier New" w:eastAsia="Courier New" w:hAnsi="Courier New"/>
                <w:sz w:val="9"/>
                <w:szCs w:val="9"/>
                <w:color w:val="auto"/>
              </w:rPr>
              <w:t>Celessence International Limited (7)</w:t>
            </w:r>
          </w:p>
        </w:tc>
        <w:tc>
          <w:tcPr>
            <w:tcW w:w="1320" w:type="dxa"/>
            <w:vAlign w:val="bottom"/>
          </w:tcPr>
          <w:p>
            <w:pPr>
              <w:ind w:left="40"/>
              <w:spacing w:after="0" w:line="100" w:lineRule="exact"/>
              <w:rPr>
                <w:sz w:val="20"/>
                <w:szCs w:val="20"/>
                <w:color w:val="auto"/>
              </w:rPr>
            </w:pPr>
            <w:r>
              <w:rPr>
                <w:rFonts w:ascii="Courier New" w:cs="Courier New" w:eastAsia="Courier New" w:hAnsi="Courier New"/>
                <w:sz w:val="9"/>
                <w:szCs w:val="9"/>
                <w:color w:val="auto"/>
              </w:rPr>
              <w:t>England</w:t>
            </w:r>
          </w:p>
        </w:tc>
      </w:tr>
    </w:tbl>
    <w:p>
      <w:pPr>
        <w:spacing w:after="0" w:line="300"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 ----------</w:t>
      </w:r>
    </w:p>
    <w:p>
      <w:pPr>
        <w:spacing w:after="0" w:line="3" w:lineRule="exact"/>
        <w:rPr>
          <w:sz w:val="20"/>
          <w:szCs w:val="20"/>
          <w:color w:val="auto"/>
        </w:rPr>
      </w:pPr>
    </w:p>
    <w:p>
      <w:pPr>
        <w:ind w:left="381" w:right="429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90% of the voting stock of International Flavors &amp; Fragrances (Hangzhou) Co. Ltd., is owned, directly or indirectly, by the Company.</w:t>
      </w:r>
    </w:p>
    <w:p>
      <w:pPr>
        <w:spacing w:after="0" w:line="151" w:lineRule="exact"/>
        <w:rPr>
          <w:rFonts w:ascii="Courier New" w:cs="Courier New" w:eastAsia="Courier New" w:hAnsi="Courier New"/>
          <w:sz w:val="13"/>
          <w:szCs w:val="13"/>
          <w:color w:val="auto"/>
        </w:rPr>
      </w:pPr>
    </w:p>
    <w:p>
      <w:pPr>
        <w:ind w:left="381" w:right="421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93.28% of the voting stock of International Flavours &amp; Fragrances (India) Limited is owned, directly or indirectly, by the Company.</w:t>
      </w:r>
    </w:p>
    <w:p>
      <w:pPr>
        <w:spacing w:after="0" w:line="151" w:lineRule="exact"/>
        <w:rPr>
          <w:rFonts w:ascii="Courier New" w:cs="Courier New" w:eastAsia="Courier New" w:hAnsi="Courier New"/>
          <w:sz w:val="13"/>
          <w:szCs w:val="13"/>
          <w:color w:val="auto"/>
        </w:rPr>
      </w:pPr>
    </w:p>
    <w:p>
      <w:pPr>
        <w:ind w:left="381" w:right="4219" w:hanging="381"/>
        <w:spacing w:after="0" w:line="277" w:lineRule="auto"/>
        <w:tabs>
          <w:tab w:leader="none" w:pos="381"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93.28% of the voting stock of Hindustan Flavours and Fragrances (International) Limited is owned, directly or indirectly, by the Company.</w:t>
      </w:r>
    </w:p>
    <w:p>
      <w:pPr>
        <w:spacing w:after="0" w:line="131" w:lineRule="exact"/>
        <w:rPr>
          <w:rFonts w:ascii="Courier New" w:cs="Courier New" w:eastAsia="Courier New" w:hAnsi="Courier New"/>
          <w:sz w:val="12"/>
          <w:szCs w:val="12"/>
          <w:color w:val="auto"/>
        </w:rPr>
      </w:pPr>
    </w:p>
    <w:p>
      <w:pPr>
        <w:ind w:left="381" w:right="437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70% of the voting stock of Bush Boake Allen (Jamaica) Limited is owned, directly or indirectly, by the Company.</w:t>
      </w:r>
    </w:p>
    <w:p>
      <w:pPr>
        <w:spacing w:after="0" w:line="200" w:lineRule="exact"/>
        <w:rPr>
          <w:rFonts w:ascii="Courier New" w:cs="Courier New" w:eastAsia="Courier New" w:hAnsi="Courier New"/>
          <w:sz w:val="13"/>
          <w:szCs w:val="13"/>
          <w:color w:val="auto"/>
        </w:rPr>
      </w:pPr>
    </w:p>
    <w:p>
      <w:pPr>
        <w:spacing w:after="0" w:line="248" w:lineRule="exact"/>
        <w:rPr>
          <w:rFonts w:ascii="Courier New" w:cs="Courier New" w:eastAsia="Courier New" w:hAnsi="Courier New"/>
          <w:sz w:val="13"/>
          <w:szCs w:val="13"/>
          <w:color w:val="auto"/>
        </w:rPr>
      </w:pPr>
    </w:p>
    <w:p>
      <w:pPr>
        <w:ind w:left="381" w:right="421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50% of the voting stock of Bush Boake Allen Pakistan (Private) Limited is owned, directly or indirectly, by the Company.</w:t>
      </w:r>
    </w:p>
    <w:p>
      <w:pPr>
        <w:spacing w:after="0" w:line="151" w:lineRule="exact"/>
        <w:rPr>
          <w:rFonts w:ascii="Courier New" w:cs="Courier New" w:eastAsia="Courier New" w:hAnsi="Courier New"/>
          <w:sz w:val="13"/>
          <w:szCs w:val="13"/>
          <w:color w:val="auto"/>
        </w:rPr>
      </w:pPr>
    </w:p>
    <w:p>
      <w:pPr>
        <w:ind w:left="381" w:right="421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58% of the voting stock of Jamaica Extracts Limited is owned, directly or indirectly, by the Company.</w:t>
      </w:r>
    </w:p>
    <w:p>
      <w:pPr>
        <w:spacing w:after="0" w:line="151" w:lineRule="exact"/>
        <w:rPr>
          <w:rFonts w:ascii="Courier New" w:cs="Courier New" w:eastAsia="Courier New" w:hAnsi="Courier New"/>
          <w:sz w:val="13"/>
          <w:szCs w:val="13"/>
          <w:color w:val="auto"/>
        </w:rPr>
      </w:pPr>
    </w:p>
    <w:p>
      <w:pPr>
        <w:ind w:left="381" w:right="4539" w:hanging="381"/>
        <w:spacing w:after="0" w:line="239" w:lineRule="auto"/>
        <w:tabs>
          <w:tab w:leader="none" w:pos="381"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70% of the voting stock of Celessence International Limited is owned, directly or indirectly, by the Company.</w:t>
      </w:r>
    </w:p>
    <w:p>
      <w:pPr>
        <w:sectPr>
          <w:pgSz w:w="11900" w:h="16838" w:orient="portrait"/>
          <w:cols w:equalWidth="0" w:num="1">
            <w:col w:w="10240"/>
          </w:cols>
          <w:pgMar w:left="219" w:top="436" w:right="1440" w:bottom="0" w:gutter="0" w:footer="0" w:header="0"/>
        </w:sectPr>
      </w:pPr>
    </w:p>
    <w:bookmarkStart w:id="49" w:name="page50"/>
    <w:bookmarkEnd w:id="49"/>
    <w:p>
      <w:pPr>
        <w:spacing w:after="0" w:line="239" w:lineRule="auto"/>
        <w:tabs>
          <w:tab w:leader="none" w:pos="381" w:val="left"/>
        </w:tabs>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5280"/>
        <w:spacing w:after="0"/>
        <w:rPr>
          <w:sz w:val="20"/>
          <w:szCs w:val="20"/>
          <w:color w:val="auto"/>
        </w:rPr>
      </w:pPr>
      <w:r>
        <w:rPr>
          <w:rFonts w:ascii="Arial" w:cs="Arial" w:eastAsia="Arial" w:hAnsi="Arial"/>
          <w:sz w:val="13"/>
          <w:szCs w:val="13"/>
          <w:b w:val="1"/>
          <w:bCs w:val="1"/>
          <w:color w:val="auto"/>
        </w:rPr>
        <w:t>EXHIBIT 23</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2" w:lineRule="exact"/>
        <w:rPr>
          <w:sz w:val="20"/>
          <w:szCs w:val="20"/>
          <w:color w:val="auto"/>
        </w:rPr>
      </w:pPr>
    </w:p>
    <w:p>
      <w:pPr>
        <w:ind w:right="4279" w:firstLine="263"/>
        <w:spacing w:after="0" w:line="284" w:lineRule="auto"/>
        <w:rPr>
          <w:sz w:val="20"/>
          <w:szCs w:val="20"/>
          <w:color w:val="auto"/>
        </w:rPr>
      </w:pPr>
      <w:r>
        <w:rPr>
          <w:rFonts w:ascii="Arial" w:cs="Arial" w:eastAsia="Arial" w:hAnsi="Arial"/>
          <w:sz w:val="12"/>
          <w:szCs w:val="12"/>
          <w:color w:val="auto"/>
        </w:rPr>
        <w:t>We hereby consent to the incorporation by reference in the Registration Statements on Form S-3 (No. 333-46932, No. 333-59689 and No. 333-47856) and Form S-8 (No. 333-126421, No. 333-120158, No. 333-102825, No. 333-61072, No. 333-51436, No. 333-50752 and No. 33-54423) of International Flavors &amp; Fragrances Inc. of our report dated February 22, 2007 relating to the financial statements, management’s assessment of the effectiveness of internal control over financial reporting and the effectiveness of internal control over financial reporting and financial statement schedule, which appear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49375" cy="635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4937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207010</wp:posOffset>
            </wp:positionV>
            <wp:extent cx="4809490" cy="3810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4809490" cy="38100"/>
                    </a:xfrm>
                    <a:prstGeom prst="rect">
                      <a:avLst/>
                    </a:prstGeom>
                    <a:noFill/>
                  </pic:spPr>
                </pic:pic>
              </a:graphicData>
            </a:graphic>
          </wp:anchor>
        </w:drawing>
      </w:r>
    </w:p>
    <w:p>
      <w:pPr>
        <w:sectPr>
          <w:pgSz w:w="11900" w:h="16838" w:orient="portrait"/>
          <w:cols w:equalWidth="0" w:num="1">
            <w:col w:w="10239"/>
          </w:cols>
          <w:pgMar w:left="220" w:top="206" w:right="1440" w:bottom="1440" w:gutter="0" w:footer="0" w:header="0"/>
        </w:sectPr>
      </w:pPr>
    </w:p>
    <w:bookmarkStart w:id="51" w:name="page52"/>
    <w:bookmarkEnd w:id="51"/>
    <w:p>
      <w:pPr>
        <w:jc w:val="right"/>
        <w:ind w:right="4079"/>
        <w:spacing w:after="0"/>
        <w:rPr>
          <w:sz w:val="20"/>
          <w:szCs w:val="20"/>
          <w:color w:val="auto"/>
        </w:rPr>
      </w:pPr>
      <w:r>
        <w:rPr>
          <w:rFonts w:ascii="Courier New" w:cs="Courier New" w:eastAsia="Courier New" w:hAnsi="Courier New"/>
          <w:sz w:val="13"/>
          <w:szCs w:val="13"/>
          <w:color w:val="auto"/>
        </w:rPr>
        <w:t>Exhibit 31.1</w:t>
      </w:r>
    </w:p>
    <w:p>
      <w:pPr>
        <w:spacing w:after="0" w:line="149" w:lineRule="exact"/>
        <w:rPr>
          <w:sz w:val="20"/>
          <w:szCs w:val="20"/>
          <w:color w:val="auto"/>
        </w:rPr>
      </w:pPr>
    </w:p>
    <w:p>
      <w:pPr>
        <w:ind w:left="2621"/>
        <w:spacing w:after="0"/>
        <w:rPr>
          <w:sz w:val="20"/>
          <w:szCs w:val="20"/>
          <w:color w:val="auto"/>
        </w:rPr>
      </w:pPr>
      <w:r>
        <w:rPr>
          <w:rFonts w:ascii="Courier New" w:cs="Courier New" w:eastAsia="Courier New" w:hAnsi="Courier New"/>
          <w:sz w:val="13"/>
          <w:szCs w:val="13"/>
          <w:color w:val="auto"/>
        </w:rPr>
        <w:t>CERTIFICATION</w:t>
      </w:r>
    </w:p>
    <w:p>
      <w:pPr>
        <w:spacing w:after="0" w:line="149"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I, Robert M. Amen, certify that:</w:t>
      </w:r>
    </w:p>
    <w:p>
      <w:pPr>
        <w:spacing w:after="0" w:line="152" w:lineRule="exact"/>
        <w:rPr>
          <w:sz w:val="20"/>
          <w:szCs w:val="20"/>
          <w:color w:val="auto"/>
        </w:rPr>
      </w:pPr>
    </w:p>
    <w:p>
      <w:pPr>
        <w:ind w:left="381" w:right="4139" w:hanging="381"/>
        <w:spacing w:after="0" w:line="239" w:lineRule="auto"/>
        <w:tabs>
          <w:tab w:leader="none" w:pos="381"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International Flavors &amp; Fragrances Inc.;</w:t>
      </w:r>
    </w:p>
    <w:p>
      <w:pPr>
        <w:spacing w:after="0" w:line="151" w:lineRule="exact"/>
        <w:rPr>
          <w:rFonts w:ascii="Courier New" w:cs="Courier New" w:eastAsia="Courier New" w:hAnsi="Courier New"/>
          <w:sz w:val="13"/>
          <w:szCs w:val="13"/>
          <w:color w:val="auto"/>
        </w:rPr>
      </w:pPr>
    </w:p>
    <w:p>
      <w:pPr>
        <w:ind w:left="381" w:right="4079" w:hanging="381"/>
        <w:spacing w:after="0"/>
        <w:tabs>
          <w:tab w:leader="none" w:pos="381"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Courier New" w:cs="Courier New" w:eastAsia="Courier New" w:hAnsi="Courier New"/>
          <w:sz w:val="13"/>
          <w:szCs w:val="13"/>
          <w:color w:val="auto"/>
        </w:rPr>
      </w:pPr>
    </w:p>
    <w:p>
      <w:pPr>
        <w:ind w:left="381" w:right="4219" w:hanging="381"/>
        <w:spacing w:after="0"/>
        <w:tabs>
          <w:tab w:leader="none" w:pos="381"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Courier New" w:cs="Courier New" w:eastAsia="Courier New" w:hAnsi="Courier New"/>
          <w:sz w:val="13"/>
          <w:szCs w:val="13"/>
          <w:color w:val="auto"/>
        </w:rPr>
      </w:pPr>
    </w:p>
    <w:p>
      <w:pPr>
        <w:ind w:left="381" w:right="4079" w:hanging="381"/>
        <w:spacing w:after="0" w:line="261" w:lineRule="auto"/>
        <w:tabs>
          <w:tab w:leader="none" w:pos="381"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8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15d-15(f)) for the registrant and have:</w:t>
      </w:r>
    </w:p>
    <w:p>
      <w:pPr>
        <w:spacing w:after="0" w:line="151" w:lineRule="exact"/>
        <w:rPr>
          <w:rFonts w:ascii="Courier New" w:cs="Courier New" w:eastAsia="Courier New" w:hAnsi="Courier New"/>
          <w:sz w:val="12"/>
          <w:szCs w:val="12"/>
          <w:color w:val="auto"/>
        </w:rPr>
      </w:pPr>
    </w:p>
    <w:p>
      <w:pPr>
        <w:ind w:left="1161" w:right="4139" w:hanging="390"/>
        <w:spacing w:after="0"/>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Courier New" w:cs="Courier New" w:eastAsia="Courier New" w:hAnsi="Courier New"/>
          <w:sz w:val="13"/>
          <w:szCs w:val="13"/>
          <w:color w:val="auto"/>
        </w:rPr>
      </w:pPr>
    </w:p>
    <w:p>
      <w:pPr>
        <w:ind w:left="1161" w:right="4219" w:hanging="390"/>
        <w:spacing w:after="0"/>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Courier New" w:cs="Courier New" w:eastAsia="Courier New" w:hAnsi="Courier New"/>
          <w:sz w:val="13"/>
          <w:szCs w:val="13"/>
          <w:color w:val="auto"/>
        </w:rPr>
      </w:pPr>
    </w:p>
    <w:p>
      <w:pPr>
        <w:ind w:left="1161" w:right="4299" w:hanging="390"/>
        <w:spacing w:after="0"/>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Courier New" w:cs="Courier New" w:eastAsia="Courier New" w:hAnsi="Courier New"/>
          <w:sz w:val="13"/>
          <w:szCs w:val="13"/>
          <w:color w:val="auto"/>
        </w:rPr>
      </w:pPr>
    </w:p>
    <w:p>
      <w:pPr>
        <w:ind w:left="1161" w:right="4139" w:hanging="390"/>
        <w:spacing w:after="0" w:line="241" w:lineRule="auto"/>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Courier New" w:cs="Courier New" w:eastAsia="Courier New" w:hAnsi="Courier New"/>
          <w:sz w:val="13"/>
          <w:szCs w:val="13"/>
          <w:color w:val="auto"/>
        </w:rPr>
      </w:pPr>
    </w:p>
    <w:p>
      <w:pPr>
        <w:spacing w:after="0" w:line="247" w:lineRule="exact"/>
        <w:rPr>
          <w:rFonts w:ascii="Courier New" w:cs="Courier New" w:eastAsia="Courier New" w:hAnsi="Courier New"/>
          <w:sz w:val="13"/>
          <w:szCs w:val="13"/>
          <w:color w:val="auto"/>
        </w:rPr>
      </w:pPr>
    </w:p>
    <w:p>
      <w:pPr>
        <w:jc w:val="both"/>
        <w:ind w:left="381" w:right="4079" w:hanging="381"/>
        <w:spacing w:after="0" w:line="267" w:lineRule="auto"/>
        <w:tabs>
          <w:tab w:leader="none" w:pos="381"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Courier New" w:cs="Courier New" w:eastAsia="Courier New" w:hAnsi="Courier New"/>
          <w:sz w:val="12"/>
          <w:szCs w:val="12"/>
          <w:color w:val="auto"/>
        </w:rPr>
      </w:pPr>
    </w:p>
    <w:p>
      <w:pPr>
        <w:ind w:left="1161" w:right="4139" w:hanging="390"/>
        <w:spacing w:after="0"/>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Courier New" w:cs="Courier New" w:eastAsia="Courier New" w:hAnsi="Courier New"/>
          <w:sz w:val="13"/>
          <w:szCs w:val="13"/>
          <w:color w:val="auto"/>
        </w:rPr>
      </w:pPr>
    </w:p>
    <w:p>
      <w:pPr>
        <w:jc w:val="both"/>
        <w:ind w:left="1161" w:right="4219" w:hanging="390"/>
        <w:spacing w:after="0" w:line="239" w:lineRule="auto"/>
        <w:tabs>
          <w:tab w:leader="none" w:pos="1161"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Date: February 22, 2007</w:t>
      </w:r>
    </w:p>
    <w:p>
      <w:pPr>
        <w:spacing w:after="0" w:line="298" w:lineRule="exact"/>
        <w:rPr>
          <w:sz w:val="20"/>
          <w:szCs w:val="20"/>
          <w:color w:val="auto"/>
        </w:rPr>
      </w:pPr>
    </w:p>
    <w:p>
      <w:pPr>
        <w:ind w:left="3701"/>
        <w:spacing w:after="0"/>
        <w:tabs>
          <w:tab w:leader="none" w:pos="406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2"/>
          <w:szCs w:val="12"/>
          <w:color w:val="auto"/>
        </w:rPr>
        <w:t>/s/ Robert M. Amen</w:t>
      </w:r>
    </w:p>
    <w:p>
      <w:pPr>
        <w:spacing w:after="0" w:line="3" w:lineRule="exact"/>
        <w:rPr>
          <w:sz w:val="20"/>
          <w:szCs w:val="20"/>
          <w:color w:val="auto"/>
        </w:rPr>
      </w:pPr>
    </w:p>
    <w:p>
      <w:pPr>
        <w:ind w:left="400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701"/>
        <w:spacing w:after="0"/>
        <w:rPr>
          <w:sz w:val="20"/>
          <w:szCs w:val="20"/>
          <w:color w:val="auto"/>
        </w:rPr>
      </w:pPr>
      <w:r>
        <w:rPr>
          <w:rFonts w:ascii="Courier New" w:cs="Courier New" w:eastAsia="Courier New" w:hAnsi="Courier New"/>
          <w:sz w:val="13"/>
          <w:szCs w:val="13"/>
          <w:color w:val="auto"/>
        </w:rPr>
        <w:t>Name: Robert M. Amen</w:t>
      </w:r>
    </w:p>
    <w:p>
      <w:pPr>
        <w:spacing w:after="0" w:line="3" w:lineRule="exact"/>
        <w:rPr>
          <w:sz w:val="20"/>
          <w:szCs w:val="20"/>
          <w:color w:val="auto"/>
        </w:rPr>
      </w:pPr>
    </w:p>
    <w:p>
      <w:pPr>
        <w:ind w:left="3701"/>
        <w:spacing w:after="0"/>
        <w:rPr>
          <w:sz w:val="20"/>
          <w:szCs w:val="20"/>
          <w:color w:val="auto"/>
        </w:rPr>
      </w:pPr>
      <w:r>
        <w:rPr>
          <w:rFonts w:ascii="Courier New" w:cs="Courier New" w:eastAsia="Courier New" w:hAnsi="Courier New"/>
          <w:sz w:val="12"/>
          <w:szCs w:val="12"/>
          <w:color w:val="auto"/>
        </w:rPr>
        <w:t>Title: Chairman of the Board and</w:t>
      </w:r>
    </w:p>
    <w:p>
      <w:pPr>
        <w:spacing w:after="0" w:line="10" w:lineRule="exact"/>
        <w:rPr>
          <w:sz w:val="20"/>
          <w:szCs w:val="20"/>
          <w:color w:val="auto"/>
        </w:rPr>
      </w:pPr>
    </w:p>
    <w:p>
      <w:pPr>
        <w:ind w:left="4241"/>
        <w:spacing w:after="0"/>
        <w:rPr>
          <w:sz w:val="20"/>
          <w:szCs w:val="20"/>
          <w:color w:val="auto"/>
        </w:rPr>
      </w:pPr>
      <w:r>
        <w:rPr>
          <w:rFonts w:ascii="Courier New" w:cs="Courier New" w:eastAsia="Courier New" w:hAnsi="Courier New"/>
          <w:sz w:val="13"/>
          <w:szCs w:val="13"/>
          <w:color w:val="auto"/>
        </w:rPr>
        <w:t>Chief Executive Officer</w:t>
      </w:r>
    </w:p>
    <w:p>
      <w:pPr>
        <w:sectPr>
          <w:pgSz w:w="11900" w:h="16838" w:orient="portrait"/>
          <w:cols w:equalWidth="0" w:num="1">
            <w:col w:w="10240"/>
          </w:cols>
          <w:pgMar w:left="219" w:top="436" w:right="1440" w:bottom="1440" w:gutter="0" w:footer="0" w:header="0"/>
        </w:sectPr>
      </w:pPr>
    </w:p>
    <w:bookmarkStart w:id="52" w:name="page53"/>
    <w:bookmarkEnd w:id="52"/>
    <w:p>
      <w:pPr>
        <w:jc w:val="right"/>
        <w:ind w:right="4079"/>
        <w:spacing w:after="0"/>
        <w:rPr>
          <w:sz w:val="20"/>
          <w:szCs w:val="20"/>
          <w:color w:val="auto"/>
        </w:rPr>
      </w:pPr>
      <w:r>
        <w:rPr>
          <w:rFonts w:ascii="Courier New" w:cs="Courier New" w:eastAsia="Courier New" w:hAnsi="Courier New"/>
          <w:sz w:val="13"/>
          <w:szCs w:val="13"/>
          <w:color w:val="auto"/>
        </w:rPr>
        <w:t>Exhibit 31.2</w:t>
      </w:r>
    </w:p>
    <w:p>
      <w:pPr>
        <w:spacing w:after="0" w:line="149" w:lineRule="exact"/>
        <w:rPr>
          <w:sz w:val="20"/>
          <w:szCs w:val="20"/>
          <w:color w:val="auto"/>
        </w:rPr>
      </w:pPr>
    </w:p>
    <w:p>
      <w:pPr>
        <w:ind w:left="2621"/>
        <w:spacing w:after="0"/>
        <w:rPr>
          <w:sz w:val="20"/>
          <w:szCs w:val="20"/>
          <w:color w:val="auto"/>
        </w:rPr>
      </w:pPr>
      <w:r>
        <w:rPr>
          <w:rFonts w:ascii="Courier New" w:cs="Courier New" w:eastAsia="Courier New" w:hAnsi="Courier New"/>
          <w:sz w:val="13"/>
          <w:szCs w:val="13"/>
          <w:color w:val="auto"/>
        </w:rPr>
        <w:t>CERTIFICATION</w:t>
      </w:r>
    </w:p>
    <w:p>
      <w:pPr>
        <w:spacing w:after="0" w:line="149"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I, Douglas J. Wetmore, certify that:</w:t>
      </w:r>
    </w:p>
    <w:p>
      <w:pPr>
        <w:spacing w:after="0" w:line="152" w:lineRule="exact"/>
        <w:rPr>
          <w:sz w:val="20"/>
          <w:szCs w:val="20"/>
          <w:color w:val="auto"/>
        </w:rPr>
      </w:pPr>
    </w:p>
    <w:p>
      <w:pPr>
        <w:ind w:left="381" w:right="4139" w:hanging="381"/>
        <w:spacing w:after="0" w:line="239" w:lineRule="auto"/>
        <w:tabs>
          <w:tab w:leader="none" w:pos="381"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 have reviewed this Annual Report on Form 10-K of International Flavors &amp; Fragrances Inc.;</w:t>
      </w:r>
    </w:p>
    <w:p>
      <w:pPr>
        <w:spacing w:after="0" w:line="151" w:lineRule="exact"/>
        <w:rPr>
          <w:rFonts w:ascii="Courier New" w:cs="Courier New" w:eastAsia="Courier New" w:hAnsi="Courier New"/>
          <w:sz w:val="13"/>
          <w:szCs w:val="13"/>
          <w:color w:val="auto"/>
        </w:rPr>
      </w:pPr>
    </w:p>
    <w:p>
      <w:pPr>
        <w:ind w:left="381" w:right="4079" w:hanging="381"/>
        <w:spacing w:after="0"/>
        <w:tabs>
          <w:tab w:leader="none" w:pos="381"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Courier New" w:cs="Courier New" w:eastAsia="Courier New" w:hAnsi="Courier New"/>
          <w:sz w:val="13"/>
          <w:szCs w:val="13"/>
          <w:color w:val="auto"/>
        </w:rPr>
      </w:pPr>
    </w:p>
    <w:p>
      <w:pPr>
        <w:ind w:left="381" w:right="4219" w:hanging="381"/>
        <w:spacing w:after="0"/>
        <w:tabs>
          <w:tab w:leader="none" w:pos="381"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Courier New" w:cs="Courier New" w:eastAsia="Courier New" w:hAnsi="Courier New"/>
          <w:sz w:val="13"/>
          <w:szCs w:val="13"/>
          <w:color w:val="auto"/>
        </w:rPr>
      </w:pPr>
    </w:p>
    <w:p>
      <w:pPr>
        <w:ind w:left="381" w:right="4079" w:hanging="381"/>
        <w:spacing w:after="0" w:line="261" w:lineRule="auto"/>
        <w:tabs>
          <w:tab w:leader="none" w:pos="381"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8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15d-15(f)) for the registrant and have:</w:t>
      </w:r>
    </w:p>
    <w:p>
      <w:pPr>
        <w:spacing w:after="0" w:line="151" w:lineRule="exact"/>
        <w:rPr>
          <w:rFonts w:ascii="Courier New" w:cs="Courier New" w:eastAsia="Courier New" w:hAnsi="Courier New"/>
          <w:sz w:val="12"/>
          <w:szCs w:val="12"/>
          <w:color w:val="auto"/>
        </w:rPr>
      </w:pPr>
    </w:p>
    <w:p>
      <w:pPr>
        <w:ind w:left="1161" w:right="4139" w:hanging="390"/>
        <w:spacing w:after="0"/>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Courier New" w:cs="Courier New" w:eastAsia="Courier New" w:hAnsi="Courier New"/>
          <w:sz w:val="13"/>
          <w:szCs w:val="13"/>
          <w:color w:val="auto"/>
        </w:rPr>
      </w:pPr>
    </w:p>
    <w:p>
      <w:pPr>
        <w:ind w:left="1161" w:right="4219" w:hanging="390"/>
        <w:spacing w:after="0"/>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Courier New" w:cs="Courier New" w:eastAsia="Courier New" w:hAnsi="Courier New"/>
          <w:sz w:val="13"/>
          <w:szCs w:val="13"/>
          <w:color w:val="auto"/>
        </w:rPr>
      </w:pPr>
    </w:p>
    <w:p>
      <w:pPr>
        <w:ind w:left="1161" w:right="4299" w:hanging="390"/>
        <w:spacing w:after="0"/>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Courier New" w:cs="Courier New" w:eastAsia="Courier New" w:hAnsi="Courier New"/>
          <w:sz w:val="13"/>
          <w:szCs w:val="13"/>
          <w:color w:val="auto"/>
        </w:rPr>
      </w:pPr>
    </w:p>
    <w:p>
      <w:pPr>
        <w:ind w:left="1161" w:right="4139" w:hanging="390"/>
        <w:spacing w:after="0" w:line="241" w:lineRule="auto"/>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Courier New" w:cs="Courier New" w:eastAsia="Courier New" w:hAnsi="Courier New"/>
          <w:sz w:val="13"/>
          <w:szCs w:val="13"/>
          <w:color w:val="auto"/>
        </w:rPr>
      </w:pPr>
    </w:p>
    <w:p>
      <w:pPr>
        <w:spacing w:after="0" w:line="247" w:lineRule="exact"/>
        <w:rPr>
          <w:rFonts w:ascii="Courier New" w:cs="Courier New" w:eastAsia="Courier New" w:hAnsi="Courier New"/>
          <w:sz w:val="13"/>
          <w:szCs w:val="13"/>
          <w:color w:val="auto"/>
        </w:rPr>
      </w:pPr>
    </w:p>
    <w:p>
      <w:pPr>
        <w:jc w:val="both"/>
        <w:ind w:left="381" w:right="4079" w:hanging="381"/>
        <w:spacing w:after="0" w:line="267" w:lineRule="auto"/>
        <w:tabs>
          <w:tab w:leader="none" w:pos="381"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Courier New" w:cs="Courier New" w:eastAsia="Courier New" w:hAnsi="Courier New"/>
          <w:sz w:val="12"/>
          <w:szCs w:val="12"/>
          <w:color w:val="auto"/>
        </w:rPr>
      </w:pPr>
    </w:p>
    <w:p>
      <w:pPr>
        <w:ind w:left="1161" w:right="4139" w:hanging="390"/>
        <w:spacing w:after="0"/>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Courier New" w:cs="Courier New" w:eastAsia="Courier New" w:hAnsi="Courier New"/>
          <w:sz w:val="13"/>
          <w:szCs w:val="13"/>
          <w:color w:val="auto"/>
        </w:rPr>
      </w:pPr>
    </w:p>
    <w:p>
      <w:pPr>
        <w:jc w:val="both"/>
        <w:ind w:left="1161" w:right="4219" w:hanging="390"/>
        <w:spacing w:after="0" w:line="239" w:lineRule="auto"/>
        <w:tabs>
          <w:tab w:leader="none" w:pos="1161"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Date: February 22, 2007</w:t>
      </w:r>
    </w:p>
    <w:p>
      <w:pPr>
        <w:spacing w:after="0" w:line="298" w:lineRule="exact"/>
        <w:rPr>
          <w:sz w:val="20"/>
          <w:szCs w:val="20"/>
          <w:color w:val="auto"/>
        </w:rPr>
      </w:pPr>
    </w:p>
    <w:p>
      <w:pPr>
        <w:ind w:left="3701"/>
        <w:spacing w:after="0"/>
        <w:tabs>
          <w:tab w:leader="none" w:pos="406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2"/>
          <w:szCs w:val="12"/>
          <w:color w:val="auto"/>
        </w:rPr>
        <w:t>/s/ Douglas J. Wetmore</w:t>
      </w:r>
    </w:p>
    <w:p>
      <w:pPr>
        <w:spacing w:after="0" w:line="3" w:lineRule="exact"/>
        <w:rPr>
          <w:sz w:val="20"/>
          <w:szCs w:val="20"/>
          <w:color w:val="auto"/>
        </w:rPr>
      </w:pPr>
    </w:p>
    <w:p>
      <w:pPr>
        <w:ind w:left="4001"/>
        <w:spacing w:after="0"/>
        <w:rPr>
          <w:sz w:val="20"/>
          <w:szCs w:val="20"/>
          <w:color w:val="auto"/>
        </w:rPr>
      </w:pPr>
      <w:r>
        <w:rPr>
          <w:rFonts w:ascii="Courier New" w:cs="Courier New" w:eastAsia="Courier New" w:hAnsi="Courier New"/>
          <w:sz w:val="12"/>
          <w:szCs w:val="12"/>
          <w:color w:val="auto"/>
        </w:rPr>
        <w:t>----------------------------</w:t>
      </w:r>
    </w:p>
    <w:p>
      <w:pPr>
        <w:spacing w:after="0" w:line="10" w:lineRule="exact"/>
        <w:rPr>
          <w:sz w:val="20"/>
          <w:szCs w:val="20"/>
          <w:color w:val="auto"/>
        </w:rPr>
      </w:pPr>
    </w:p>
    <w:p>
      <w:pPr>
        <w:ind w:left="3701"/>
        <w:spacing w:after="0"/>
        <w:rPr>
          <w:sz w:val="20"/>
          <w:szCs w:val="20"/>
          <w:color w:val="auto"/>
        </w:rPr>
      </w:pPr>
      <w:r>
        <w:rPr>
          <w:rFonts w:ascii="Courier New" w:cs="Courier New" w:eastAsia="Courier New" w:hAnsi="Courier New"/>
          <w:sz w:val="13"/>
          <w:szCs w:val="13"/>
          <w:color w:val="auto"/>
        </w:rPr>
        <w:t>Name: Douglas J. Wetmore</w:t>
      </w:r>
    </w:p>
    <w:p>
      <w:pPr>
        <w:spacing w:after="0" w:line="3" w:lineRule="exact"/>
        <w:rPr>
          <w:sz w:val="20"/>
          <w:szCs w:val="20"/>
          <w:color w:val="auto"/>
        </w:rPr>
      </w:pPr>
    </w:p>
    <w:p>
      <w:pPr>
        <w:ind w:left="3701"/>
        <w:spacing w:after="0"/>
        <w:rPr>
          <w:sz w:val="20"/>
          <w:szCs w:val="20"/>
          <w:color w:val="auto"/>
        </w:rPr>
      </w:pPr>
      <w:r>
        <w:rPr>
          <w:rFonts w:ascii="Courier New" w:cs="Courier New" w:eastAsia="Courier New" w:hAnsi="Courier New"/>
          <w:sz w:val="12"/>
          <w:szCs w:val="12"/>
          <w:color w:val="auto"/>
        </w:rPr>
        <w:t>Title: Senior Vice President and</w:t>
      </w:r>
    </w:p>
    <w:p>
      <w:pPr>
        <w:spacing w:after="0" w:line="10" w:lineRule="exact"/>
        <w:rPr>
          <w:sz w:val="20"/>
          <w:szCs w:val="20"/>
          <w:color w:val="auto"/>
        </w:rPr>
      </w:pPr>
    </w:p>
    <w:p>
      <w:pPr>
        <w:ind w:left="4241"/>
        <w:spacing w:after="0"/>
        <w:rPr>
          <w:sz w:val="20"/>
          <w:szCs w:val="20"/>
          <w:color w:val="auto"/>
        </w:rPr>
      </w:pPr>
      <w:r>
        <w:rPr>
          <w:rFonts w:ascii="Courier New" w:cs="Courier New" w:eastAsia="Courier New" w:hAnsi="Courier New"/>
          <w:sz w:val="13"/>
          <w:szCs w:val="13"/>
          <w:color w:val="auto"/>
        </w:rPr>
        <w:t>Chief Financial Officer</w:t>
      </w:r>
    </w:p>
    <w:p>
      <w:pPr>
        <w:sectPr>
          <w:pgSz w:w="11900" w:h="16838" w:orient="portrait"/>
          <w:cols w:equalWidth="0" w:num="1">
            <w:col w:w="10240"/>
          </w:cols>
          <w:pgMar w:left="219" w:top="436" w:right="1440" w:bottom="1440" w:gutter="0" w:footer="0" w:header="0"/>
        </w:sectPr>
      </w:pPr>
    </w:p>
    <w:bookmarkStart w:id="53" w:name="page54"/>
    <w:bookmarkEnd w:id="53"/>
    <w:p>
      <w:pPr>
        <w:ind w:left="5401"/>
        <w:spacing w:after="0"/>
        <w:rPr>
          <w:sz w:val="20"/>
          <w:szCs w:val="20"/>
          <w:color w:val="auto"/>
        </w:rPr>
      </w:pPr>
      <w:r>
        <w:rPr>
          <w:rFonts w:ascii="Courier New" w:cs="Courier New" w:eastAsia="Courier New" w:hAnsi="Courier New"/>
          <w:sz w:val="12"/>
          <w:szCs w:val="12"/>
          <w:color w:val="auto"/>
        </w:rPr>
        <w:t>Exhibit 32</w:t>
      </w:r>
    </w:p>
    <w:p>
      <w:pPr>
        <w:spacing w:after="0" w:line="159" w:lineRule="exact"/>
        <w:rPr>
          <w:sz w:val="20"/>
          <w:szCs w:val="20"/>
          <w:color w:val="auto"/>
        </w:rPr>
      </w:pPr>
    </w:p>
    <w:p>
      <w:pPr>
        <w:jc w:val="center"/>
        <w:ind w:right="4078"/>
        <w:spacing w:after="0"/>
        <w:rPr>
          <w:sz w:val="20"/>
          <w:szCs w:val="20"/>
          <w:color w:val="auto"/>
        </w:rPr>
      </w:pPr>
      <w:r>
        <w:rPr>
          <w:rFonts w:ascii="Courier New" w:cs="Courier New" w:eastAsia="Courier New" w:hAnsi="Courier New"/>
          <w:sz w:val="13"/>
          <w:szCs w:val="13"/>
          <w:color w:val="auto"/>
        </w:rPr>
        <w:t>CERTIFICATION OF CEO AND CFO PURSUANT TO 18 U.S.C. SECTION 1350,</w:t>
      </w:r>
    </w:p>
    <w:p>
      <w:pPr>
        <w:spacing w:after="0" w:line="1" w:lineRule="exact"/>
        <w:rPr>
          <w:sz w:val="20"/>
          <w:szCs w:val="20"/>
          <w:color w:val="auto"/>
        </w:rPr>
      </w:pPr>
    </w:p>
    <w:p>
      <w:pPr>
        <w:jc w:val="center"/>
        <w:ind w:right="4078"/>
        <w:spacing w:after="0"/>
        <w:rPr>
          <w:sz w:val="20"/>
          <w:szCs w:val="20"/>
          <w:color w:val="auto"/>
        </w:rPr>
      </w:pPr>
      <w:r>
        <w:rPr>
          <w:rFonts w:ascii="Courier New" w:cs="Courier New" w:eastAsia="Courier New" w:hAnsi="Courier New"/>
          <w:sz w:val="13"/>
          <w:szCs w:val="13"/>
          <w:color w:val="auto"/>
        </w:rPr>
        <w:t>AS ADOPTED PURSUANT TO</w:t>
      </w:r>
    </w:p>
    <w:p>
      <w:pPr>
        <w:spacing w:after="0" w:line="1" w:lineRule="exact"/>
        <w:rPr>
          <w:sz w:val="20"/>
          <w:szCs w:val="20"/>
          <w:color w:val="auto"/>
        </w:rPr>
      </w:pPr>
    </w:p>
    <w:p>
      <w:pPr>
        <w:jc w:val="center"/>
        <w:ind w:right="3998"/>
        <w:spacing w:after="0"/>
        <w:rPr>
          <w:sz w:val="20"/>
          <w:szCs w:val="20"/>
          <w:color w:val="auto"/>
        </w:rPr>
      </w:pPr>
      <w:r>
        <w:rPr>
          <w:rFonts w:ascii="Courier New" w:cs="Courier New" w:eastAsia="Courier New" w:hAnsi="Courier New"/>
          <w:sz w:val="13"/>
          <w:szCs w:val="13"/>
          <w:color w:val="auto"/>
        </w:rPr>
        <w:t>SECTION 906 OF THE SARBANES-OXLEY ACT OF 2002</w:t>
      </w:r>
    </w:p>
    <w:p>
      <w:pPr>
        <w:spacing w:after="0" w:line="152" w:lineRule="exact"/>
        <w:rPr>
          <w:sz w:val="20"/>
          <w:szCs w:val="20"/>
          <w:color w:val="auto"/>
        </w:rPr>
      </w:pPr>
    </w:p>
    <w:p>
      <w:pPr>
        <w:ind w:left="1" w:right="4139"/>
        <w:spacing w:after="0" w:line="241" w:lineRule="auto"/>
        <w:rPr>
          <w:sz w:val="20"/>
          <w:szCs w:val="20"/>
          <w:color w:val="auto"/>
        </w:rPr>
      </w:pPr>
      <w:r>
        <w:rPr>
          <w:rFonts w:ascii="Courier New" w:cs="Courier New" w:eastAsia="Courier New" w:hAnsi="Courier New"/>
          <w:sz w:val="13"/>
          <w:szCs w:val="13"/>
          <w:color w:val="auto"/>
        </w:rPr>
        <w:t>In connection with the Annual Report on Form 10-K of International Flavors &amp; Fragrances Inc. (the "Company") for the fiscal year ended December 31, 2006 as filed with the Securities and Exchange Commission on the date hereof (the "Report"), Robert M. Amen, as Chief Executive Officer of the Company, and Douglas J. Wetmore, as Chief Financial Officer, each hereby certifies, pursuant to 18 U.S.C. (section) 1350, as adopted pursuant to (section) 906 of the Sarbanes-Oxley Act of 2002, that, to the best of his knowledge:</w:t>
      </w:r>
    </w:p>
    <w:p>
      <w:pPr>
        <w:spacing w:after="0" w:line="151" w:lineRule="exact"/>
        <w:rPr>
          <w:sz w:val="20"/>
          <w:szCs w:val="20"/>
          <w:color w:val="auto"/>
        </w:rPr>
      </w:pPr>
    </w:p>
    <w:p>
      <w:pPr>
        <w:ind w:left="1" w:right="4079" w:hanging="1"/>
        <w:spacing w:after="0" w:line="239" w:lineRule="auto"/>
        <w:tabs>
          <w:tab w:leader="none" w:pos="309"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Report fully complies with the requirements of section 13(a) or 15(d) of the Securities Exchange Act of 1934; and</w:t>
      </w:r>
    </w:p>
    <w:p>
      <w:pPr>
        <w:spacing w:after="0" w:line="151" w:lineRule="exact"/>
        <w:rPr>
          <w:rFonts w:ascii="Courier New" w:cs="Courier New" w:eastAsia="Courier New" w:hAnsi="Courier New"/>
          <w:sz w:val="13"/>
          <w:szCs w:val="13"/>
          <w:color w:val="auto"/>
        </w:rPr>
      </w:pPr>
    </w:p>
    <w:p>
      <w:pPr>
        <w:ind w:left="1" w:right="4379" w:hanging="1"/>
        <w:spacing w:after="0" w:line="277" w:lineRule="auto"/>
        <w:tabs>
          <w:tab w:leader="none" w:pos="309"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Dated: February 22, 2007</w:t>
      </w:r>
    </w:p>
    <w:p>
      <w:pPr>
        <w:spacing w:after="0" w:line="298" w:lineRule="exact"/>
        <w:rPr>
          <w:sz w:val="20"/>
          <w:szCs w:val="20"/>
          <w:color w:val="auto"/>
        </w:rPr>
      </w:pPr>
    </w:p>
    <w:p>
      <w:pPr>
        <w:ind w:left="1"/>
        <w:spacing w:after="0"/>
        <w:tabs>
          <w:tab w:leader="none" w:pos="360" w:val="left"/>
        </w:tabs>
        <w:rPr>
          <w:sz w:val="20"/>
          <w:szCs w:val="20"/>
          <w:color w:val="auto"/>
        </w:rPr>
      </w:pPr>
      <w:r>
        <w:rPr>
          <w:rFonts w:ascii="Courier New" w:cs="Courier New" w:eastAsia="Courier New" w:hAnsi="Courier New"/>
          <w:sz w:val="13"/>
          <w:szCs w:val="13"/>
          <w:color w:val="auto"/>
        </w:rPr>
        <w:t>By:</w:t>
        <w:tab/>
        <w:t>/s/ Robert M. Amen</w:t>
      </w:r>
    </w:p>
    <w:p>
      <w:pPr>
        <w:spacing w:after="0" w:line="1" w:lineRule="exact"/>
        <w:rPr>
          <w:sz w:val="20"/>
          <w:szCs w:val="20"/>
          <w:color w:val="auto"/>
        </w:rPr>
      </w:pPr>
    </w:p>
    <w:p>
      <w:pPr>
        <w:ind w:left="301"/>
        <w:spacing w:after="0"/>
        <w:rPr>
          <w:sz w:val="20"/>
          <w:szCs w:val="20"/>
          <w:color w:val="auto"/>
        </w:rPr>
      </w:pPr>
      <w:r>
        <w:rPr>
          <w:rFonts w:ascii="Courier New" w:cs="Courier New" w:eastAsia="Courier New" w:hAnsi="Courier New"/>
          <w:sz w:val="13"/>
          <w:szCs w:val="13"/>
          <w:color w:val="auto"/>
        </w:rPr>
        <w:t>-------------------------</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Name: Robert M. Amen</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Title: Chairman of the Board and</w:t>
      </w:r>
    </w:p>
    <w:p>
      <w:pPr>
        <w:spacing w:after="0" w:line="1" w:lineRule="exact"/>
        <w:rPr>
          <w:sz w:val="20"/>
          <w:szCs w:val="20"/>
          <w:color w:val="auto"/>
        </w:rPr>
      </w:pPr>
    </w:p>
    <w:p>
      <w:pPr>
        <w:ind w:left="541"/>
        <w:spacing w:after="0"/>
        <w:rPr>
          <w:sz w:val="20"/>
          <w:szCs w:val="20"/>
          <w:color w:val="auto"/>
        </w:rPr>
      </w:pPr>
      <w:r>
        <w:rPr>
          <w:rFonts w:ascii="Courier New" w:cs="Courier New" w:eastAsia="Courier New" w:hAnsi="Courier New"/>
          <w:sz w:val="13"/>
          <w:szCs w:val="13"/>
          <w:color w:val="auto"/>
        </w:rPr>
        <w:t>Chief Executive Officer</w:t>
      </w:r>
    </w:p>
    <w:p>
      <w:pPr>
        <w:spacing w:after="0" w:line="298" w:lineRule="exact"/>
        <w:rPr>
          <w:sz w:val="20"/>
          <w:szCs w:val="20"/>
          <w:color w:val="auto"/>
        </w:rPr>
      </w:pPr>
    </w:p>
    <w:p>
      <w:pPr>
        <w:ind w:left="1"/>
        <w:spacing w:after="0"/>
        <w:tabs>
          <w:tab w:leader="none" w:pos="360" w:val="left"/>
        </w:tabs>
        <w:rPr>
          <w:sz w:val="20"/>
          <w:szCs w:val="20"/>
          <w:color w:val="auto"/>
        </w:rPr>
      </w:pPr>
      <w:r>
        <w:rPr>
          <w:rFonts w:ascii="Courier New" w:cs="Courier New" w:eastAsia="Courier New" w:hAnsi="Courier New"/>
          <w:sz w:val="13"/>
          <w:szCs w:val="13"/>
          <w:color w:val="auto"/>
        </w:rPr>
        <w:t>By:</w:t>
        <w:tab/>
        <w:t>/s/ Douglas J. Wetmore</w:t>
      </w:r>
    </w:p>
    <w:p>
      <w:pPr>
        <w:spacing w:after="0" w:line="1" w:lineRule="exact"/>
        <w:rPr>
          <w:sz w:val="20"/>
          <w:szCs w:val="20"/>
          <w:color w:val="auto"/>
        </w:rPr>
      </w:pPr>
    </w:p>
    <w:p>
      <w:pPr>
        <w:ind w:left="301"/>
        <w:spacing w:after="0"/>
        <w:rPr>
          <w:sz w:val="20"/>
          <w:szCs w:val="20"/>
          <w:color w:val="auto"/>
        </w:rPr>
      </w:pPr>
      <w:r>
        <w:rPr>
          <w:rFonts w:ascii="Courier New" w:cs="Courier New" w:eastAsia="Courier New" w:hAnsi="Courier New"/>
          <w:sz w:val="13"/>
          <w:szCs w:val="13"/>
          <w:color w:val="auto"/>
        </w:rPr>
        <w:t>-------------------------</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Name: Douglas J. Wetmore</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Title: Senior Vice President and</w:t>
      </w:r>
    </w:p>
    <w:p>
      <w:pPr>
        <w:spacing w:after="0" w:line="1" w:lineRule="exact"/>
        <w:rPr>
          <w:sz w:val="20"/>
          <w:szCs w:val="20"/>
          <w:color w:val="auto"/>
        </w:rPr>
      </w:pPr>
    </w:p>
    <w:p>
      <w:pPr>
        <w:ind w:left="541"/>
        <w:spacing w:after="0"/>
        <w:rPr>
          <w:sz w:val="20"/>
          <w:szCs w:val="20"/>
          <w:color w:val="auto"/>
        </w:rPr>
      </w:pPr>
      <w:r>
        <w:rPr>
          <w:rFonts w:ascii="Courier New" w:cs="Courier New" w:eastAsia="Courier New" w:hAnsi="Courier New"/>
          <w:sz w:val="13"/>
          <w:szCs w:val="13"/>
          <w:color w:val="auto"/>
        </w:rPr>
        <w:t>Chief Financial Officer</w:t>
      </w:r>
    </w:p>
    <w:p>
      <w:pPr>
        <w:sectPr>
          <w:pgSz w:w="11900" w:h="16838" w:orient="portrait"/>
          <w:cols w:equalWidth="0" w:num="1">
            <w:col w:w="10240"/>
          </w:cols>
          <w:pgMar w:left="219" w:top="438" w:right="1440" w:bottom="1440" w:gutter="0" w:footer="0" w:header="0"/>
        </w:sectPr>
      </w:pPr>
    </w:p>
    <w:bookmarkStart w:id="54" w:name="page55"/>
    <w:bookmarkEnd w:id="54"/>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begin 644 html_piechart1.jpg M_]C_X``02D9)1@`!`0$!(`$@``#__@`V($EM86=E(&amp;=E;F5R871E9"!B&gt;2!'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M3E4@1VAOS"E2!E-/P(R0E8GBAL3,W0K+6\28G1X*#P&gt;'_Q``&gt;`0$` M``-,8UX9&amp;88^(AX&lt;_V!XY#QX8 MA_XLO#'Q$0#4$=T^_2`;&gt;WM/54-C[A&gt;^Y)X:R7IHHV%.</w:t>
      </w:r>
    </w:p>
    <w:p>
      <w:pPr>
        <w:spacing w:after="0"/>
        <w:rPr>
          <w:sz w:val="20"/>
          <w:szCs w:val="20"/>
          <w:color w:val="auto"/>
        </w:rPr>
      </w:pPr>
      <w:r>
        <w:rPr>
          <w:rFonts w:ascii="Arial" w:cs="Arial" w:eastAsia="Arial" w:hAnsi="Arial"/>
          <w:sz w:val="15"/>
          <w:szCs w:val="15"/>
          <w:color w:val="auto"/>
        </w:rPr>
        <w:t>[:UJ(_'EF1A2.&gt;7- M.7(M5'J7K8Y0482CD$E)7266&amp;D+$-80&gt;P7A`L;2*G+!07/N9,/5[M[253*-K M3&gt;W+VWU:I?*_VT,Y'6(,):Y*VIE".P;_`#B1)P!&gt;X7(_GPMU68BXM=/Q'`S!</w:t>
      </w:r>
    </w:p>
    <w:p>
      <w:pPr>
        <w:spacing w:after="0"/>
        <w:rPr>
          <w:sz w:val="20"/>
          <w:szCs w:val="20"/>
          <w:color w:val="auto"/>
        </w:rPr>
      </w:pPr>
      <w:r>
        <w:rPr>
          <w:rFonts w:ascii="Arial" w:cs="Arial" w:eastAsia="Arial" w:hAnsi="Arial"/>
          <w:sz w:val="16"/>
          <w:szCs w:val="16"/>
          <w:color w:val="auto"/>
        </w:rPr>
        <w:t>M`3C+U[\6W1SP\M&amp;)J^Y&gt;M=6NQTR(6AM-H9L-1NM.I*F),]#C\&gt;%1P7OA4W)M MI&lt;5R2US+TPIY(@Q@ER201\*G`5)0PV=P&gt;3JDJ4G MCK!$6-%&amp;(FQ,D5C+:4!</w:t>
      </w:r>
    </w:p>
    <w:p>
      <w:pPr>
        <w:spacing w:after="0" w:line="232" w:lineRule="auto"/>
        <w:rPr>
          <w:sz w:val="20"/>
          <w:szCs w:val="20"/>
          <w:color w:val="auto"/>
        </w:rPr>
      </w:pPr>
      <w:r>
        <w:rPr>
          <w:rFonts w:ascii="Arial" w:cs="Arial" w:eastAsia="Arial" w:hAnsi="Arial"/>
          <w:sz w:val="16"/>
          <w:szCs w:val="16"/>
          <w:color w:val="auto"/>
        </w:rPr>
        <w:t>M#=&amp;XPT-T=CR`D!Y`M$QLR9$UI&lt;0'OX(2%\CWYMY+#2M1.W.J[[PNG_@MH?[P^X#5HXXXCSR`#SX\AK&lt;'X8=97/5KH M'TUZBZM5&amp;.I-</w:t>
      </w:r>
    </w:p>
    <w:p>
      <w:pPr>
        <w:spacing w:after="0" w:line="232" w:lineRule="auto"/>
        <w:rPr>
          <w:sz w:val="20"/>
          <w:szCs w:val="20"/>
          <w:color w:val="auto"/>
        </w:rPr>
      </w:pPr>
      <w:r>
        <w:rPr>
          <w:rFonts w:ascii="Arial" w:cs="Arial" w:eastAsia="Arial" w:hAnsi="Arial"/>
          <w:sz w:val="16"/>
          <w:szCs w:val="16"/>
          <w:color w:val="auto"/>
        </w:rPr>
        <w:t>54\Z=:JK&amp;!"@^V(T12I!90(\)D%)=62ODHJ^+8?$_U M4U+$&gt;:^SK7T+CQG5(=C.@YX]O7;/H5WT@&gt;U.PI,A@)E MEY5E9CEY.6WU;?</w:t>
      </w:r>
    </w:p>
    <w:p>
      <w:pPr>
        <w:spacing w:after="0" w:line="232" w:lineRule="auto"/>
        <w:rPr>
          <w:sz w:val="20"/>
          <w:szCs w:val="20"/>
          <w:color w:val="auto"/>
        </w:rPr>
      </w:pPr>
      <w:r>
        <w:rPr>
          <w:rFonts w:ascii="Arial" w:cs="Arial" w:eastAsia="Arial" w:hAnsi="Arial"/>
          <w:sz w:val="16"/>
          <w:szCs w:val="16"/>
          <w:color w:val="auto"/>
        </w:rPr>
        <w:t>D3F.WRQG56HR[/R..16YF*%+)D:2;_`*,TV$Y21(`B&amp;6"G M/#+'+*9^.&gt;.7(`/&gt;'B`]PA\H#WASYN?'SHO MBF6G[CVZ"2X[.K34 MM&lt;80=0#-</w:t>
      </w:r>
    </w:p>
    <w:p>
      <w:pPr>
        <w:spacing w:after="0"/>
        <w:rPr>
          <w:sz w:val="20"/>
          <w:szCs w:val="20"/>
          <w:color w:val="auto"/>
        </w:rPr>
      </w:pPr>
      <w:r>
        <w:rPr>
          <w:rFonts w:ascii="Arial" w:cs="Arial" w:eastAsia="Arial" w:hAnsi="Arial"/>
          <w:sz w:val="15"/>
          <w:szCs w:val="15"/>
          <w:color w:val="auto"/>
        </w:rPr>
        <w:t>K-]R"63[;VY("AY_15]ZK6D$LK#G]A7P*_0[\5?/U*/P!/;*KH^KM9+6ABZAKK%J(2)3"E28FY MV&amp;[B.(D,)!/JD2&gt;W=12-R+C=-1!VY;PX5&gt;KN[5I(8](*5W$Q!F)&gt;YW0%C&amp;-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V M$M0LF:G%O_7F!/C6H4Q&gt;X*C6N.1:5KM*NW!U82E"E(R2U-#9EY=%$$OO'4K4 MDI)2H%*@=B"-B#]Q&amp;7;9?9DM-OQW6WV'4A;3S2TN-N(/HI"T$I4D_(@D8TTT</w:t>
      </w:r>
    </w:p>
    <w:p>
      <w:pPr>
        <w:spacing w:after="0"/>
        <w:rPr>
          <w:sz w:val="20"/>
          <w:szCs w:val="20"/>
          <w:color w:val="auto"/>
        </w:rPr>
      </w:pPr>
      <w:r>
        <w:rPr>
          <w:rFonts w:ascii="Arial" w:cs="Arial" w:eastAsia="Arial" w:hAnsi="Arial"/>
          <w:sz w:val="16"/>
          <w:szCs w:val="16"/>
          <w:color w:val="auto"/>
        </w:rPr>
        <w:t>MUYD7,"(`'(\_V`.0_NQ`1'^P-&gt;':X^@SZDW\&amp;H(])7@:HV@3QL+7O#:1()WM MUBKH&gt;POCS&amp;W0Y@ENYBGHS(VXA[CR]K&gt;F\MW8'9R:5AKU</w:t>
      </w:r>
    </w:p>
    <w:p>
      <w:pPr>
        <w:spacing w:after="0" w:line="232" w:lineRule="auto"/>
        <w:rPr>
          <w:sz w:val="20"/>
          <w:szCs w:val="20"/>
          <w:color w:val="auto"/>
        </w:rPr>
      </w:pPr>
      <w:r>
        <w:rPr>
          <w:rFonts w:ascii="Arial" w:cs="Arial" w:eastAsia="Arial" w:hAnsi="Arial"/>
          <w:sz w:val="16"/>
          <w:szCs w:val="16"/>
          <w:color w:val="auto"/>
        </w:rPr>
        <w:t>MQ]!GU)OX-.UQ]!GU)OX-0(RZ,S9ACQUJUD.//AUKQW"!SQX\[Y&gt;[QTQD]^UQ]!GU)OX-.UQ]!GU)OX-0(];+V9`/ M'[,Y'S]-^X7S^`#_`/-</w:t>
      </w:r>
    </w:p>
    <w:p>
      <w:pPr>
        <w:spacing w:after="0" w:line="232" w:lineRule="auto"/>
        <w:rPr>
          <w:sz w:val="20"/>
          <w:szCs w:val="20"/>
          <w:color w:val="auto"/>
        </w:rPr>
      </w:pPr>
      <w:r>
        <w:rPr>
          <w:rFonts w:ascii="Arial" w:cs="Arial" w:eastAsia="Arial" w:hAnsi="Arial"/>
          <w:sz w:val="16"/>
          <w:szCs w:val="16"/>
          <w:color w:val="auto"/>
        </w:rPr>
        <w:t>KN$?,`]XZ&gt;ME[,AX#]FUQ]!GU)OX-.UQ]!GU)OX-0*];)V9_!E(_P"-^X7\VM/6 MR=F?P92/^-^X7\VM,9/7M.&gt;/VX;A&gt;&gt;.&gt;.?</w:t>
      </w:r>
    </w:p>
    <w:p>
      <w:pPr>
        <w:spacing w:after="0" w:line="232" w:lineRule="auto"/>
        <w:rPr>
          <w:sz w:val="20"/>
          <w:szCs w:val="20"/>
          <w:color w:val="auto"/>
        </w:rPr>
      </w:pPr>
      <w:r>
        <w:rPr>
          <w:rFonts w:ascii="Arial" w:cs="Arial" w:eastAsia="Arial" w:hAnsi="Arial"/>
          <w:sz w:val="16"/>
          <w:szCs w:val="16"/>
          <w:color w:val="auto"/>
        </w:rPr>
        <w:t>^]OT]WRZSZV3LS^#*1_QOW"_FUIC)Z]KCZ#/J3?P:=K MCZ#/J3?P:@5ZV3LS^#*1_P`;]POYM:&gt;MD[,_@RD?\;]POYM:8R&gt;O:X^@SZDW</w:t>
      </w:r>
    </w:p>
    <w:p>
      <w:pPr>
        <w:spacing w:after="0"/>
        <w:rPr>
          <w:sz w:val="20"/>
          <w:szCs w:val="20"/>
          <w:color w:val="auto"/>
        </w:rPr>
      </w:pPr>
      <w:r>
        <w:rPr>
          <w:rFonts w:ascii="Arial" w:cs="Arial" w:eastAsia="Arial" w:hAnsi="Arial"/>
          <w:sz w:val="15"/>
          <w:szCs w:val="15"/>
          <w:color w:val="auto"/>
        </w:rPr>
        <w:t>M\&amp;G:X^@SZDW\&amp;H%&gt;MD[,_@RD?\;]POYM:&gt;MD[,_@RD?\;]POYM:8R&gt;O:X^@S MZDW\&amp;G:X^@SZDW\&amp;H%&gt;MD[,_@RD?\;]POYM:&gt;MD[,_@RD?\`&amp;_&lt;+^;6F,GKV</w:t>
      </w:r>
    </w:p>
    <w:p>
      <w:pPr>
        <w:spacing w:after="0"/>
        <w:rPr>
          <w:sz w:val="20"/>
          <w:szCs w:val="20"/>
          <w:color w:val="auto"/>
        </w:rPr>
      </w:pPr>
      <w:r>
        <w:rPr>
          <w:rFonts w:ascii="Arial" w:cs="Arial" w:eastAsia="Arial" w:hAnsi="Arial"/>
          <w:sz w:val="16"/>
          <w:szCs w:val="16"/>
          <w:color w:val="auto"/>
        </w:rPr>
        <w:t>MN/H,^I-_!IVN/H,^I-_!J!7K9.S/X,I'_&amp;_&lt;+^;6GK9.S/X,I'_&amp;_&lt;+^;6F, MGKVN/H,^I-_!IVN/H,^I-_!J!7K9.S/X,I'_`!OW"_FUIZV3LS^#*1_QOW"_</w:t>
      </w:r>
    </w:p>
    <w:p>
      <w:pPr>
        <w:spacing w:after="0" w:line="232" w:lineRule="auto"/>
        <w:rPr>
          <w:sz w:val="20"/>
          <w:szCs w:val="20"/>
          <w:color w:val="auto"/>
        </w:rPr>
      </w:pPr>
      <w:r>
        <w:rPr>
          <w:rFonts w:ascii="Arial" w:cs="Arial" w:eastAsia="Arial" w:hAnsi="Arial"/>
          <w:sz w:val="16"/>
          <w:szCs w:val="16"/>
          <w:color w:val="auto"/>
        </w:rPr>
        <w:t>MFUIC)Z@9B/=P9W^DHT/^8X,R^'3Z+7AM3R89 M"AN&gt;\EAR('K=52T&lt;=RA4I%C&gt;O4I5))A)IF&amp;5RF' M@/SS/YF6F,\]---,8\-5&gt;;WMZ$HATA]2_MC6M)^XI[94#</w:t>
      </w:r>
    </w:p>
    <w:p>
      <w:pPr>
        <w:spacing w:after="0" w:line="232" w:lineRule="auto"/>
        <w:rPr>
          <w:sz w:val="20"/>
          <w:szCs w:val="20"/>
          <w:color w:val="auto"/>
        </w:rPr>
      </w:pPr>
      <w:r>
        <w:rPr>
          <w:rFonts w:ascii="Arial" w:cs="Arial" w:eastAsia="Arial" w:hAnsi="Arial"/>
          <w:sz w:val="16"/>
          <w:szCs w:val="16"/>
          <w:color w:val="auto"/>
        </w:rPr>
        <w:t>[/[#=,E90)1!61R%]DJZ?6%-)&amp;Z6!;=FNZ8I(]6=:$DP2A)9BO2D\E M-C?D6B0,$-C"4?T7!J_8HI!V4LEICR;`&lt;&amp;/&amp;_P"*X&gt;';1D6BTF[%?ZJZUC21</w:t>
      </w:r>
    </w:p>
    <w:p>
      <w:pPr>
        <w:spacing w:after="0"/>
        <w:rPr>
          <w:sz w:val="20"/>
          <w:szCs w:val="20"/>
          <w:color w:val="auto"/>
        </w:rPr>
      </w:pPr>
      <w:r>
        <w:rPr>
          <w:rFonts w:ascii="Arial" w:cs="Arial" w:eastAsia="Arial" w:hAnsi="Arial"/>
          <w:sz w:val="15"/>
          <w:szCs w:val="15"/>
          <w:color w:val="auto"/>
        </w:rPr>
        <w:t>MI]+R&amp;Y+6F*=M1CR]6S8CB5MONH?*H&gt;GXDI/NDVR;E27T3(E/.@2J"UWJX:;A M(CPU(5;3DJ]W"@%"*P#Q7+6@[@GENB.A?PK&lt;"U*"DLK0KWUU6L;K-G7MS$+J</w:t>
      </w:r>
    </w:p>
    <w:p>
      <w:pPr>
        <w:spacing w:after="0"/>
        <w:rPr>
          <w:sz w:val="20"/>
          <w:szCs w:val="20"/>
          <w:color w:val="auto"/>
        </w:rPr>
      </w:pPr>
      <w:r>
        <w:rPr>
          <w:rFonts w:ascii="Arial" w:cs="Arial" w:eastAsia="Arial" w:hAnsi="Arial"/>
          <w:sz w:val="16"/>
          <w:szCs w:val="16"/>
          <w:color w:val="auto"/>
        </w:rPr>
        <w:t>MY.57K,,7&amp;62YU'##`UQ5`2C:V\I''XTW, M,7:VED0]@:::YQ[&gt;WM;^TL+N\L9MO&lt;6LM^?9VEE)&gt;FSY\V2XIV1+F2Y"W'Y$ MAYQ2EN.NK4M:B23F-</w:t>
      </w:r>
    </w:p>
    <w:p>
      <w:pPr>
        <w:spacing w:after="0" w:line="232" w:lineRule="auto"/>
        <w:rPr>
          <w:sz w:val="20"/>
          <w:szCs w:val="20"/>
          <w:color w:val="auto"/>
        </w:rPr>
      </w:pPr>
      <w:r>
        <w:rPr>
          <w:rFonts w:ascii="Arial" w:cs="Arial" w:eastAsia="Arial" w:hAnsi="Arial"/>
          <w:sz w:val="16"/>
          <w:szCs w:val="16"/>
          <w:color w:val="auto"/>
        </w:rPr>
        <w:t>#SSLAUQ]]Q;SSRU..NNJ*W'%J.ZEK6HE2E*)W))W.-- M--2[(&gt;[PNG_`(+:'^\/N`U:1JK?;%[O"Z?^"VA_O#[@-6D:ZK/`G_HD M=$?^6[3_`-KU#GZL_P"=8_X.)_XS6-</w:t>
      </w:r>
    </w:p>
    <w:p>
      <w:pPr>
        <w:spacing w:after="0" w:line="232" w:lineRule="auto"/>
        <w:rPr>
          <w:sz w:val="20"/>
          <w:szCs w:val="20"/>
          <w:color w:val="auto"/>
        </w:rPr>
      </w:pPr>
      <w:r>
        <w:rPr>
          <w:rFonts w:ascii="Arial" w:cs="Arial" w:eastAsia="Arial" w:hAnsi="Arial"/>
          <w:sz w:val="16"/>
          <w:szCs w:val="16"/>
          <w:color w:val="auto"/>
        </w:rPr>
        <w:t>8'P[]9U5ITF?21QK8]!T&lt;0A"=CG.ZF MRV98JJNNW(PQ0QQ)BQ/,;5=TVV4A.*6H:WCZ_$U*RLA9R-YM25IPA\;.(1)I</w:t>
      </w:r>
    </w:p>
    <w:p>
      <w:pPr>
        <w:spacing w:after="0" w:line="232" w:lineRule="auto"/>
        <w:rPr>
          <w:sz w:val="20"/>
          <w:szCs w:val="20"/>
          <w:color w:val="auto"/>
        </w:rPr>
      </w:pPr>
      <w:r>
        <w:rPr>
          <w:rFonts w:ascii="Arial" w:cs="Arial" w:eastAsia="Arial" w:hAnsi="Arial"/>
          <w:sz w:val="16"/>
          <w:szCs w:val="16"/>
          <w:color w:val="auto"/>
        </w:rPr>
        <w:t>M5(([F50T5QJ&gt;YK-/:&gt;K9=O=W,QF!65D%HNRIDM]7%MII&amp;X2!ZK&lt;=&lt;4AEAI+C M[[C;+;CB?C896^X&amp;T&lt;1V*EK60EMIM(W6ZXH]DMMIW4I1]`.VYV!COTR^\^M:</w:t>
      </w:r>
    </w:p>
    <w:p>
      <w:pPr>
        <w:spacing w:after="0" w:line="232" w:lineRule="auto"/>
        <w:rPr>
          <w:sz w:val="20"/>
          <w:szCs w:val="20"/>
          <w:color w:val="auto"/>
        </w:rPr>
      </w:pPr>
      <w:r>
        <w:rPr>
          <w:rFonts w:ascii="Arial" w:cs="Arial" w:eastAsia="Arial" w:hAnsi="Arial"/>
          <w:sz w:val="16"/>
          <w:szCs w:val="16"/>
          <w:color w:val="auto"/>
        </w:rPr>
        <w:t>M4C4-JF!@#KO&gt;*-)L2CY?'7,YKD6THA9F:V&amp;WX]/[=EY4F3OZ1.X1AAIU&gt;)[' MN'*!SCT]8W"K&amp;^4+2;#&gt;B&amp;Z5EGW[PEPK"U"&amp;&gt;';NJI8$;A8,9:P%'&amp;[1B&amp;*@</w:t>
      </w:r>
    </w:p>
    <w:p>
      <w:pPr>
        <w:spacing w:after="0" w:line="232" w:lineRule="auto"/>
        <w:rPr>
          <w:sz w:val="20"/>
          <w:szCs w:val="20"/>
          <w:color w:val="auto"/>
        </w:rPr>
      </w:pPr>
      <w:r>
        <w:rPr>
          <w:rFonts w:ascii="Arial" w:cs="Arial" w:eastAsia="Arial" w:hAnsi="Arial"/>
          <w:sz w:val="16"/>
          <w:szCs w:val="16"/>
          <w:color w:val="auto"/>
        </w:rPr>
        <w:t>MEH3W;5R90:8&gt;7&amp;W!S-3-\WAQARITJR7KD[&amp;N4N$:&gt;X7)9!HBNKM)95))5.9W M*7R&gt;6'/7]7++`GTG.*42.:2I=@42J&gt;'4PC`I(E*(2D)FIC8FLA*P16/(6R,Q</w:t>
      </w:r>
    </w:p>
    <w:p>
      <w:pPr>
        <w:spacing w:after="0" w:line="232" w:lineRule="auto"/>
        <w:rPr>
          <w:sz w:val="20"/>
          <w:szCs w:val="20"/>
          <w:color w:val="auto"/>
        </w:rPr>
      </w:pPr>
      <w:r>
        <w:rPr>
          <w:rFonts w:ascii="Arial" w:cs="Arial" w:eastAsia="Arial" w:hAnsi="Arial"/>
          <w:sz w:val="16"/>
          <w:szCs w:val="16"/>
          <w:color w:val="auto"/>
        </w:rPr>
        <w:t>MQ"@96M*F#DU;6;95&amp;6;`+QI:1?JE;U42#"40-]SS.Q;C%0E"C&gt;HE*2",L,F76P7Q]Q,5)\2GAJ9UR/:+;&gt;SBB*Z&amp;NB/8JD]=8[:KY$MJ6M-! M*</w:t>
      </w:r>
    </w:p>
    <w:p>
      <w:pPr>
        <w:spacing w:after="0" w:line="233" w:lineRule="auto"/>
        <w:rPr>
          <w:sz w:val="20"/>
          <w:szCs w:val="20"/>
          <w:color w:val="auto"/>
        </w:rPr>
      </w:pPr>
      <w:r>
        <w:rPr>
          <w:rFonts w:ascii="Arial" w:cs="Arial" w:eastAsia="Arial" w:hAnsi="Arial"/>
          <w:sz w:val="16"/>
          <w:szCs w:val="16"/>
          <w:color w:val="auto"/>
        </w:rPr>
        <w:t>&lt;1&amp;W.A6F5\6#%6@*;C7KJ&amp;Y2KDIDN/1Z92J]NN-'=03INQ8@$K=TXXYY5(8BX*25+Y7D_CRP]BGU=R(2L2_\`;,-E2!R9S5/8E$.Z(E`_MX&amp;MCNA/ M-</w:t>
      </w:r>
    </w:p>
    <w:p>
      <w:pPr>
        <w:spacing w:after="0" w:line="232" w:lineRule="auto"/>
        <w:rPr>
          <w:sz w:val="20"/>
          <w:szCs w:val="20"/>
          <w:color w:val="auto"/>
        </w:rPr>
      </w:pPr>
      <w:r>
        <w:rPr>
          <w:rFonts w:ascii="Arial" w:cs="Arial" w:eastAsia="Arial" w:hAnsi="Arial"/>
          <w:sz w:val="16"/>
          <w:szCs w:val="16"/>
          <w:color w:val="auto"/>
        </w:rPr>
        <w:t>E9K3W)C284F1#F1WHDN(^[&amp;E19+2V9$:2PXII^/(9&lt;"7&amp;7V74+;=:&lt;2E;;B M5(4`H$9E0A:'$(&lt;;4E;;B4K;6@A2%H6`I"T*&amp;X4E22%)4"0000=CD$&gt;DB]RC</w:t>
      </w:r>
    </w:p>
    <w:p>
      <w:pPr>
        <w:spacing w:after="0" w:line="232" w:lineRule="auto"/>
        <w:rPr>
          <w:sz w:val="20"/>
          <w:szCs w:val="20"/>
          <w:color w:val="auto"/>
        </w:rPr>
      </w:pPr>
      <w:r>
        <w:rPr>
          <w:rFonts w:ascii="Arial" w:cs="Arial" w:eastAsia="Arial" w:hAnsi="Arial"/>
          <w:sz w:val="16"/>
          <w:szCs w:val="16"/>
          <w:color w:val="auto"/>
        </w:rPr>
        <w:t>M(OITH[4ZR_:C\\S^9EJ"G21&gt;Y1D7TN;4_O:4=J=9?M1^&gt;9_,RU`S]93 MCTB-LH(7N2V]Q&amp;Q-T]E;7J??Z/OV2*7&gt;!3M)7":669';#V_M48:W:0JHC*?+</w:t>
      </w:r>
    </w:p>
    <w:p>
      <w:pPr>
        <w:spacing w:after="0" w:line="232" w:lineRule="auto"/>
        <w:rPr>
          <w:sz w:val="20"/>
          <w:szCs w:val="20"/>
          <w:color w:val="auto"/>
        </w:rPr>
      </w:pPr>
      <w:r>
        <w:rPr>
          <w:rFonts w:ascii="Arial" w:cs="Arial" w:eastAsia="Arial" w:hAnsi="Arial"/>
          <w:sz w:val="16"/>
          <w:szCs w:val="16"/>
          <w:color w:val="auto"/>
        </w:rPr>
        <w:t>M#F^)R6&lt;+$#*6"032\EJ\0.!%UB(RV_8&amp;XF:]!9NSM:G-V]F1Z6UC'ND"F,3W M`%)&amp;R5VQ8=.4C-MPF%=LD)'6WQY/M)WW#KO'XSZ$$YJHSC&lt;B[8%/</w:t>
      </w:r>
    </w:p>
    <w:p>
      <w:pPr>
        <w:spacing w:after="0" w:line="232" w:lineRule="auto"/>
        <w:rPr>
          <w:sz w:val="20"/>
          <w:szCs w:val="20"/>
          <w:color w:val="auto"/>
        </w:rPr>
      </w:pPr>
      <w:r>
        <w:rPr>
          <w:rFonts w:ascii="Arial" w:cs="Arial" w:eastAsia="Arial" w:hAnsi="Arial"/>
          <w:sz w:val="16"/>
          <w:szCs w:val="16"/>
          <w:color w:val="auto"/>
        </w:rPr>
        <w:t>MDB;MPZH@=Y,1VH=3$,L&gt;Q4^NYA+(&lt;=+^E$V,5W,,XH].C*9(Z]EUGK&amp;R80]_R;#R,G.*2)OQ!* M^LR[M6QS2XXE+B#2P#'50+;TRW2"LM*N]Q/&lt;`V_3XR?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[/=WNX"LHC#*GMIL5 M52Z[7=^==;454DL=01:KG@(^QR#C+'_`,(AKK.W::KF]*TF M%0V;'\GV`3QB51N3-"%Y?HHM4M2P\A69BW22'NC#*(^N*6)DRY&amp;[QYY:G9`O</w:t>
      </w:r>
    </w:p>
    <w:p>
      <w:pPr>
        <w:spacing w:after="0"/>
        <w:rPr>
          <w:sz w:val="20"/>
          <w:szCs w:val="20"/>
          <w:color w:val="auto"/>
        </w:rPr>
      </w:pPr>
      <w:r>
        <w:rPr>
          <w:rFonts w:ascii="Arial" w:cs="Arial" w:eastAsia="Arial" w:hAnsi="Arial"/>
          <w:sz w:val="16"/>
          <w:szCs w:val="16"/>
          <w:color w:val="auto"/>
        </w:rPr>
        <w:t>M3IUR):0J(+-!C-&lt;2GNE8WL7M&gt;4#V_P!36'M`LM&amp;^[V-QE!&gt;J"A](V6LAT^J' M;ULMHW=&amp;3*('#!W!&amp;$IYE8[W-Y1#FIV-</w:t>
      </w:r>
    </w:p>
    <w:p>
      <w:pPr>
        <w:spacing w:after="0"/>
        <w:rPr>
          <w:sz w:val="20"/>
          <w:szCs w:val="20"/>
          <w:color w:val="auto"/>
        </w:rPr>
      </w:pPr>
      <w:r>
        <w:rPr>
          <w:rFonts w:ascii="Arial" w:cs="Arial" w:eastAsia="Arial" w:hAnsi="Arial"/>
          <w:sz w:val="15"/>
          <w:szCs w:val="15"/>
          <w:color w:val="auto"/>
        </w:rPr>
        <w:t>G[Y`T:9&lt;]GSZU[O3.RQYPELSL:T9+,)S)WK./1R/QY*I&gt;']5@VQ]B:&amp;-M*2-; M&gt;E2E=Z%M+:3@NP*0I"\',TT]RQP3$88KSSBL"#CEP8E@"PXX@LLDTU2!IAI. M&amp;!1F61&gt;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(8:8S34JCI'-T,2LJX;(26&amp;?O%.B-]]-S+J[3UW+;?;J;MEEVO[+- MGT_IR(U;7R&amp;S9JQJ:VD,F&gt;GUSBK.&gt;X6H3'U\@DSM4+VL5R#](O4MZ:Z6?&gt;O&lt; M5-5$9&amp;%.U5YF-J]</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(GMXVAM=YL,;+FE9?J+=FVR071-W)16-5;GK&amp;2H+#J*2- MV#$D;\[],(DS/FR%2]FKZ5+9&amp;SL&amp;SP0WHDV)6"=*G(Q(P[,@"2"B@)P[(L@, M"0+PQ[+$"22B@##J@!1190?</w:t>
      </w:r>
    </w:p>
    <w:p>
      <w:pPr>
        <w:spacing w:after="0"/>
        <w:rPr>
          <w:sz w:val="20"/>
          <w:szCs w:val="20"/>
          <w:color w:val="auto"/>
        </w:rPr>
      </w:pPr>
      <w:r>
        <w:rPr>
          <w:rFonts w:ascii="Arial" w:cs="Arial" w:eastAsia="Arial" w:hAnsi="Arial"/>
          <w:sz w:val="16"/>
          <w:szCs w:val="16"/>
          <w:color w:val="auto"/>
        </w:rPr>
        <w:t>Z,O#''P2M;6247@46&lt;:&lt;&lt;&lt;::;AAB88::89GEEGGED+&amp;:=#?TN^_-1(&lt;+K&gt;;+VVQ(_U MKBV)VQ4E.V:0P.EYIN'I[I")GMGGMD,3\]642Y(UB:%0M'/3F1^&gt;CHQ$8T[H</w:t>
      </w:r>
    </w:p>
    <w:p>
      <w:pPr>
        <w:spacing w:after="0"/>
        <w:rPr>
          <w:sz w:val="20"/>
          <w:szCs w:val="20"/>
          <w:color w:val="auto"/>
        </w:rPr>
      </w:pPr>
      <w:r>
        <w:rPr>
          <w:rFonts w:ascii="Arial" w:cs="Arial" w:eastAsia="Arial" w:hAnsi="Arial"/>
          <w:sz w:val="15"/>
          <w:szCs w:val="15"/>
          <w:color w:val="auto"/>
        </w:rPr>
        <w:t>MX]*Y5#8RI?[&lt;)V#&gt;BXW&lt;2O&gt;AM:3VQ.C4"J8,UHVO5\@7LL';H0P."NNY:I94 MZMC_`%:N*_J^ER,6\49"N1O)#H=&amp;'-*20&gt;UH;"3&amp;EL.R*S-0(S,R M252U"@1-B5.A;TJ=</w:t>
      </w:r>
    </w:p>
    <w:p>
      <w:pPr>
        <w:spacing w:after="0"/>
        <w:rPr>
          <w:sz w:val="20"/>
          <w:szCs w:val="20"/>
          <w:color w:val="auto"/>
        </w:rPr>
      </w:pPr>
      <w:r>
        <w:rPr>
          <w:rFonts w:ascii="Arial" w:cs="Arial" w:eastAsia="Arial" w:hAnsi="Arial"/>
          <w:sz w:val="16"/>
          <w:szCs w:val="16"/>
          <w:color w:val="auto"/>
        </w:rPr>
        <w:t>M"B2%8D)4:,@E*E3$X``8$ITQ&amp;!9)!6```8%%88%XAW8XAIC/Z]---,8TTTTQ MC3333&amp;----,8TTTTQD%&gt;D;]RVY_3=M`^^)0NISE^U'YYG\S+4&amp;.D;]RVY_3=</w:t>
      </w:r>
    </w:p>
    <w:p>
      <w:pPr>
        <w:spacing w:after="0"/>
        <w:rPr>
          <w:sz w:val="20"/>
          <w:szCs w:val="20"/>
          <w:color w:val="auto"/>
        </w:rPr>
      </w:pPr>
      <w:r>
        <w:rPr>
          <w:rFonts w:ascii="Arial" w:cs="Arial" w:eastAsia="Arial" w:hAnsi="Arial"/>
          <w:sz w:val="15"/>
          <w:szCs w:val="15"/>
          <w:color w:val="auto"/>
        </w:rPr>
        <w:t>MM`^^)0NISE^U'YYG\S+3&amp;&gt;&gt;L9"&amp;.(Y#W``"/(ZSKC$UE;-!(A)YM(E(HV"'Q MY[E3XJ#$,Q(9HXUJWIU.#$(:]`)(`[DG8?F&lt;915N4GF M=];U9FJQ.P55]L]:LZ8A!&amp;&amp;91Z-?</w:t>
      </w:r>
    </w:p>
    <w:p>
      <w:pPr>
        <w:spacing w:after="0"/>
        <w:rPr>
          <w:sz w:val="20"/>
          <w:szCs w:val="20"/>
          <w:color w:val="auto"/>
        </w:rPr>
      </w:pPr>
      <w:r>
        <w:rPr>
          <w:rFonts w:ascii="Arial" w:cs="Arial" w:eastAsia="Arial" w:hAnsi="Arial"/>
          <w:sz w:val="16"/>
          <w:szCs w:val="16"/>
          <w:color w:val="auto"/>
        </w:rPr>
        <w:t>&gt;=E1Z/S&amp;])@.&gt;!&gt;.)RJ(P1PKBI6C+(33 M6=8YVTAQ.PSKVGN9G&gt;=G.;\D+K&lt;4FP M/SR]F88W+9I^A"\\QR'%(U)4^&amp;78D%8X]\:Y4?%/U1E=7^O74;6#DE4BL%_+</w:t>
      </w:r>
    </w:p>
    <w:p>
      <w:pPr>
        <w:spacing w:after="0" w:line="232" w:lineRule="auto"/>
        <w:rPr>
          <w:sz w:val="20"/>
          <w:szCs w:val="20"/>
          <w:color w:val="auto"/>
        </w:rPr>
      </w:pPr>
      <w:r>
        <w:rPr>
          <w:rFonts w:ascii="Arial" w:cs="Arial" w:eastAsia="Arial" w:hAnsi="Arial"/>
          <w:sz w:val="16"/>
          <w:szCs w:val="16"/>
          <w:color w:val="auto"/>
        </w:rPr>
        <w:t>MH=,IY*++&amp;E].O.55+[N@@!I,V/'-M);2`%3[&amp;8\=U.J)Q*U9;+N=064TJ*FO M&gt;%QXHW.R8D91:8V'RYI3YJP.WF.+/??S"C,`[^_DK&lt;+?&gt;67(&gt;8.#L.!\_?Z-=G](!O MWK?</w:t>
      </w:r>
    </w:p>
    <w:p>
      <w:pPr>
        <w:spacing w:after="0" w:line="232" w:lineRule="auto"/>
        <w:rPr>
          <w:sz w:val="20"/>
          <w:szCs w:val="20"/>
          <w:color w:val="auto"/>
        </w:rPr>
      </w:pPr>
      <w:r>
        <w:rPr>
          <w:rFonts w:ascii="Arial" w:cs="Arial" w:eastAsia="Arial" w:hAnsi="Arial"/>
          <w:sz w:val="16"/>
          <w:szCs w:val="16"/>
          <w:color w:val="auto"/>
        </w:rPr>
        <w:t>8A5*&gt;2O:0J;V].A=&amp;&gt;C:72.6+&gt;[V')&amp;\DK)P=GA;A@&gt;=%JNA8*DCA8T[. M3&amp;%-",]&amp;Q,I+I,WZ/,JSJZ\`%;87?A9Z!U%1"DV=I9TTV!7U\)E+&amp;8:2IQY]YY26VVT)*E+</w:t>
      </w:r>
    </w:p>
    <w:p>
      <w:pPr>
        <w:spacing w:after="0" w:line="232" w:lineRule="auto"/>
        <w:rPr>
          <w:sz w:val="20"/>
          <w:szCs w:val="20"/>
          <w:color w:val="auto"/>
        </w:rPr>
      </w:pPr>
      <w:r>
        <w:rPr>
          <w:rFonts w:ascii="Arial" w:cs="Arial" w:eastAsia="Arial" w:hAnsi="Arial"/>
          <w:sz w:val="16"/>
          <w:szCs w:val="16"/>
          <w:color w:val="auto"/>
        </w:rPr>
        <w:t>(`&amp;^1YK*WY,9IL`J5#BGE9*I7-[(G$RM2T MYG][&lt;&gt;,ZZE/"5X5*WH?2MZIU4S%LNJ5W#` MFR!Y')"Y:AL+JT944RG1[G#6J`SY\Z33IC8084)1,&lt;$&amp;1(</w:t>
      </w:r>
    </w:p>
    <w:p>
      <w:pPr>
        <w:spacing w:after="0" w:line="232" w:lineRule="auto"/>
        <w:rPr>
          <w:sz w:val="20"/>
          <w:szCs w:val="20"/>
          <w:color w:val="auto"/>
        </w:rPr>
      </w:pPr>
      <w:r>
        <w:rPr>
          <w:rFonts w:ascii="Arial" w:cs="Arial" w:eastAsia="Arial" w:hAnsi="Arial"/>
          <w:sz w:val="16"/>
          <w:szCs w:val="16"/>
          <w:color w:val="auto"/>
        </w:rPr>
        <w:t>MV4E4YQ)W!XJ`4W$;4-V&amp;5`+6H"1(`&lt;\IF,U@0Y`0UG36:62G-@G^CH;J%M7; MHK!VD/[IGC`]S$=&lt;[.KYO/,-S(;+ZJMF0%2Y&amp;VE@;B02=9-.I2G==AV&gt;0FK:</w:t>
      </w:r>
    </w:p>
    <w:p>
      <w:pPr>
        <w:spacing w:after="0" w:line="232" w:lineRule="auto"/>
        <w:rPr>
          <w:sz w:val="20"/>
          <w:szCs w:val="20"/>
          <w:color w:val="auto"/>
        </w:rPr>
      </w:pPr>
      <w:r>
        <w:rPr>
          <w:rFonts w:ascii="Arial" w:cs="Arial" w:eastAsia="Arial" w:hAnsi="Arial"/>
          <w:sz w:val="16"/>
          <w:szCs w:val="16"/>
          <w:color w:val="auto"/>
        </w:rPr>
        <w:t>M=R4X!VZ]7F9NOAW@`^G7Y:516VKV]W;1FX1#VHG45=-8VFLP*,R*R4QF.RI" MEL!M$S'+#("GBMG:8M)^/6Q#,I=ECD/5'+7ZDY&amp;&gt;!A6&amp;10XY%"')6&gt;&amp;8&amp;89E M#</w:t>
      </w:r>
    </w:p>
    <w:p>
      <w:pPr>
        <w:spacing w:after="0" w:line="232" w:lineRule="auto"/>
        <w:rPr>
          <w:sz w:val="20"/>
          <w:szCs w:val="20"/>
          <w:color w:val="auto"/>
        </w:rPr>
      </w:pPr>
      <w:r>
        <w:rPr>
          <w:rFonts w:ascii="Arial" w:cs="Arial" w:eastAsia="Arial" w:hAnsi="Arial"/>
          <w:sz w:val="16"/>
          <w:szCs w:val="16"/>
          <w:color w:val="auto"/>
        </w:rPr>
        <w:t>[(K/#,!$,LDMRY:Z5;C/K*WZ&gt;0NO!4=U*BA M"'XA/W)0VZJ*@?)$89!?I(O/[=.N''6[P#O'O MQR`&gt;</w:t>
      </w:r>
    </w:p>
    <w:p>
      <w:pPr>
        <w:spacing w:after="0" w:line="233" w:lineRule="auto"/>
        <w:rPr>
          <w:sz w:val="20"/>
          <w:szCs w:val="20"/>
          <w:color w:val="auto"/>
        </w:rPr>
      </w:pPr>
      <w:r>
        <w:rPr>
          <w:rFonts w:ascii="Arial" w:cs="Arial" w:eastAsia="Arial" w:hAnsi="Arial"/>
          <w:sz w:val="16"/>
          <w:szCs w:val="16"/>
          <w:color w:val="auto"/>
        </w:rPr>
        <w:t>[XA`!Y\P=W&gt;/&lt;&amp;M77^D/5[O"F]@[/SMMD.W@2V)MD0W!%SS#:UC&gt;IB9% M(EK[2N&lt;.SFY=*.C:=VQS4EF&amp;,=SD`FDAAB\XM_5SR4=;CL=CG26MW035C3T-</w:t>
      </w:r>
    </w:p>
    <w:p>
      <w:pPr>
        <w:spacing w:after="0" w:line="232" w:lineRule="auto"/>
        <w:rPr>
          <w:sz w:val="20"/>
          <w:szCs w:val="20"/>
          <w:color w:val="auto"/>
        </w:rPr>
      </w:pPr>
      <w:r>
        <w:rPr>
          <w:rFonts w:ascii="Arial" w:cs="Arial" w:eastAsia="Arial" w:hAnsi="Arial"/>
          <w:sz w:val="16"/>
          <w:szCs w:val="16"/>
          <w:color w:val="auto"/>
        </w:rPr>
        <w:t>MIG&lt;\_7#8,AW+Q?&lt;`ND$Z10K=A5^W53/+TD3&gt;NB.&gt;XJ6L\E53&gt;91]/!H!&amp;U!J MYYEL7@TJ6R*(L[B_-D93#7$_1;,'0%!KH:NTE,&gt;O;JQIUZ,AVR7M94R:\/$6</w:t>
      </w:r>
    </w:p>
    <w:p>
      <w:pPr>
        <w:spacing w:after="0" w:line="232" w:lineRule="auto"/>
        <w:rPr>
          <w:sz w:val="20"/>
          <w:szCs w:val="20"/>
          <w:color w:val="auto"/>
        </w:rPr>
      </w:pPr>
      <w:r>
        <w:rPr>
          <w:rFonts w:ascii="Arial" w:cs="Arial" w:eastAsia="Arial" w:hAnsi="Arial"/>
          <w:sz w:val="16"/>
          <w:szCs w:val="16"/>
          <w:color w:val="auto"/>
        </w:rPr>
        <w:t>MMS3AL*AU4WR0(,HN*\\O,_".8R6-62G;:75FOGMIBQF9`L7&amp;.-=)+O#=B-(W M^T?:Y_:HXCCQ5W[9M5]ICR`&lt;9=_GZN7`=W/`CQP`^D/$![A[].TQ[O$.L/`&lt;</w:t>
      </w:r>
    </w:p>
    <w:p>
      <w:pPr>
        <w:spacing w:after="0" w:line="232" w:lineRule="auto"/>
        <w:rPr>
          <w:sz w:val="20"/>
          <w:szCs w:val="20"/>
          <w:color w:val="auto"/>
        </w:rPr>
      </w:pPr>
      <w:r>
        <w:rPr>
          <w:rFonts w:ascii="Arial" w:cs="Arial" w:eastAsia="Arial" w:hAnsi="Arial"/>
          <w:sz w:val="16"/>
          <w:szCs w:val="16"/>
          <w:color w:val="auto"/>
        </w:rPr>
        <w:t>MAQW^/GXY^+CGG@0\0$-:;E0L,P&gt;;/Z%PXFB]YM:;KF6GMJU&gt;[B4#M';X0#EM MY&lt;]GLVK1WFD#O(J2RG;I6%6U8_N)-D;@Z1E\,8K;G5MJJS;G1PCDXC.**0=C</w:t>
      </w:r>
    </w:p>
    <w:p>
      <w:pPr>
        <w:spacing w:after="0" w:line="232" w:lineRule="auto"/>
        <w:rPr>
          <w:sz w:val="20"/>
          <w:szCs w:val="20"/>
          <w:color w:val="auto"/>
        </w:rPr>
      </w:pPr>
      <w:r>
        <w:rPr>
          <w:rFonts w:ascii="Arial" w:cs="Arial" w:eastAsia="Arial" w:hAnsi="Arial"/>
          <w:sz w:val="16"/>
          <w:szCs w:val="16"/>
          <w:color w:val="auto"/>
        </w:rPr>
        <w:t>M5DCLGHV;6K"/,$`M7=Y6-5[@9105?.F#'.:T83[QM"'T^VWC.8+#VEGM-([R M5#!BVF#P,R0/L&gt;A,\N5WWOSM7,8MB]-+870^3/-M[+(,0YXR'P]KB.7C\@#_</w:t>
      </w:r>
    </w:p>
    <w:p>
      <w:pPr>
        <w:spacing w:after="0" w:line="232" w:lineRule="auto"/>
        <w:rPr>
          <w:sz w:val="20"/>
          <w:szCs w:val="20"/>
          <w:color w:val="auto"/>
        </w:rPr>
      </w:pPr>
      <w:r>
        <w:rPr>
          <w:rFonts w:ascii="Arial" w:cs="Arial" w:eastAsia="Arial" w:hAnsi="Arial"/>
          <w:sz w:val="16"/>
          <w:szCs w:val="16"/>
          <w:color w:val="auto"/>
        </w:rPr>
        <w:t>M`/SSZP&amp;8#YL@\1]EB(&gt;`\&gt;C[&amp;F-2LMRV'T@]8N1KQ`Z]NJ8 MVR!K^R0Q^D/WZ$=B4QO::1W=5O`VDY0H^BL&amp;25V*P6$S8M^PK=&amp;YXKJ;I%&gt;=`(!</w:t>
      </w:r>
    </w:p>
    <w:p>
      <w:pPr>
        <w:spacing w:after="0" w:line="233" w:lineRule="auto"/>
        <w:rPr>
          <w:sz w:val="20"/>
          <w:szCs w:val="20"/>
          <w:color w:val="auto"/>
        </w:rPr>
      </w:pPr>
      <w:r>
        <w:rPr>
          <w:rFonts w:ascii="Arial" w:cs="Arial" w:eastAsia="Arial" w:hAnsi="Arial"/>
          <w:sz w:val="16"/>
          <w:szCs w:val="16"/>
          <w:color w:val="auto"/>
        </w:rPr>
        <w:t>M9!L2(L26L54U;%9K5,X=9U5S^K"6QY1N)0&amp;(4-2M,]_5S!Y7IZ404] MFZ"7(-,9LY\AZ0_?IR'I#]^J-VBW.D7@G0I8[DEK],+MWW3B@*PNPQ@=-OT; M9Y-</w:t>
      </w:r>
    </w:p>
    <w:p>
      <w:pPr>
        <w:spacing w:after="0" w:line="232" w:lineRule="auto"/>
        <w:rPr>
          <w:sz w:val="20"/>
          <w:szCs w:val="20"/>
          <w:color w:val="auto"/>
        </w:rPr>
      </w:pPr>
      <w:r>
        <w:rPr>
          <w:rFonts w:ascii="Arial" w:cs="Arial" w:eastAsia="Arial" w:hAnsi="Arial"/>
          <w:sz w:val="16"/>
          <w:szCs w:val="16"/>
          <w:color w:val="auto"/>
        </w:rPr>
        <w:t>4:^RVJME=A0Z.T3!V*-K)@]41'7.=RMHB$A0N4QF4L9LX\Z)U!!Z*-IJ_ MKCWV;_&amp;&amp;",BZIKYW42JMAK[=K(J&amp;W$.G1@J\[$W:[E8)*H*FVZ[59W5;952A</w:t>
      </w:r>
    </w:p>
    <w:p>
      <w:pPr>
        <w:spacing w:after="0" w:line="232" w:lineRule="auto"/>
        <w:rPr>
          <w:sz w:val="20"/>
          <w:szCs w:val="20"/>
          <w:color w:val="auto"/>
        </w:rPr>
      </w:pPr>
      <w:r>
        <w:rPr>
          <w:rFonts w:ascii="Arial" w:cs="Arial" w:eastAsia="Arial" w:hAnsi="Arial"/>
          <w:sz w:val="16"/>
          <w:szCs w:val="16"/>
          <w:color w:val="auto"/>
        </w:rPr>
        <w:t>M+#ZUGC*\23!KO!LKC;T-N9MSI^@G&gt;"#!G%PD3&amp;;9/(&gt;D/WZC:Z-+&lt; M&gt;1MDB^SL)PVVWNKO^X9U$KTJVVWTR"N\FH"(.4.BCHL[-QDM&gt;'Q!3'W%^;Y2</w:t>
      </w:r>
    </w:p>
    <w:p>
      <w:pPr>
        <w:spacing w:after="0" w:line="232" w:lineRule="auto"/>
        <w:rPr>
          <w:sz w:val="20"/>
          <w:szCs w:val="20"/>
          <w:color w:val="auto"/>
        </w:rPr>
      </w:pPr>
      <w:r>
        <w:rPr>
          <w:rFonts w:ascii="Arial" w:cs="Arial" w:eastAsia="Arial" w:hAnsi="Arial"/>
          <w:sz w:val="16"/>
          <w:szCs w:val="16"/>
          <w:color w:val="auto"/>
        </w:rPr>
        <w:t>ME3Q&amp;01V2,9M[S0\5,67R&gt;SFJR#)L^&amp;QZ&amp;U\F@* MU"L[)9=Z/2#;F;?;H[2%M`K".6NX;0&lt;6=WCE&amp;S/HZ+0PO#&amp;;,PY`'Q_$'&gt;/[@^7GY M._P#7ER`ZTC]SFYSI-</w:t>
      </w:r>
    </w:p>
    <w:p>
      <w:pPr>
        <w:spacing w:after="0" w:line="232" w:lineRule="auto"/>
        <w:rPr>
          <w:sz w:val="20"/>
          <w:szCs w:val="20"/>
          <w:color w:val="auto"/>
        </w:rPr>
      </w:pPr>
      <w:r>
        <w:rPr>
          <w:rFonts w:ascii="Arial" w:cs="Arial" w:eastAsia="Arial" w:hAnsi="Arial"/>
          <w:sz w:val="16"/>
          <w:szCs w:val="16"/>
          <w:color w:val="auto"/>
        </w:rPr>
        <w:t>MPFU"!U[=1FX:%RF;[7-GLO::]JS9]*PXW,Y)6C@2? M&amp;TF-I;FXG&lt;+,TNUJ1J9Q9FQ3-BEC+Y]---,8TTTTQC3333&amp;05Z1OW+;G]-VT M#[XE"ZG.7[4?GF?</w:t>
      </w:r>
    </w:p>
    <w:p>
      <w:pPr>
        <w:spacing w:after="0" w:line="232" w:lineRule="auto"/>
        <w:rPr>
          <w:sz w:val="20"/>
          <w:szCs w:val="20"/>
          <w:color w:val="auto"/>
        </w:rPr>
      </w:pPr>
      <w:r>
        <w:rPr>
          <w:rFonts w:ascii="Arial" w:cs="Arial" w:eastAsia="Arial" w:hAnsi="Arial"/>
          <w:sz w:val="16"/>
          <w:szCs w:val="16"/>
          <w:color w:val="auto"/>
        </w:rPr>
        <w:t>S,M08Z1OW+;G]-VT#[XE"ZG.7[4?GF?S,M,9YZ@QTFK^K MC?1\;S7!`8)2Y3MNMIA2&amp;X@(FEJ)5$G"*EYD!CSEY0&amp;3W_JXX^R`_LQ#OU.?</w:t>
      </w:r>
    </w:p>
    <w:p>
      <w:pPr>
        <w:spacing w:after="0" w:line="233" w:lineRule="auto"/>
        <w:rPr>
          <w:sz w:val="20"/>
          <w:szCs w:val="20"/>
          <w:color w:val="auto"/>
        </w:rPr>
      </w:pPr>
      <w:r>
        <w:rPr>
          <w:rFonts w:ascii="Arial" w:cs="Arial" w:eastAsia="Arial" w:hAnsi="Arial"/>
          <w:sz w:val="16"/>
          <w:szCs w:val="16"/>
          <w:color w:val="auto"/>
        </w:rPr>
        <w:t>M5=_2T1O"5]&amp;MO;:3D.+DFPVY62\+$.&gt;.69:A#&amp;VC]95V!N.&amp;&gt;&amp;690(V@_(W# M'(,LB\2E:U-,/.I0V`5K4VVI02@$@%:B-D@D`DCOD!4S1^B4Y#2A;U1:%</w:t>
      </w:r>
    </w:p>
    <w:p>
      <w:pPr>
        <w:spacing w:after="0" w:line="232" w:lineRule="auto"/>
        <w:rPr>
          <w:sz w:val="20"/>
          <w:szCs w:val="20"/>
          <w:color w:val="auto"/>
        </w:rPr>
      </w:pPr>
      <w:r>
        <w:rPr>
          <w:rFonts w:ascii="Arial" w:cs="Arial" w:eastAsia="Arial" w:hAnsi="Arial"/>
          <w:sz w:val="16"/>
          <w:szCs w:val="16"/>
          <w:color w:val="auto"/>
        </w:rPr>
        <w:t>MH((:$)1:4X&lt;"D3426WHRL&gt;J7QU2DR8HO'CNXQ#CNU[_)U?\`4EO]T/\`\/54 MYNT/:R&lt;&lt;&gt;&lt;51L",)./-/),[%\X,(/,R.),#JOF./&amp;96&gt;&amp;0=4``0'D``.X,%[ M1-</w:t>
      </w:r>
    </w:p>
    <w:p>
      <w:pPr>
        <w:spacing w:after="0" w:line="232" w:lineRule="auto"/>
        <w:rPr>
          <w:sz w:val="20"/>
          <w:szCs w:val="20"/>
          <w:color w:val="auto"/>
        </w:rPr>
      </w:pPr>
      <w:r>
        <w:rPr>
          <w:rFonts w:ascii="Arial" w:cs="Arial" w:eastAsia="Arial" w:hAnsi="Arial"/>
          <w:sz w:val="16"/>
          <w:szCs w:val="16"/>
          <w:color w:val="auto"/>
        </w:rPr>
        <w:t>L)677*H^#%9\#CURL9`7GU1XYQZV#_`(Y&lt;#P'(&lt;\#P'.M.2O8]WYW4&gt;OM6 MM1W)4KIS+W6H]RI2OVV))4=R21N?7;OVT;?6$=+SW_8OJ"-^^Q8TWOW^_P#R</w:t>
      </w:r>
    </w:p>
    <w:p>
      <w:pPr>
        <w:spacing w:after="0"/>
        <w:rPr>
          <w:sz w:val="20"/>
          <w:szCs w:val="20"/>
          <w:color w:val="auto"/>
        </w:rPr>
      </w:pPr>
      <w:r>
        <w:rPr>
          <w:rFonts w:ascii="Arial" w:cs="Arial" w:eastAsia="Arial" w:hAnsi="Arial"/>
          <w:sz w:val="15"/>
          <w:szCs w:val="15"/>
          <w:color w:val="auto"/>
        </w:rPr>
        <w:t>M@'?]!^66L^3J_P"I+?[H?_AZ&gt;3J_ZDM_NA_^'JJL=I&gt;VD?&amp;EH&gt;/_`.&gt;4!X&gt;' M&lt;$C`/^6L&gt;I)VS_`M#_[Q*?\`U)K\?4]Z@_KYJ?\`#N7^'[Z?G_'J^L(Z7?[E M]0?[OIK_`.B'_;Y?</w:t>
      </w:r>
    </w:p>
    <w:p>
      <w:pPr>
        <w:spacing w:after="0"/>
        <w:rPr>
          <w:sz w:val="20"/>
          <w:szCs w:val="20"/>
          <w:color w:val="auto"/>
        </w:rPr>
      </w:pPr>
      <w:r>
        <w:rPr>
          <w:rFonts w:ascii="Arial" w:cs="Arial" w:eastAsia="Arial" w:hAnsi="Arial"/>
          <w:sz w:val="16"/>
          <w:szCs w:val="16"/>
          <w:color w:val="auto"/>
        </w:rPr>
        <w:t>EEJODZO^I+?[H?\`X&gt;GDZO\`J2W^Z'_X&gt;JJO4D[9_@6A M_P#&gt;)3_ZDU@=I6V&lt;`$?V*Q`&gt;/,"B4\C\0?\`Q)WB/@`&gt;G3ZGO4']?-3_`(=R M_P`/WT_/^/7WZP?</w:t>
      </w:r>
    </w:p>
    <w:p>
      <w:pPr>
        <w:spacing w:after="0" w:line="232" w:lineRule="auto"/>
        <w:rPr>
          <w:sz w:val="20"/>
          <w:szCs w:val="20"/>
          <w:color w:val="auto"/>
        </w:rPr>
      </w:pPr>
      <w:r>
        <w:rPr>
          <w:rFonts w:ascii="Arial" w:cs="Arial" w:eastAsia="Arial" w:hAnsi="Arial"/>
          <w:sz w:val="16"/>
          <w:szCs w:val="16"/>
          <w:color w:val="auto"/>
        </w:rPr>
        <w:t>IXJYK&amp;L%*KD[9766Z"Z%M;Q9FCL:A2ULI1D!J M\K.*4FP,K-=82\E2O6+U`8+[$&gt;G1G/Q)/P(/PAC&lt;)V&amp;9B?'/7#-=BGLF/`_3 M^&amp;CPV]*K/5-</w:t>
      </w:r>
    </w:p>
    <w:p>
      <w:pPr>
        <w:spacing w:after="0" w:line="232" w:lineRule="auto"/>
        <w:rPr>
          <w:sz w:val="20"/>
          <w:szCs w:val="20"/>
          <w:color w:val="auto"/>
        </w:rPr>
      </w:pPr>
      <w:r>
        <w:rPr>
          <w:rFonts w:ascii="Arial" w:cs="Arial" w:eastAsia="Arial" w:hAnsi="Arial"/>
          <w:sz w:val="16"/>
          <w:szCs w:val="16"/>
          <w:color w:val="auto"/>
        </w:rPr>
        <w:t>BSK'7B-.V":.Y75FLB4NGK&gt;ZM[")*K*YV98+9LKRNGM2)-BN6 MMUNMDMU\1,9MZR789IU^K4ZITWI^WB5LZF:OM/4=J_#LO)%FVW/KHL^/"FIC MNOLL*C-</w:t>
      </w:r>
    </w:p>
    <w:p>
      <w:pPr>
        <w:spacing w:after="0" w:line="232" w:lineRule="auto"/>
        <w:rPr>
          <w:sz w:val="20"/>
          <w:szCs w:val="20"/>
          <w:color w:val="auto"/>
        </w:rPr>
      </w:pPr>
      <w:r>
        <w:rPr>
          <w:rFonts w:ascii="Arial" w:cs="Arial" w:eastAsia="Arial" w:hAnsi="Arial"/>
          <w:sz w:val="16"/>
          <w:szCs w:val="16"/>
          <w:color w:val="auto"/>
        </w:rPr>
        <w:t>NM"3$:&gt;&lt;`FH47G'"PPEEIIIK;CD/&amp;FFFF,XY,46+E$98W9`.0+XK) MD(AB/&amp;0^5L+@1['_`'P',!P'S9``AK]/K9S+5T^VE;7YVYJ!5N,VVZT?+EZH M&gt;&gt;5*V25?</w:t>
      </w:r>
    </w:p>
    <w:p>
      <w:pPr>
        <w:spacing w:after="0" w:line="232" w:lineRule="auto"/>
        <w:rPr>
          <w:sz w:val="20"/>
          <w:szCs w:val="20"/>
          <w:color w:val="auto"/>
        </w:rPr>
      </w:pPr>
      <w:r>
        <w:rPr>
          <w:rFonts w:ascii="Arial" w:cs="Arial" w:eastAsia="Arial" w:hAnsi="Arial"/>
          <w:sz w:val="16"/>
          <w:szCs w:val="16"/>
          <w:color w:val="auto"/>
        </w:rPr>
        <w:t>%7=6H'GO_P!,H5F&amp;#Y^*".R%=ED&amp;.**/ORS+++NQQQ M2,ZY0.60^]Q`KK#\0#K]-/8\-:&gt;_:HMQA/Z(NCC[XJ+U$;&lt;].9C(=T0IG? MYE(=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&lt;&gt;X[]@5+V]3OD)T,*_*U,GOY8Y1D7T MN;4_O:4=J=9?M1^&gt;9_,RU!3I(OCP)Q?GQG905"8"879U;VP%`D]7M0(\N4 MI^V$OKX#F!?6Z@98]?CK!SQ&gt;96[5==0A79=@63`8-</w:t>
      </w:r>
    </w:p>
    <w:p>
      <w:pPr>
        <w:spacing w:after="0"/>
        <w:rPr>
          <w:sz w:val="20"/>
          <w:szCs w:val="20"/>
          <w:color w:val="auto"/>
        </w:rPr>
      </w:pPr>
      <w:r>
        <w:rPr>
          <w:rFonts w:ascii="Arial" w:cs="Arial" w:eastAsia="Arial" w:hAnsi="Arial"/>
          <w:sz w:val="16"/>
          <w:szCs w:val="16"/>
          <w:color w:val="auto"/>
        </w:rPr>
        <w:t>7+&gt;)'E\^F,SC48A2'RI M7B@3"LE;VZ(F!-Y0NSP1$=LX8"[';?8['L#MV/Z^F=@]GC MR`\#W?[V7'=W`(ASP(A[X0$?/SSH)&gt;(^GQZW=ED'?Z.X&gt;_'_`'1]C\6NMR[F</w:t>
      </w:r>
    </w:p>
    <w:p>
      <w:pPr>
        <w:spacing w:after="0" w:line="232" w:lineRule="auto"/>
        <w:rPr>
          <w:sz w:val="20"/>
          <w:szCs w:val="20"/>
          <w:color w:val="auto"/>
        </w:rPr>
      </w:pPr>
      <w:r>
        <w:rPr>
          <w:rFonts w:ascii="Arial" w:cs="Arial" w:eastAsia="Arial" w:hAnsi="Arial"/>
          <w:sz w:val="16"/>
          <w:szCs w:val="16"/>
          <w:color w:val="auto"/>
        </w:rPr>
        <w:t>MJ,V71:`%VA71D[G$4-G&lt;,A6$XB^+J+S((J07EAF=(FA$L M9RL,\&lt;\U@8CSK^:)7E2\^11AR@UN5C,VZ;/,ACL-7Q.?Q.2(I9((BF&lt;%LK8X MTK979:G?</w:t>
      </w:r>
    </w:p>
    <w:p>
      <w:pPr>
        <w:spacing w:after="0" w:line="232" w:lineRule="auto"/>
        <w:rPr>
          <w:sz w:val="20"/>
          <w:szCs w:val="20"/>
          <w:color w:val="auto"/>
        </w:rPr>
      </w:pPr>
      <w:r>
        <w:rPr>
          <w:rFonts w:ascii="Arial" w:cs="Arial" w:eastAsia="Arial" w:hAnsi="Arial"/>
          <w:sz w:val="16"/>
          <w:szCs w:val="16"/>
          <w:color w:val="auto"/>
        </w:rPr>
        <w:t>7B,HVEU52%L;#%*QE3MC@&gt;Y$I2D9^&gt;#/,[3X#X_'GN$0[^&gt;?,/[P M\!\^L#B`^//AQW99!Y^&gt;[@0X'T"'&gt;'@`\:X'8]JUC3L9-FEM6+!*OAY*Q&amp;WG</w:t>
      </w:r>
    </w:p>
    <w:p>
      <w:pPr>
        <w:spacing w:after="0" w:line="232" w:lineRule="auto"/>
        <w:rPr>
          <w:sz w:val="20"/>
          <w:szCs w:val="20"/>
          <w:color w:val="auto"/>
        </w:rPr>
      </w:pPr>
      <w:r>
        <w:rPr>
          <w:rFonts w:ascii="Arial" w:cs="Arial" w:eastAsia="Arial" w:hAnsi="Arial"/>
          <w:sz w:val="16"/>
          <w:szCs w:val="16"/>
          <w:color w:val="auto"/>
        </w:rPr>
        <w:t>M2JQ9A'8/&amp;R5[AEG@@1&amp;OLH&lt;6MK+6+IRPSQ(P,''(`^#7U^T;; M635C5ERU1963ZQ/,H9,:_L:&amp;S3)XC4=D6$0D$A:L8V].0N#&amp;QRO/",O#LD[9</w:t>
      </w:r>
    </w:p>
    <w:p>
      <w:pPr>
        <w:spacing w:after="0"/>
        <w:rPr>
          <w:sz w:val="20"/>
          <w:szCs w:val="20"/>
          <w:color w:val="auto"/>
        </w:rPr>
      </w:pPr>
      <w:r>
        <w:rPr>
          <w:rFonts w:ascii="Arial" w:cs="Arial" w:eastAsia="Arial" w:hAnsi="Arial"/>
          <w:sz w:val="15"/>
          <w:szCs w:val="15"/>
          <w:color w:val="auto"/>
        </w:rPr>
        <w:t>MO;)#EBRKE!#GD"73&amp;=M=3'CCO$.0'ORR'PX[N1'GCN[PYX'S@/(ZQU,&gt;&gt;&gt;!Y M\?;9&lt;&lt;^GJ\]7K?[W'6^/6&gt;OAQSU@_P`AUO\`R]_/H[]&lt;*L.RZ[J.(NU@6K/( M76&lt;#8&lt;4V;[-</w:t>
      </w:r>
    </w:p>
    <w:p>
      <w:pPr>
        <w:spacing w:after="0"/>
        <w:rPr>
          <w:sz w:val="20"/>
          <w:szCs w:val="20"/>
          <w:color w:val="auto"/>
        </w:rPr>
      </w:pPr>
      <w:r>
        <w:rPr>
          <w:rFonts w:ascii="Arial" w:cs="Arial" w:eastAsia="Arial" w:hAnsi="Arial"/>
          <w:sz w:val="16"/>
          <w:szCs w:val="16"/>
          <w:color w:val="auto"/>
        </w:rPr>
        <w:t>K!E+%"XBRX+%1*%(8[222+VUF;L%2U2G1ILEBTD%"I00F)[0X MW#`6,YKU&lt;&gt;.._@`X[Q$1X^7GGGX^&gt;&gt;&gt;!YY#7CV&gt;'H'Y&gt;OGR/Q9#UN&lt;@^+(1#</w:t>
      </w:r>
    </w:p>
    <w:p>
      <w:pPr>
        <w:spacing w:after="0" w:line="232" w:lineRule="auto"/>
        <w:rPr>
          <w:sz w:val="20"/>
          <w:szCs w:val="20"/>
          <w:color w:val="auto"/>
        </w:rPr>
      </w:pPr>
      <w:r>
        <w:rPr>
          <w:rFonts w:ascii="Arial" w:cs="Arial" w:eastAsia="Arial" w:hAnsi="Arial"/>
          <w:sz w:val="16"/>
          <w:szCs w:val="16"/>
          <w:color w:val="auto"/>
        </w:rPr>
        <w:t>M7J3JTJM.2J2J"5*9226H3J$YN!Q!Y!Q6)Q1Y!Q8Y%FDF%9X&amp;%FX9989EYXYX MY#CEB(^_KX\\=8.?1_S_`.G?\G?X:8QU0#PY#OY]MEQX&lt;&gt;'/'''@'@`]X``]</w:t>
      </w:r>
    </w:p>
    <w:p>
      <w:pPr>
        <w:spacing w:after="0" w:line="232" w:lineRule="auto"/>
        <w:rPr>
          <w:sz w:val="20"/>
          <w:szCs w:val="20"/>
          <w:color w:val="auto"/>
        </w:rPr>
      </w:pPr>
      <w:r>
        <w:rPr>
          <w:rFonts w:ascii="Arial" w:cs="Arial" w:eastAsia="Arial" w:hAnsi="Arial"/>
          <w:sz w:val="16"/>
          <w:szCs w:val="16"/>
          <w:color w:val="auto"/>
        </w:rPr>
        <w:t>M^N$I*T@"&amp;P7NUT&lt;.CB:RY+$HW`I!/"&amp;E*5+'J%P]VD+[%HLYOF.`+UK#'WF6 MR=T:&amp;P\[-*A7/[LI(+Q-7*,L^:]IA[X//_R\?W&gt;?T:SU\0'CD.&gt;[N^7P_?X!</w:t>
      </w:r>
    </w:p>
    <w:p>
      <w:pPr>
        <w:spacing w:after="0" w:line="232" w:lineRule="auto"/>
        <w:rPr>
          <w:sz w:val="20"/>
          <w:szCs w:val="20"/>
          <w:color w:val="auto"/>
        </w:rPr>
      </w:pPr>
      <w:r>
        <w:rPr>
          <w:rFonts w:ascii="Arial" w:cs="Arial" w:eastAsia="Arial" w:hAnsi="Arial"/>
          <w:sz w:val="16"/>
          <w:szCs w:val="16"/>
          <w:color w:val="auto"/>
        </w:rPr>
        <w:t>MZ1[@[],9CJ8\B/`]_FYRX#YH&lt;\8C\&gt;(`.@88AX=;N'GOSS'XN_G(&gt;?D'NYX' MQ`-9Z^'O@\W'?X\B(!QZ&gt;1`0[O.&amp;G6QXYY#CQY\W^?-\O=XZ8S'9XCQ[;N]&amp;</w:t>
      </w:r>
    </w:p>
    <w:p>
      <w:pPr>
        <w:spacing w:after="0" w:line="232" w:lineRule="auto"/>
        <w:rPr>
          <w:sz w:val="20"/>
          <w:szCs w:val="20"/>
          <w:color w:val="auto"/>
        </w:rPr>
      </w:pPr>
      <w:r>
        <w:rPr>
          <w:rFonts w:ascii="Arial" w:cs="Arial" w:eastAsia="Arial" w:hAnsi="Arial"/>
          <w:sz w:val="16"/>
          <w:szCs w:val="16"/>
          <w:color w:val="auto"/>
        </w:rPr>
        <w:t>M&gt;8#\7(AER/'F$&gt;&gt;/-K(88@(B'/?YNMD(!\F(CU/[?1\OQ&gt; M.N/22812&amp;HDKE+9+'XNW+GABCJ)?(WIM8T2Q_D[HF9(VQI5;HI2D*'B0/*U&amp; MTLC649FN=G-</w:t>
      </w:r>
    </w:p>
    <w:p>
      <w:pPr>
        <w:spacing w:after="0" w:line="232" w:lineRule="auto"/>
        <w:rPr>
          <w:sz w:val="20"/>
          <w:szCs w:val="20"/>
          <w:color w:val="auto"/>
        </w:rPr>
      </w:pPr>
      <w:r>
        <w:rPr>
          <w:rFonts w:ascii="Arial" w:cs="Arial" w:eastAsia="Arial" w:hAnsi="Arial"/>
          <w:sz w:val="16"/>
          <w:szCs w:val="16"/>
          <w:color w:val="auto"/>
        </w:rPr>
        <w:t>6F;V\A2K/*)S8SD&gt;FOXC'%`4M(;C%B4MP5)E:U,AS4$X+%"1` M8E*6JB$N1@'G)TAJU&amp;6J/++R*3F*TI9V9&gt;:@K'/C$GL&gt;OX4N9VR8SF'1-QD1</w:t>
      </w:r>
    </w:p>
    <w:p>
      <w:pPr>
        <w:spacing w:after="0" w:line="232" w:lineRule="auto"/>
        <w:rPr>
          <w:sz w:val="20"/>
          <w:szCs w:val="20"/>
          <w:color w:val="auto"/>
        </w:rPr>
      </w:pPr>
      <w:r>
        <w:rPr>
          <w:rFonts w:ascii="Arial" w:cs="Arial" w:eastAsia="Arial" w:hAnsi="Arial"/>
          <w:sz w:val="16"/>
          <w:szCs w:val="16"/>
          <w:color w:val="auto"/>
        </w:rPr>
        <w:t>M,B4,""32=C8%KX1$&amp;-1)Y6&gt;SI'9=VQ]8'YL;WIC?&amp;9&gt;D=6=Y9W9(4O:W5I7H4R&gt;.(FIW?5C\S)&amp;6/X.QC\\*G1`0U,A;#@ M&lt;8^&amp;.</w:t>
      </w:r>
    </w:p>
    <w:p>
      <w:pPr>
        <w:spacing w:after="0" w:line="233" w:lineRule="auto"/>
        <w:rPr>
          <w:sz w:val="20"/>
          <w:szCs w:val="20"/>
          <w:color w:val="auto"/>
        </w:rPr>
      </w:pPr>
      <w:r>
        <w:rPr>
          <w:rFonts w:ascii="Arial" w:cs="Arial" w:eastAsia="Arial" w:hAnsi="Arial"/>
          <w:sz w:val="16"/>
          <w:szCs w:val="16"/>
          <w:color w:val="auto"/>
        </w:rPr>
        <w:t>[B:HQ1MF#.6G4&amp;.N:TXG%MP(.R6B1B48.+&amp;?=TU\=BD#%*&amp;1FDL:&gt;6J M0QV1-3&lt;^L#\QN*-W97QE&gt;$93@TN[.ZMYRA`YM;F@/(6MS@B//2+DAQ*E*&lt;:0</w:t>
      </w:r>
    </w:p>
    <w:p>
      <w:pPr>
        <w:spacing w:after="0"/>
        <w:rPr>
          <w:sz w:val="20"/>
          <w:szCs w:val="20"/>
          <w:color w:val="auto"/>
        </w:rPr>
      </w:pPr>
      <w:r>
        <w:rPr>
          <w:rFonts w:ascii="Arial" w:cs="Arial" w:eastAsia="Arial" w:hAnsi="Arial"/>
          <w:sz w:val="15"/>
          <w:szCs w:val="15"/>
          <w:color w:val="auto"/>
        </w:rPr>
        <w:t>M;AGE]8,L1\!`?/W&gt;CGCGY.0XY\.&gt;[3&amp;07Z1OW+;G]-VT#[XE"ZG.7[4?GF?S M,M08Z1OW+;G]-VT#[XE"ZG.7[4?GF?S,M,9YZZSNBN6^X:AM.I77&lt;`^'@.NS-&gt;.0(&gt;(?)\?HT</w:t>
      </w:r>
    </w:p>
    <w:p>
      <w:pPr>
        <w:spacing w:after="0"/>
        <w:rPr>
          <w:sz w:val="20"/>
          <w:szCs w:val="20"/>
          <w:color w:val="auto"/>
        </w:rPr>
      </w:pPr>
      <w:r>
        <w:rPr>
          <w:rFonts w:ascii="Arial" w:cs="Arial" w:eastAsia="Arial" w:hAnsi="Arial"/>
          <w:sz w:val="16"/>
          <w:szCs w:val="16"/>
          <w:color w:val="auto"/>
        </w:rPr>
        <w:t>MST'8@_&lt;=^_&gt;?LB%+ M/:+E@AO*/I#0P++R4PZ]R7.3K4)8==`T7+%AR`2CL,]&lt;+U6,5T/,-N#YI&amp;_X M*`V4/^H';[QL?13:];G#=*'RZR3S:4`TTTU'RS&amp;-</w:t>
      </w:r>
    </w:p>
    <w:p>
      <w:pPr>
        <w:spacing w:after="0" w:line="232" w:lineRule="auto"/>
        <w:rPr>
          <w:sz w:val="20"/>
          <w:szCs w:val="20"/>
          <w:color w:val="auto"/>
        </w:rPr>
      </w:pPr>
      <w:r>
        <w:rPr>
          <w:rFonts w:ascii="Arial" w:cs="Arial" w:eastAsia="Arial" w:hAnsi="Arial"/>
          <w:sz w:val="16"/>
          <w:szCs w:val="16"/>
          <w:color w:val="auto"/>
        </w:rPr>
        <w:t>=8759Z"E*BLNVW'`#R*ZA3_`"PA(/'+ MD[-J+/\`5YG+`?;G/+,=Q1[).7+Z.:'_E'ZGZ*T M:MM;D.WNXYMPV2%IH*Y+EKJ%QM0]'6J.#8.,^G)Y+:`=U#*D8RW.#6R($KPI</w:t>
      </w:r>
    </w:p>
    <w:p>
      <w:pPr>
        <w:spacing w:after="0"/>
        <w:rPr>
          <w:sz w:val="20"/>
          <w:szCs w:val="20"/>
          <w:color w:val="auto"/>
        </w:rPr>
      </w:pPr>
      <w:r>
        <w:rPr>
          <w:rFonts w:ascii="Arial" w:cs="Arial" w:eastAsia="Arial" w:hAnsi="Arial"/>
          <w:sz w:val="15"/>
          <w:szCs w:val="15"/>
          <w:color w:val="auto"/>
        </w:rPr>
        <w:t>MR7/N19JZ1N&amp;8];-RE#PJ4/4I/B M(]_(B/B(\]_(^?G6==/=35P:2KK:6L83%K:B!#K*^*@`(C08$=N+$CH`[!#, M=IMM(_HI&amp;;]E'DI2N*$T"+K+7&gt;59Y';-IEP3I"\06E6+/+K8</w:t>
      </w:r>
    </w:p>
    <w:p>
      <w:pPr>
        <w:spacing w:after="0"/>
        <w:rPr>
          <w:sz w:val="20"/>
          <w:szCs w:val="20"/>
          <w:color w:val="auto"/>
        </w:rPr>
      </w:pPr>
      <w:r>
        <w:rPr>
          <w:rFonts w:ascii="Arial" w:cs="Arial" w:eastAsia="Arial" w:hAnsi="Arial"/>
          <w:sz w:val="16"/>
          <w:szCs w:val="16"/>
          <w:color w:val="auto"/>
        </w:rPr>
        <w:t>MADO;&amp;D^R;&amp;Q+#K9H5$;BRXW'$%J(3-]C'$,&lt;0Q#N```/W:T(^T=ZA1M6]=(N ME:]]+\/ISIN+32RA25H3J"X=5TH[4ZR_:C\\S^9EK7[EV,HEZ6;:7:</w:t>
      </w:r>
    </w:p>
    <w:p>
      <w:pPr>
        <w:spacing w:after="0"/>
        <w:rPr>
          <w:sz w:val="20"/>
          <w:szCs w:val="20"/>
          <w:color w:val="auto"/>
        </w:rPr>
      </w:pPr>
      <w:r>
        <w:rPr>
          <w:rFonts w:ascii="Arial" w:cs="Arial" w:eastAsia="Arial" w:hAnsi="Arial"/>
          <w:sz w:val="15"/>
          <w:szCs w:val="15"/>
          <w:color w:val="auto"/>
        </w:rPr>
        <w:t>ME_7EMKGD3VI!NFA4%J&gt;^XB_-0'4,?G$93-9M1#Y&amp;W(&amp;F])M#D1N+DS0B4I!&lt; M8\*]6E$K%*NQ3D+BA-CO*-O&gt;Y&amp;DNB=J&gt;K(CT=:"Y-Q+3NEN&gt;9UE4#VR4)8L=</w:t>
      </w:r>
    </w:p>
    <w:p>
      <w:pPr>
        <w:spacing w:after="0"/>
        <w:rPr>
          <w:sz w:val="20"/>
          <w:szCs w:val="20"/>
          <w:color w:val="auto"/>
        </w:rPr>
      </w:pPr>
      <w:r>
        <w:rPr>
          <w:rFonts w:ascii="Arial" w:cs="Arial" w:eastAsia="Arial" w:hAnsi="Arial"/>
          <w:sz w:val="16"/>
          <w:szCs w:val="16"/>
          <w:color w:val="auto"/>
        </w:rPr>
        <w:t>MVIHK*N2]'YBOU=`%=H,-/3M[KBJ)\I"'UFU3DIL@/W:P.&amp;&amp;0&lt;98XY!SSP.("'/IX$/'40NJ+26CQXH45`[?%NKUW5ZD?AEOZ[I MMIZKZCZCZI1G[I6I-</w:t>
      </w:r>
    </w:p>
    <w:p>
      <w:pPr>
        <w:spacing w:after="0" w:line="232" w:lineRule="auto"/>
        <w:rPr>
          <w:sz w:val="20"/>
          <w:szCs w:val="20"/>
          <w:color w:val="auto"/>
        </w:rPr>
      </w:pPr>
      <w:r>
        <w:rPr>
          <w:rFonts w:ascii="Arial" w:cs="Arial" w:eastAsia="Arial" w:hAnsi="Arial"/>
          <w:sz w:val="16"/>
          <w:szCs w:val="16"/>
          <w:color w:val="auto"/>
        </w:rPr>
        <w:t>4459IVRCOVCKM$W`J?=S%7!J2@-1)BO=6_&gt;)*'"I[=? M)(Y'--BH^C`O.*[F=L$7B&amp;UZZVRGFZ9=').HU&gt;MTNM0IIQ2VVK:SM3O&gt;C=Q&gt; MWNW7&amp;"V9('B-</w:t>
      </w:r>
    </w:p>
    <w:p>
      <w:pPr>
        <w:spacing w:after="0" w:line="232" w:lineRule="auto"/>
        <w:rPr>
          <w:sz w:val="20"/>
          <w:szCs w:val="20"/>
          <w:color w:val="auto"/>
        </w:rPr>
      </w:pPr>
      <w:r>
        <w:rPr>
          <w:rFonts w:ascii="Arial" w:cs="Arial" w:eastAsia="Arial" w:hAnsi="Arial"/>
          <w:sz w:val="16"/>
          <w:szCs w:val="16"/>
          <w:color w:val="auto"/>
        </w:rPr>
        <w:t>6;9LOG0K4$#J'&amp;2UF_-EN."YMD+4DAZY,WR8CVU?=;L7N.+/ MVS+;M++2@,6N@^A(8?=Z1GETF&amp;'/48HY#:]RYF1F05:T5Q'K.9X##J-BUNFQ</w:t>
      </w:r>
    </w:p>
    <w:p>
      <w:pPr>
        <w:spacing w:after="0" w:line="232" w:lineRule="auto"/>
        <w:rPr>
          <w:sz w:val="20"/>
          <w:szCs w:val="20"/>
          <w:color w:val="auto"/>
        </w:rPr>
      </w:pPr>
      <w:r>
        <w:rPr>
          <w:rFonts w:ascii="Arial" w:cs="Arial" w:eastAsia="Arial" w:hAnsi="Arial"/>
          <w:sz w:val="16"/>
          <w:szCs w:val="16"/>
          <w:color w:val="auto"/>
        </w:rPr>
        <w:t>MU^RAE&lt;[8D3[((G)GN^'QX7[1X88!QQCB'`7`RH[IAMKEM[N:0VWUA4;4K4N3;OYVBSZ8R!&amp;QUY*AKV MLX98*M9-K*41"U$[A`Y@EA;4?</w:t>
      </w:r>
    </w:p>
    <w:p>
      <w:pPr>
        <w:spacing w:after="0"/>
        <w:rPr>
          <w:sz w:val="20"/>
          <w:szCs w:val="20"/>
          <w:color w:val="auto"/>
        </w:rPr>
      </w:pPr>
      <w:r>
        <w:rPr>
          <w:rFonts w:ascii="Arial" w:cs="Arial" w:eastAsia="Arial" w:hAnsi="Arial"/>
          <w:sz w:val="15"/>
          <w:szCs w:val="15"/>
          <w:color w:val="auto"/>
        </w:rPr>
        <w:t>@\GQ:1,4F;GOLP0J8T]I\SD)D!=UVS?I"ZM M&amp;81;:0_6)*UC'T94\K.%W-6C%0NWM_&lt;=RTJWS578..;-%:I;*RA&lt;0E6-/82] M5FJC\89HLZ-S6I-&gt;LUTC`_+SH..(^.(#W&lt;=X`/=S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MSQ\G/?\`+IC-37=%0'2]P_\`:'`Z;FF\R5T"Q;O]RRRO'2+W(NFVXI9!YEM' MHE3MJ?B)@Y7[3DTD-/PW=2JO8L^+2^R@C#"ZF1W*Q8)*Z::L6Q+9ATA&gt;TF[=</w:t>
      </w:r>
    </w:p>
    <w:p>
      <w:pPr>
        <w:sectPr>
          <w:pgSz w:w="11900" w:h="16896" w:orient="portrait"/>
          <w:cols w:equalWidth="0" w:num="1">
            <w:col w:w="11440"/>
          </w:cols>
          <w:pgMar w:left="220" w:top="124" w:right="239" w:bottom="0" w:gutter="0" w:footer="0" w:header="0"/>
        </w:sectPr>
      </w:pPr>
    </w:p>
    <w:bookmarkStart w:id="55" w:name="page56"/>
    <w:bookmarkEnd w:id="55"/>
    <w:p>
      <w:pPr>
        <w:spacing w:after="0" w:line="250" w:lineRule="auto"/>
        <w:rPr>
          <w:sz w:val="20"/>
          <w:szCs w:val="20"/>
          <w:color w:val="auto"/>
        </w:rPr>
      </w:pPr>
      <w:r>
        <w:rPr>
          <w:rFonts w:ascii="Arial" w:cs="Arial" w:eastAsia="Arial" w:hAnsi="Arial"/>
          <w:sz w:val="15"/>
          <w:szCs w:val="15"/>
          <w:color w:val="auto"/>
        </w:rPr>
        <w:t>MUFTW8S6DG*G$XLB$;O&gt;CXL'&lt;&amp;X0.4):Q/5L,'L&amp;(Y[@YLXHHW*2&amp;+]'1]N,D MDU;V=F&gt;&lt;&lt;1Y'D&gt;&lt;0'D0[@$&gt;[QX[N?'6&gt;`] M`&gt; (#X!XAX#\H&gt;;T:8S3UM+;KTP,&gt;V45(SQ%7OZE&gt;ZJR$F]&amp;:SB4M^[)X78U/ M;48=WUEV=0'.&amp;M-UU&gt;RM5=R&gt;$EM[N2]+)U)ZO87AM-56K4MI2J2L*)KQN%W. M[GX]TG-;5*[WI&gt;"2P))O/Z)I@8*TK_`ZH=W///'= MW&lt;\CSQZ=?$.C$=4/J.4'L;0=)&amp;]$&gt;VH'\UL0&amp;/:)N4Y==2@2.V:&lt;7%,A49^R M/2$*2TYN7.6960B.F,T^+-V^=,Q&amp;=D6W-CA:O?\`2S=Q+J8_L13]6Z4EQ5.+D[;"O4P'@!QQ'CPYQ#NY\&gt;.[NY\_&amp;L]7 M'WH&gt;(#X!XAX#\H&gt;;T&gt;;3&amp;:A".L^F"#;\6VJF+I$4MN(;'H$W?0^R/&lt;$3)-F&amp;:21._MER'4P[PZF/&amp;7? E[$._Y&gt;[O\`[=9ZN/'' M5#CCCC@../1QXA#8`U;F.DC/F,D;+X=Z]M4 M_;N]TRK&gt;-DJ24S!!&gt;5H6=DDPL9P;TL&gt;0OEM6+/HDX(,F&amp;82PU&amp;F7J%'14UVU M]+! &lt;3IM&lt;;=QL%W869(V&lt;[H4[)3J8[;M&gt;-NWF"G47(JVE&amp;_8=P-?_`+1&amp;9%++ MUQMIL=9PBD#;%9@Y.C*D8X.`]B'&lt;`=X`'=W!SW\!IC-; [I2=LN^=]WNX;B]F+#=&gt;W\9YTBB:HX=NNLJ#V)N3@U,V?T;&gt;=;U[' MKCF"ZQ)J].":8[N%4N_98WNTTE$RCD6=VXF;/*./`UIFW:]''$1Y'$!$.0`1 M`.0Y\?W^? TZP&amp;&amp;```!CB`!SP`8@`!SX\!QW&lt;^?TZ8S5-VUT'TM-;;F-C&lt;5&gt;S MKYA5&amp;UG2W1UQ$EFC+M&amp;WZB(K5E;;4"8EO'J^YXSA?D4AN-BN5TICBV&gt;5'U!; M=AX=:`.=1RYMC&lt;&gt;F329UQMKV$[](@ML&amp;JLD&gt;]6OJOK^*]+C.@;%&gt;XG/&amp;N[UW M(V'N41R?:`I%*ELIX5SF"S&gt;GI&lt;\/K^VR=O86*1V.FF:FQ$JHYT&lt;@?]OGJ8\@ M/5QY`.`'@.0#T`/'&lt;&amp;@88!R(8X@(\\B&amp;(=_/CSW=_/G].F,U8*$IOI&gt;HONPV M9))JY7[&amp;*DA]4='VT+TD&gt;=8N]T:Q5]"=K(1_&gt;I7-V1=-?,/A!=COEYXJA:Y1 ME3=KSXOM8$Y5#*FN,1Z8LYDK.B3B'2'PB^=R;5NU1;BY)6BU@2+8U9&gt;X6&gt;AB MZ&amp;6&amp;7:T]/RB;%6#7=U[UHM)QKQS8ERBU:&amp;5T[5+@RHXO&amp;!J)OE:)Y4(K\^IC MR`]7'D`X`&gt;`Y`/0`\=P:!CB'(ACB`B/(\``I3&amp;H%Q&gt;.1AJ=6 MW.S:HQP5-#\RN"=8R2)C6X%+V*0-KHRKR25J!05CMZ"'(_6OE MT@NSN141-IKNWHV+NLEI^&gt;NBB6;I*BB+0K=I%"9:=@`/.Y^K8PU%'KGY.[D$ MD&amp;[BJZ8$1SR_8HR[FAR!?,DL[:)Q,ZZ8&amp;%%IP[-+/8_)"SL-S]R2/7Y`@$[# MD</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T&amp;\)&lt;[K3IR)U/Z&gt;URIO4O151?T;[TJ7 M4QT;/VD65/K&amp;Q)FBGBY#W37S&amp;9Y:)$T-4@C[JVOK"^MJ-Y8WUE7)G1F&gt;F=Q) MQ4-[LTN:</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(PY&amp;XMRY/GB,LEQMQEQ;3J%M.M+4V MXVXE2'&amp;W$**5H6A0"D+0H%*DJ`4E0((!&amp;8$&gt;`$?'@/`/$?B#XQ\VM=S=M/0L</w:t>
      </w:r>
    </w:p>
    <w:p>
      <w:pPr>
        <w:ind w:left="400"/>
        <w:spacing w:after="0" w:line="232" w:lineRule="auto"/>
        <w:rPr>
          <w:sz w:val="20"/>
          <w:szCs w:val="20"/>
          <w:color w:val="auto"/>
        </w:rPr>
      </w:pPr>
      <w:r>
        <w:rPr>
          <w:rFonts w:ascii="Arial" w:cs="Arial" w:eastAsia="Arial" w:hAnsi="Arial"/>
          <w:sz w:val="16"/>
          <w:szCs w:val="16"/>
          <w:color w:val="auto"/>
        </w:rPr>
        <w:t>M_=9;#NG4&gt;4L5:@T43&amp;,L&lt;^L1UH1V[W8BM,/&gt;`^6V1)'9I/SP_P"U"))&lt;Q&lt;]G-U+5+9%MNN.)J2N86_R[%*(@`N+BU(3,V)H+`?;G/&lt;@,:F8@L.&amp;</w:t>
      </w:r>
    </w:p>
    <w:p>
      <w:pPr>
        <w:ind w:left="400"/>
        <w:spacing w:after="0" w:line="232" w:lineRule="auto"/>
        <w:rPr>
          <w:sz w:val="20"/>
          <w:szCs w:val="20"/>
          <w:color w:val="auto"/>
        </w:rPr>
      </w:pPr>
      <w:r>
        <w:rPr>
          <w:rFonts w:ascii="Arial" w:cs="Arial" w:eastAsia="Arial" w:hAnsi="Arial"/>
          <w:sz w:val="16"/>
          <w:szCs w:val="16"/>
          <w:color w:val="auto"/>
        </w:rPr>
        <w:t>(".0!K65C*!Q;F5"2]JY25PS$&lt;\W&amp;5/BQ2^RMQS,'V6&gt;2^2. M3HJZP^.)N(!R`!K8+[.SI[^T?5JYUW*8\R!T]H'!$&lt;4GLG4.J1(JX123\*PB</w:t>
      </w:r>
    </w:p>
    <w:p>
      <w:pPr>
        <w:ind w:left="400"/>
        <w:spacing w:after="0" w:line="232" w:lineRule="auto"/>
        <w:rPr>
          <w:sz w:val="20"/>
          <w:szCs w:val="20"/>
          <w:color w:val="auto"/>
        </w:rPr>
      </w:pPr>
      <w:r>
        <w:rPr>
          <w:rFonts w:ascii="Arial" w:cs="Arial" w:eastAsia="Arial" w:hAnsi="Arial"/>
          <w:sz w:val="16"/>
          <w:szCs w:val="16"/>
          <w:color w:val="auto"/>
        </w:rPr>
        <w:t>MD9U%S`^)IQR*L[;IWV$&gt;`C1'O-SK7J)*9W:J8,?2=.M:=TKGVSC5E&lt;2(Z_5, MFNKX,"(Z`1RBZB6D[I40?O::::W9YLUQIIIIC&amp;O5F"\\Y`W,S,[R9_&gt;W5JCL</w:t>
      </w:r>
    </w:p>
    <w:p>
      <w:pPr>
        <w:ind w:left="400"/>
        <w:spacing w:after="0"/>
        <w:rPr>
          <w:sz w:val="20"/>
          <w:szCs w:val="20"/>
          <w:color w:val="auto"/>
        </w:rPr>
      </w:pPr>
      <w:r>
        <w:rPr>
          <w:rFonts w:ascii="Arial" w:cs="Arial" w:eastAsia="Arial" w:hAnsi="Arial"/>
          <w:sz w:val="15"/>
          <w:szCs w:val="15"/>
          <w:color w:val="auto"/>
        </w:rPr>
        <w:t>M8BL=1F.,DE\KD+@0SQB(QMN*QS-&lt;)#)GQ8A9F=(7B/:+5A&gt;9HEIR5!I?\KDY M(6E"I&lt;7%44B0I,,)AQQZA0:4E2)4Y1RM:L.(1(DZE M8&gt;21GMR]!]T1K_7;E'M\^[:</w:t>
      </w:r>
    </w:p>
    <w:p>
      <w:pPr>
        <w:ind w:left="400"/>
        <w:spacing w:after="0"/>
        <w:rPr>
          <w:sz w:val="20"/>
          <w:szCs w:val="20"/>
          <w:color w:val="auto"/>
        </w:rPr>
      </w:pPr>
      <w:r>
        <w:rPr>
          <w:rFonts w:ascii="Arial" w:cs="Arial" w:eastAsia="Arial" w:hAnsi="Arial"/>
          <w:sz w:val="16"/>
          <w:szCs w:val="16"/>
          <w:color w:val="auto"/>
        </w:rPr>
        <w:t>(.$?M+-`L-VW4;)D0)76G&amp;-]0&amp;-ZRVK):S@S, M07;+V)6J:X[%3Q`ZGX.ZN"%UP"PI0_I(MC+XG_$AISP]:'D3W'HMAKJZC2(^ MB]-*&lt;"G91BWK[ MJGCD=:^X-</w:t>
      </w:r>
    </w:p>
    <w:p>
      <w:pPr>
        <w:ind w:left="400"/>
        <w:spacing w:after="0"/>
        <w:rPr>
          <w:sz w:val="20"/>
          <w:szCs w:val="20"/>
          <w:color w:val="auto"/>
        </w:rPr>
      </w:pPr>
      <w:r>
        <w:rPr>
          <w:rFonts w:ascii="Arial" w:cs="Arial" w:eastAsia="Arial" w:hAnsi="Arial"/>
          <w:sz w:val="15"/>
          <w:szCs w:val="15"/>
          <w:color w:val="auto"/>
        </w:rPr>
        <w:t>_;A+/1K;5DSW,U^QM[FPF6MI825D$^:I*^11ECM96Q9CH MY,T/6QYND;J:BJV#310UM[8OED=1FJWC!O(.5.R8A+FH,$S$O@$FZ17:Q':' M@VXM++)O,H#:-DKJ=K-</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IKVE;GFUISZU&amp;IUE[.[P",TLR00^V%]7:+&gt;]W7%3MQ47/ZGBSG7M:6U6;^RVO&amp;9\]H75 M!9$MJ66I71H50.31U4C5M2FL!1J$Z_RHA40[`84).:80-CW8&gt;R??]'&gt;CR3;6</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MMM5Y4E$;PG5UVI,KIM94JM6NT*&gt;J[BMRQK7GL,I5[8VBQ9M!IJ\D2UMKY!8R MP%3U%&amp;,Z0RF-&amp;(I=C'E;70==:=07&gt;H&gt;HJFRTM51.F\2CK).F]7,W3#]O;WSQ</w:t>
      </w:r>
    </w:p>
    <w:p>
      <w:pPr>
        <w:ind w:left="400"/>
        <w:spacing w:after="0"/>
        <w:rPr>
          <w:sz w:val="20"/>
          <w:szCs w:val="20"/>
          <w:color w:val="auto"/>
        </w:rPr>
      </w:pPr>
      <w:r>
        <w:rPr>
          <w:rFonts w:ascii="Arial" w:cs="Arial" w:eastAsia="Arial" w:hAnsi="Arial"/>
          <w:sz w:val="16"/>
          <w:szCs w:val="16"/>
          <w:color w:val="auto"/>
        </w:rPr>
        <w:t>MC_2E9+HDK+\&amp;+""Y!9F.-I1(\I'$GGDO;=L3926G(K**M$=I4:6EX*?&gt;DJX^ M:TMC?=M"-U&lt;5D;*XCOWR3T9Z5+9I.IM5\'KZ:SZQ#[8IR`W^QRF`43=TPKF-</w:t>
      </w:r>
    </w:p>
    <w:p>
      <w:pPr>
        <w:ind w:left="400"/>
        <w:spacing w:after="0" w:line="232" w:lineRule="auto"/>
        <w:rPr>
          <w:sz w:val="20"/>
          <w:szCs w:val="20"/>
          <w:color w:val="auto"/>
        </w:rPr>
      </w:pPr>
      <w:r>
        <w:rPr>
          <w:rFonts w:ascii="Arial" w:cs="Arial" w:eastAsia="Arial" w:hAnsi="Arial"/>
          <w:sz w:val="16"/>
          <w:szCs w:val="16"/>
          <w:color w:val="auto"/>
        </w:rPr>
        <w:t>M5#9I$U4PV:VI9+'`E&lt;+IQ`YDUU-,STUHO$3&lt;6H8\Y%NJ-&amp;:GR+US#;]TB&gt;V/ M;1=^;4=7Q"$SR22.5-4@9T*F,10Z*VC4[HQ M2)U`IO??VJ0%"@SS&lt;7[!</w:t>
      </w:r>
    </w:p>
    <w:p>
      <w:pPr>
        <w:ind w:left="400"/>
        <w:spacing w:after="0" w:line="232" w:lineRule="auto"/>
        <w:rPr>
          <w:sz w:val="20"/>
          <w:szCs w:val="20"/>
          <w:color w:val="auto"/>
        </w:rPr>
      </w:pPr>
      <w:r>
        <w:rPr>
          <w:rFonts w:ascii="Arial" w:cs="Arial" w:eastAsia="Arial" w:hAnsi="Arial"/>
          <w:sz w:val="16"/>
          <w:szCs w:val="16"/>
          <w:color w:val="auto"/>
        </w:rPr>
        <w:t>(15VR=$A&lt;^%[[/+!;(+L9H*/T4FVIG2Z9T`=N$RN MM@AVW.(SF'RC:E#W.:&amp;&amp;,%H[?+A97]M8GB03CF$%LZ3*V27-W* M);T76Y.!VHXFTU_7,XM&gt;:2JQ['7G-</w:t>
      </w:r>
    </w:p>
    <w:p>
      <w:pPr>
        <w:ind w:left="400"/>
        <w:spacing w:after="0" w:line="232" w:lineRule="auto"/>
        <w:rPr>
          <w:sz w:val="20"/>
          <w:szCs w:val="20"/>
          <w:color w:val="auto"/>
        </w:rPr>
      </w:pPr>
      <w:r>
        <w:rPr>
          <w:rFonts w:ascii="Arial" w:cs="Arial" w:eastAsia="Arial" w:hAnsi="Arial"/>
          <w:sz w:val="16"/>
          <w:szCs w:val="16"/>
          <w:color w:val="auto"/>
        </w:rPr>
        <w:t>4*B,:@E=,DBECZ\R%R(R0-Z-K:51QRO(I/AAD M&lt;&gt;3AG]^I]Q5&gt;VU`4MAI$TZKAN4)']R.CE]UQ-MOMB-3/''LU@&lt;'U^K&gt;XF:'3 M9A8,W`G_`&amp;&gt;^.[(D:G-(#MOO</w:t>
      </w:r>
    </w:p>
    <w:p>
      <w:pPr>
        <w:ind w:left="400"/>
        <w:spacing w:after="0"/>
        <w:rPr>
          <w:sz w:val="20"/>
          <w:szCs w:val="20"/>
          <w:color w:val="auto"/>
        </w:rPr>
      </w:pPr>
      <w:r>
        <w:rPr>
          <w:rFonts w:ascii="Arial" w:cs="Arial" w:eastAsia="Arial" w:hAnsi="Arial"/>
          <w:sz w:val="15"/>
          <w:szCs w:val="15"/>
          <w:color w:val="auto"/>
        </w:rPr>
        <w:t>M&gt;Q2'%\F&lt;77R"M*EF:A]F&lt;8BLE@!B241^9/;,HS21IZ;'=@.;G#J*\7]I-+*5 M85W[ZNAVMJR4SW#MFTGJB(5G.^CRN[81(6O&lt;%/+SF4HA#;9-U1N[FBP8W+UY M-</w:t>
      </w:r>
    </w:p>
    <w:p>
      <w:pPr>
        <w:ind w:left="400"/>
        <w:spacing w:after="0"/>
        <w:rPr>
          <w:sz w:val="20"/>
          <w:szCs w:val="20"/>
          <w:color w:val="auto"/>
        </w:rPr>
      </w:pPr>
      <w:r>
        <w:rPr>
          <w:rFonts w:ascii="Arial" w:cs="Arial" w:eastAsia="Arial" w:hAnsi="Arial"/>
          <w:sz w:val="16"/>
          <w:szCs w:val="16"/>
          <w:color w:val="auto"/>
        </w:rPr>
        <w:t>H2ZPU8NC&gt;_1IT9YQ*&amp;O)C2N;6]-;F[H68(DJ8R_Q-.8:L?\HHDE&lt;;52?$I&gt; M?E'4[\T*'W$EJ-</w:t>
      </w:r>
    </w:p>
    <w:p>
      <w:pPr>
        <w:ind w:left="400" w:right="100"/>
        <w:spacing w:after="0" w:line="247" w:lineRule="auto"/>
        <w:rPr>
          <w:sz w:val="20"/>
          <w:szCs w:val="20"/>
          <w:color w:val="auto"/>
        </w:rPr>
      </w:pPr>
      <w:r>
        <w:rPr>
          <w:rFonts w:ascii="Arial" w:cs="Arial" w:eastAsia="Arial" w:hAnsi="Arial"/>
          <w:sz w:val="15"/>
          <w:szCs w:val="15"/>
          <w:color w:val="auto"/>
        </w:rPr>
        <w:t>3D.9N3,2MS&lt;@+;SU:4E&lt;8*7J(SE*$\@73"PH;$WV;2:'-!+!DY`+\SQ^..ARU$KS M2Y$KP;V3++]./3,VKJ8Y#T*4O?KCGEQMD[JV`6#8F\[&gt;_=CA&lt;\-9G@NZ&amp;&amp;D-MTVPN4;4X="6B3"PM[BJ?:^L9X9K,-BYDA;X6(,N#FVNGZS9AD/3L/Z%*]6J+ M;7#UE/\`1@PJ9;;;&lt;@R\]!4\&amp;LID;K0@S/L\GFV646G.YJ[0)6I&lt;+E-ETBB5 MQ0F(H: [:VY@=H0U(9-;TT?DC1+VIC-B^`W?6]BQ*J)&gt;S/^+6FNN(-4VKIAF* M8^#SA\9'9E2/^&amp;(P258MV+4YSXR*6G!U8C!S(=DJ0XO/#'E2&amp;PH*YK M'1O;IE%5Z]D;C'=Y1(I&amp;R*U;2U$JEB$US:&gt;@;\%K M-C;EC$3$J%OW"*DB@7[-Z?JO6LSHX+WB1IYXWGE1I/RMSZ$*VF&amp;).KE4[UM1 MCETRVINEJ@=DRR2URHD[#:2K?9NDB%UT2UV0WN,$6%3V*5;7[`Z0MY2S9HDC M9$GUP2.L5B,P:DRQO7,9?!+]TU%PI50B=SGC:XE;F;5_8O3+G% &lt;#IDQRVP/U M*G%@BU8/L7Q=6AN281FN9'%8G:BU3;BV9JL7!6E3F\5DF]3;_%=T#%M` M=)8J&amp;ZW:JSKH9O*N.,;U/9OD65%HB=+I"@6LL1:'5RP=G]P^D'5QF+.TB&gt;6UKK2?;6)=3&amp; M=9Q]Q(JNLFA;+VR=RHYZ/6H(!7T+=&amp;? RMU0,\&gt;6JL8V3S+I`&gt;AXPWE[CK#NL MANV_&gt;0V!3&gt;QNKG(J=Q(]7)UP;==[Y&gt;X"Y1='-%$W/,]KLJC$J"IT10+\U#QD MWHX[)L4,12IE)3&amp;7:,UC0&amp;0NY4?</w:t>
      </w:r>
    </w:p>
    <w:p>
      <w:pPr>
        <w:ind w:left="400"/>
        <w:spacing w:after="0" w:line="237" w:lineRule="auto"/>
        <w:rPr>
          <w:sz w:val="20"/>
          <w:szCs w:val="20"/>
          <w:color w:val="auto"/>
        </w:rPr>
      </w:pPr>
      <w:r>
        <w:rPr>
          <w:rFonts w:ascii="Arial" w:cs="Arial" w:eastAsia="Arial" w:hAnsi="Arial"/>
          <w:sz w:val="16"/>
          <w:szCs w:val="16"/>
          <w:color w:val="auto"/>
        </w:rPr>
        <w:t>89M$7I]/CZ"6$LS1)F-S=CHNZ8X9-DD*; M4+@H7&amp;,#CB86*!YP(R;5@9X"F5&amp;AGCS_`"E6G6BA,M6$6#"#DC:&gt;:E&lt;514NC</w:t>
      </w:r>
    </w:p>
    <w:p>
      <w:pPr>
        <w:ind w:left="400"/>
        <w:spacing w:after="0" w:line="232" w:lineRule="auto"/>
        <w:rPr>
          <w:sz w:val="20"/>
          <w:szCs w:val="20"/>
          <w:color w:val="auto"/>
        </w:rPr>
      </w:pPr>
      <w:r>
        <w:rPr>
          <w:rFonts w:ascii="Arial" w:cs="Arial" w:eastAsia="Arial" w:hAnsi="Arial"/>
          <w:sz w:val="16"/>
          <w:szCs w:val="16"/>
          <w:color w:val="auto"/>
        </w:rPr>
        <w:t>MAB=`I(&lt;530&gt;G6G8N8E)3R75$L;#23\BS"W!(J19XXJDYQ6&amp;OFX=#O&gt;"7?:Y[ MDV)YH"MZBC;CNA;H`AV]1=JJ^V6ZH;HV&lt;(]N]&gt;05MB;%54.CIDXJ*3,32[-&lt;</w:t>
      </w:r>
    </w:p>
    <w:p>
      <w:pPr>
        <w:ind w:left="400"/>
        <w:spacing w:after="0"/>
        <w:rPr>
          <w:sz w:val="20"/>
          <w:szCs w:val="20"/>
          <w:color w:val="auto"/>
        </w:rPr>
      </w:pPr>
      <w:r>
        <w:rPr>
          <w:rFonts w:ascii="Arial" w:cs="Arial" w:eastAsia="Arial" w:hAnsi="Arial"/>
          <w:sz w:val="15"/>
          <w:szCs w:val="15"/>
          <w:color w:val="auto"/>
        </w:rPr>
        <w:t>MGF=XRB/R)K3QPA@::G31,ML=*SME'14W=N([:%3[;%`J#J2OJQZ)2O)VW6'M MRF=%L5_8[-MS\^LZ\4,X@$P;7D^RK6LBL`:R;$G3/^LM/O\`(Y4CBB&amp;QINA:</w:t>
      </w:r>
    </w:p>
    <w:p>
      <w:pPr>
        <w:ind w:left="400"/>
        <w:spacing w:after="0"/>
        <w:rPr>
          <w:sz w:val="20"/>
          <w:szCs w:val="20"/>
          <w:color w:val="auto"/>
        </w:rPr>
      </w:pPr>
      <w:r>
        <w:rPr>
          <w:rFonts w:ascii="Arial" w:cs="Arial" w:eastAsia="Arial" w:hAnsi="Arial"/>
          <w:sz w:val="16"/>
          <w:szCs w:val="16"/>
          <w:color w:val="auto"/>
        </w:rPr>
        <w:t>MW67*6,W0V^RZ\=EZUJ;)U#G%S;8\AEKBW(92PJUZ"*N:;!:VR5:C3N)BA(P. M"0S!4A&gt;E!9;8K3YXGIU1A609C@NS:Z-9I!(BYW#$I8,VB-Y`E3 MKAQ?</w:t>
      </w:r>
    </w:p>
    <w:p>
      <w:pPr>
        <w:ind w:left="400"/>
        <w:spacing w:after="0" w:line="232" w:lineRule="auto"/>
        <w:rPr>
          <w:sz w:val="20"/>
          <w:szCs w:val="20"/>
          <w:color w:val="auto"/>
        </w:rPr>
      </w:pPr>
      <w:r>
        <w:rPr>
          <w:rFonts w:ascii="Arial" w:cs="Arial" w:eastAsia="Arial" w:hAnsi="Arial"/>
          <w:sz w:val="16"/>
          <w:szCs w:val="16"/>
          <w:color w:val="auto"/>
        </w:rPr>
        <w:t>W/%Q%"RY`B5I5@@YJ$@^2J4ZCCL3BL\]=A?T,&gt;X15O%M6]FI^VL0B`/L M5WZ5U!$- M*(X$4Q)(4KXV7T$-A0&gt;%,3/6&amp;6U?-'&amp;H)T2ZN14E(F*2L]&amp;;D+3V"-</w:t>
      </w:r>
    </w:p>
    <w:p>
      <w:pPr>
        <w:ind w:left="400"/>
        <w:spacing w:after="0" w:line="232" w:lineRule="auto"/>
        <w:rPr>
          <w:sz w:val="20"/>
          <w:szCs w:val="20"/>
          <w:color w:val="auto"/>
        </w:rPr>
      </w:pPr>
      <w:r>
        <w:rPr>
          <w:rFonts w:ascii="Arial" w:cs="Arial" w:eastAsia="Arial" w:hAnsi="Arial"/>
          <w:sz w:val="16"/>
          <w:szCs w:val="16"/>
          <w:color w:val="auto"/>
        </w:rPr>
        <w:t>EX,URI M;Z)98(YG*XW1]QG,-9_,RU!CI&amp;_9_,RTQGGIIIIC&amp;O'+ M$,PX'XO3YAY`0$!`0$![\1`0$![P'7EIIC*1=U'1=O#0^22Y-</w:t>
      </w:r>
    </w:p>
    <w:p>
      <w:pPr>
        <w:ind w:left="400"/>
        <w:spacing w:after="0" w:line="232" w:lineRule="auto"/>
        <w:rPr>
          <w:sz w:val="20"/>
          <w:szCs w:val="20"/>
          <w:color w:val="auto"/>
        </w:rPr>
      </w:pPr>
      <w:r>
        <w:rPr>
          <w:rFonts w:ascii="Arial" w:cs="Arial" w:eastAsia="Arial" w:hAnsi="Arial"/>
          <w:sz w:val="16"/>
          <w:szCs w:val="16"/>
          <w:color w:val="auto"/>
        </w:rPr>
        <w:t>CXQB-/+^O.NE;PVZ4=N3B(P2]JLA5I1?!0*U"W3!C2 MN9K&amp;Y]3J%OD7=!Q+&gt;8G(4V/`HI%&amp;'%G?$68`8D&lt;23`#(/OBV#T(]XB/B(CWB M(\\B(B/B(^?</w:t>
      </w:r>
    </w:p>
    <w:p>
      <w:pPr>
        <w:ind w:left="400"/>
        <w:spacing w:after="0" w:line="232" w:lineRule="auto"/>
        <w:rPr>
          <w:sz w:val="20"/>
          <w:szCs w:val="20"/>
          <w:color w:val="auto"/>
        </w:rPr>
      </w:pPr>
      <w:r>
        <w:rPr>
          <w:rFonts w:ascii="Arial" w:cs="Arial" w:eastAsia="Arial" w:hAnsi="Arial"/>
          <w:sz w:val="16"/>
          <w:szCs w:val="16"/>
          <w:color w:val="auto"/>
        </w:rPr>
        <w:t>6Y!NE_HXU4W'*2Y[3&gt;Z:]:LD3?'`B;'&amp;K6S3;EJZ8XT2ZK'TI MB:LY@Y1RXT:8]U6YG*5*NX7I1U"$)...25N2)BZKIM_1T.D1C(JC(;.=I=K( M23,L4N?</w:t>
      </w:r>
    </w:p>
    <w:p>
      <w:pPr>
        <w:ind w:left="400"/>
        <w:spacing w:after="0" w:line="232" w:lineRule="auto"/>
        <w:rPr>
          <w:sz w:val="20"/>
          <w:szCs w:val="20"/>
          <w:color w:val="auto"/>
        </w:rPr>
      </w:pPr>
      <w:r>
        <w:rPr>
          <w:rFonts w:ascii="Arial" w:cs="Arial" w:eastAsia="Arial" w:hAnsi="Arial"/>
          <w:sz w:val="16"/>
          <w:szCs w:val="16"/>
          <w:color w:val="auto"/>
        </w:rPr>
        <w:t>ZZVK43XK+#D&lt;QF9&amp;9D`=^`3-07UA_[7@._;'X*?$QX&gt;&gt;DG M3:5IS6.II^FM6W6HK"ZN7YNG+N=`&lt;'EQ:ZKC1+"CA6H5':KX;&lt;@B8W#\J;,G MI2DME+KE-</w:t>
      </w:r>
    </w:p>
    <w:p>
      <w:pPr>
        <w:ind w:left="400"/>
        <w:spacing w:after="0" w:line="232" w:lineRule="auto"/>
        <w:rPr>
          <w:sz w:val="20"/>
          <w:szCs w:val="20"/>
          <w:color w:val="auto"/>
        </w:rPr>
      </w:pPr>
      <w:r>
        <w:rPr>
          <w:rFonts w:ascii="Arial" w:cs="Arial" w:eastAsia="Arial" w:hAnsi="Arial"/>
          <w:sz w:val="16"/>
          <w:szCs w:val="16"/>
          <w:color w:val="auto"/>
        </w:rPr>
        <w:t>='O"IJ_HKT[J]%M&amp;JU%.:FVUK=6M/)3'C6%E8S%!N2W'M!!DH+- M-&amp;IZY:2E&gt;YK^8)"@HT8Z:MN+Z!_I4#%/DPU!1!&amp;']&gt;/W.MGD(`#EW:</w:t>
      </w:r>
    </w:p>
    <w:p>
      <w:pPr>
        <w:ind w:left="400"/>
        <w:spacing w:after="0" w:line="233" w:lineRule="auto"/>
        <w:rPr>
          <w:sz w:val="20"/>
          <w:szCs w:val="20"/>
          <w:color w:val="auto"/>
        </w:rPr>
      </w:pPr>
      <w:r>
        <w:rPr>
          <w:rFonts w:ascii="Arial" w:cs="Arial" w:eastAsia="Arial" w:hAnsi="Arial"/>
          <w:sz w:val="16"/>
          <w:szCs w:val="16"/>
          <w:color w:val="auto"/>
        </w:rPr>
        <w:t>[O@_P#1QND#DN23.L)C[I M(W"$I9T^4(5\OMG&amp;D@_YRAERF&gt;F.N'EA/T&amp;ML;[%;LVN;2.^Q/Q2]R!Z_""2 M/3?*(&gt;&gt;\`#G+(&gt;X,&lt;0YRR'GC@`#O$?</w:t>
      </w:r>
    </w:p>
    <w:p>
      <w:pPr>
        <w:ind w:left="400"/>
        <w:spacing w:after="0" w:line="232" w:lineRule="auto"/>
        <w:rPr>
          <w:sz w:val="20"/>
          <w:szCs w:val="20"/>
          <w:color w:val="auto"/>
        </w:rPr>
      </w:pPr>
      <w:r>
        <w:rPr>
          <w:rFonts w:ascii="Arial" w:cs="Arial" w:eastAsia="Arial" w:hAnsi="Arial"/>
          <w:sz w:val="16"/>
          <w:szCs w:val="16"/>
          <w:color w:val="auto"/>
        </w:rPr>
        <w:t>B#OUSFGJIMS&lt;;8A50[=ZQEMV6;F83@ MMBT'2$')(J0?F&amp;&amp;#K9,R.9D/;STU`U2K'JCUL5S#6B\VR7A-U^/]1&gt;K=6MA MQ09%JT"D,\@U?G35$TUMX@C56-</w:t>
      </w:r>
    </w:p>
    <w:p>
      <w:pPr>
        <w:ind w:left="400"/>
        <w:spacing w:after="0" w:line="232" w:lineRule="auto"/>
        <w:rPr>
          <w:sz w:val="20"/>
          <w:szCs w:val="20"/>
          <w:color w:val="auto"/>
        </w:rPr>
      </w:pPr>
      <w:r>
        <w:rPr>
          <w:rFonts w:ascii="Arial" w:cs="Arial" w:eastAsia="Arial" w:hAnsi="Arial"/>
          <w:sz w:val="16"/>
          <w:szCs w:val="16"/>
          <w:color w:val="auto"/>
        </w:rPr>
        <w:t>&amp;5?!:DK]E#ENB%&gt;QAIBK"4?EAA@*IU7J.LH6K5!V61@XE=6O:&lt;5J(LJLZ+Z/FR)SB5M(U5K9#, M6'$)''WB!IV!*D2)ZMCR8#LQUM"&amp;ON4&amp;67B0?@&gt;0?</w:t>
      </w:r>
    </w:p>
    <w:p>
      <w:pPr>
        <w:ind w:left="400"/>
        <w:spacing w:after="0" w:line="232" w:lineRule="auto"/>
        <w:rPr>
          <w:sz w:val="20"/>
          <w:szCs w:val="20"/>
          <w:color w:val="auto"/>
        </w:rPr>
      </w:pPr>
      <w:r>
        <w:rPr>
          <w:rFonts w:ascii="Arial" w:cs="Arial" w:eastAsia="Arial" w:hAnsi="Arial"/>
          <w:sz w:val="16"/>
          <w:szCs w:val="16"/>
          <w:color w:val="auto"/>
        </w:rPr>
        <w:t>B%&amp;G1C=!/"]LKY%-P^[1RC=T[E(^K*?H+$ M&amp;3!4LHV@G ML=^E;EY9X!2F]W,,330#/#8=NV'#/'M,NKEB.52X9=7(.!#K88Y&lt;#WXXCR`3 MB$`$.!#D-</w:t>
      </w:r>
    </w:p>
    <w:p>
      <w:pPr>
        <w:ind w:left="400"/>
        <w:spacing w:after="0" w:line="232" w:lineRule="auto"/>
        <w:rPr>
          <w:sz w:val="20"/>
          <w:szCs w:val="20"/>
          <w:color w:val="auto"/>
        </w:rPr>
      </w:pPr>
      <w:r>
        <w:rPr>
          <w:rFonts w:ascii="Arial" w:cs="Arial" w:eastAsia="Arial" w:hAnsi="Arial"/>
          <w:sz w:val="16"/>
          <w:szCs w:val="16"/>
          <w:color w:val="auto"/>
        </w:rPr>
        <w:t>&gt;/9X&gt;]#3&amp;0?]7O6_P`"6]_[!V[3\I]/5[UO\"6]_P"P=NT_*?4X M.SP]Z&amp;G9X&gt;]#3&amp;0?]7O6_P`"6]_[!V[3\I]/5[UO\"6]_P"P=NT_*?4X.SP]</w:t>
      </w:r>
    </w:p>
    <w:p>
      <w:pPr>
        <w:ind w:left="400"/>
        <w:spacing w:after="0" w:line="232" w:lineRule="auto"/>
        <w:rPr>
          <w:sz w:val="20"/>
          <w:szCs w:val="20"/>
          <w:color w:val="auto"/>
        </w:rPr>
      </w:pPr>
      <w:r>
        <w:rPr>
          <w:rFonts w:ascii="Arial" w:cs="Arial" w:eastAsia="Arial" w:hAnsi="Arial"/>
          <w:sz w:val="16"/>
          <w:szCs w:val="16"/>
          <w:color w:val="auto"/>
        </w:rPr>
        <w:t>MZ&amp;G9X&gt;]#3&amp;0?]7O6_P`"6]_[!V[3\I]/5[UO\"6]_P"P=NT_*?4X.SP]Z&amp;G9 MX&gt;]#3&amp;0?]7O6_P`"6]_[!V[3\I]/5[UO\"6]_P"P=NT_*?4X.SP]Z&amp;G9X&gt;]#</w:t>
      </w:r>
    </w:p>
    <w:p>
      <w:pPr>
        <w:ind w:left="400"/>
        <w:spacing w:after="0" w:line="233" w:lineRule="auto"/>
        <w:rPr>
          <w:sz w:val="20"/>
          <w:szCs w:val="20"/>
          <w:color w:val="auto"/>
        </w:rPr>
      </w:pPr>
      <w:r>
        <w:rPr>
          <w:rFonts w:ascii="Arial" w:cs="Arial" w:eastAsia="Arial" w:hAnsi="Arial"/>
          <w:sz w:val="16"/>
          <w:szCs w:val="16"/>
          <w:color w:val="auto"/>
        </w:rPr>
        <w:t>M3&amp;0?]7O6_P`"6]_[!V[3\I]/5[UO\"6]_P"P=NT_*?4X.SP]Z&amp;G9X&gt;]#3&amp;0? M]7O6_P`"6]_[!V[3\I]/5[UO\"6]_P"P=NT_*?4X.SP]Z&amp;G9X&gt;]#3&amp;0?]7O6</w:t>
      </w:r>
    </w:p>
    <w:p>
      <w:pPr>
        <w:ind w:left="400"/>
        <w:spacing w:after="0" w:line="232" w:lineRule="auto"/>
        <w:rPr>
          <w:sz w:val="20"/>
          <w:szCs w:val="20"/>
          <w:color w:val="auto"/>
        </w:rPr>
      </w:pPr>
      <w:r>
        <w:rPr>
          <w:rFonts w:ascii="Arial" w:cs="Arial" w:eastAsia="Arial" w:hAnsi="Arial"/>
          <w:sz w:val="16"/>
          <w:szCs w:val="16"/>
          <w:color w:val="auto"/>
        </w:rPr>
        <w:t>M_P`".]_[!V[3\I]&gt;.._2M#G@.[8;NT\WA_P#2?S&gt;;4XNSP]Z&amp;G9X&gt; M]#3&amp;0?\`5[UO\"6]_P"P=NT_*?3U&gt;];_``);W_L';M/RGU.#L\/&gt;AIV&gt;'O0T MQD'_`%&gt;];_`EO?</w:t>
      </w:r>
    </w:p>
    <w:p>
      <w:pPr>
        <w:ind w:left="400"/>
        <w:spacing w:after="0" w:line="232" w:lineRule="auto"/>
        <w:rPr>
          <w:sz w:val="20"/>
          <w:szCs w:val="20"/>
          <w:color w:val="auto"/>
        </w:rPr>
      </w:pPr>
      <w:r>
        <w:rPr>
          <w:rFonts w:ascii="Arial" w:cs="Arial" w:eastAsia="Arial" w:hAnsi="Arial"/>
          <w:sz w:val="16"/>
          <w:szCs w:val="16"/>
          <w:color w:val="auto"/>
        </w:rPr>
        <w:t>\`L';M/RGT]7O6_P`"6]_[!V[3\I]3@[/#WH:=GA[T-,9! M_P!7O6_P);W_`+!V[3\I]/5[UO\``EO?^P=NT_*?4X.SP]Z&amp;G9X&gt;]#3&amp;0?\` M5[UO\"6]_P"P=NT_*?</w:t>
      </w:r>
    </w:p>
    <w:p>
      <w:pPr>
        <w:ind w:left="400"/>
        <w:spacing w:after="0" w:line="232" w:lineRule="auto"/>
        <w:rPr>
          <w:sz w:val="20"/>
          <w:szCs w:val="20"/>
          <w:color w:val="auto"/>
        </w:rPr>
      </w:pPr>
      <w:r>
        <w:rPr>
          <w:rFonts w:ascii="Arial" w:cs="Arial" w:eastAsia="Arial" w:hAnsi="Arial"/>
          <w:sz w:val="16"/>
          <w:szCs w:val="16"/>
          <w:color w:val="auto"/>
        </w:rPr>
        <w:t>3U&gt;];_``);W_L';M/RGU.#L\/&gt;AIV&gt;'O0TQE1NZW&lt;&gt; M@W!5(DJBN:*WB'RZ1W-MA6(/UDV;;DX5'TR"*;G:&gt;F4C`\ZQV&gt;'O0UYZ8QII</w:t>
      </w:r>
    </w:p>
    <w:p>
      <w:pPr>
        <w:ind w:left="400"/>
        <w:spacing w:after="0"/>
        <w:rPr>
          <w:sz w:val="20"/>
          <w:szCs w:val="20"/>
          <w:color w:val="auto"/>
        </w:rPr>
      </w:pPr>
      <w:r>
        <w:rPr>
          <w:rFonts w:ascii="Arial" w:cs="Arial" w:eastAsia="Arial" w:hAnsi="Arial"/>
          <w:sz w:val="16"/>
          <w:szCs w:val="16"/>
          <w:color w:val="auto"/>
        </w:rPr>
        <w:t>MIIC&amp;FFFF,::::8QIIIIC&amp;FFFF,::::8QIIIIC&amp;FFFF,::::8QIIIIC&amp;FFFF, M::::8QIIIIC&amp;FFFF,::::8QIIIIC&amp;FFFF,::::8QIIIIC&amp;FFFF,::::8S__9 ` end</w:t>
      </w:r>
    </w:p>
    <w:p>
      <w:pPr>
        <w:sectPr>
          <w:pgSz w:w="11900" w:h="16838" w:orient="portrait"/>
          <w:cols w:equalWidth="0" w:num="1">
            <w:col w:w="11460"/>
          </w:cols>
          <w:pgMar w:left="220" w:top="124" w:right="219" w:bottom="1440" w:gutter="0" w:footer="0" w:header="0"/>
        </w:sectPr>
      </w:pPr>
    </w:p>
    <w:bookmarkStart w:id="56" w:name="page57"/>
    <w:bookmarkEnd w:id="56"/>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begin 644 html_piechart2.jpg M_]C_X``02D9)1@`!`0$!(`$@``#__@`V($EM86=E(&amp;=E;F5R871E9"!B&gt;2!' M3E4@1VAO18D9F?0B\_/X@!R.#,B\S,B+T^?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D(*U;QWXFR0?YZ M)THQB[)=8!@]2)2.FMF34O+P%`TQ6WW?248S6UK=4\IM#)4ZK'V1RAFU%&gt;%M MY,\</w:t>
      </w:r>
    </w:p>
    <w:p>
      <w:pPr>
        <w:spacing w:after="0" w:line="232" w:lineRule="auto"/>
        <w:rPr>
          <w:sz w:val="20"/>
          <w:szCs w:val="20"/>
          <w:color w:val="auto"/>
        </w:rPr>
      </w:pPr>
      <w:r>
        <w:rPr>
          <w:rFonts w:ascii="Arial" w:cs="Arial" w:eastAsia="Arial" w:hAnsi="Arial"/>
          <w:sz w:val="16"/>
          <w:szCs w:val="16"/>
          <w:color w:val="auto"/>
        </w:rPr>
        <w:t>[=QJYJ/\`8E!XE4]RMWL:EHZO1NX]O(1JJ&gt;&amp;"K&gt;9WCMN&amp;]CQE(*X&amp;H:B= M+T(N46OEEA&amp;W*4-)*1SP+U&gt;]IOHET.YK]0MYQU#-+$V:'5L8R?-[1,R1G?`Y</w:t>
      </w:r>
    </w:p>
    <w:p>
      <w:pPr>
        <w:spacing w:after="0" w:line="232" w:lineRule="auto"/>
        <w:rPr>
          <w:sz w:val="20"/>
          <w:szCs w:val="20"/>
          <w:color w:val="auto"/>
        </w:rPr>
      </w:pPr>
      <w:r>
        <w:rPr>
          <w:rFonts w:ascii="Arial" w:cs="Arial" w:eastAsia="Arial" w:hAnsi="Arial"/>
          <w:sz w:val="16"/>
          <w:szCs w:val="16"/>
          <w:color w:val="auto"/>
        </w:rPr>
        <w:t>MV%Q&lt;=BS0ALM_LUS+?=V/F7PVWX54M_,[3@L#^')7XXY^$$EK6(I$3SX=ZJ4BUO-&amp;".Q+%3LS,@KV+/*NBB M21D$#YT[%19?$C6?@CD56_(WS$G;9?</w:t>
      </w:r>
    </w:p>
    <w:p>
      <w:pPr>
        <w:spacing w:after="0" w:line="232" w:lineRule="auto"/>
        <w:rPr>
          <w:sz w:val="20"/>
          <w:szCs w:val="20"/>
          <w:color w:val="auto"/>
        </w:rPr>
      </w:pPr>
      <w:r>
        <w:rPr>
          <w:rFonts w:ascii="Arial" w:cs="Arial" w:eastAsia="Arial" w:hAnsi="Arial"/>
          <w:sz w:val="16"/>
          <w:szCs w:val="16"/>
          <w:color w:val="auto"/>
        </w:rPr>
        <w:t>#%5!7!PED9EBJWR)=,S(NOWZ)YX M^CS]/H\_0/[EG@9F19%U+TEU\R_*7I+]8IH7X%&lt;-343=P_''6M'D4R(T9G53 M.9TU.HGZ2-</w:t>
      </w:r>
    </w:p>
    <w:p>
      <w:pPr>
        <w:spacing w:after="0"/>
        <w:rPr>
          <w:sz w:val="20"/>
          <w:szCs w:val="20"/>
          <w:color w:val="auto"/>
        </w:rPr>
      </w:pPr>
      <w:r>
        <w:rPr>
          <w:rFonts w:ascii="Arial" w:cs="Arial" w:eastAsia="Arial" w:hAnsi="Arial"/>
          <w:sz w:val="15"/>
          <w:szCs w:val="15"/>
          <w:color w:val="auto"/>
        </w:rPr>
        <w:t>&amp;=U%-4&gt;73RQ/SPRQ&gt;$&gt;!_&gt;'B/MLM(;BUUGDZT#S"Y`4HDE&amp;RC: MD[KE6?+/5:V#8R/&amp;/?--O9X[O9QF&gt;)&gt;$&gt;%5Y`5MP@ETQ04/NXX'['8N=$Y:^ M-_ZKNNV'-9$7</w:t>
      </w:r>
    </w:p>
    <w:p>
      <w:pPr>
        <w:spacing w:after="0"/>
        <w:rPr>
          <w:sz w:val="20"/>
          <w:szCs w:val="20"/>
          <w:color w:val="auto"/>
        </w:rPr>
      </w:pPr>
      <w:r>
        <w:rPr>
          <w:rFonts w:ascii="Arial" w:cs="Arial" w:eastAsia="Arial" w:hAnsi="Arial"/>
          <w:sz w:val="16"/>
          <w:szCs w:val="16"/>
          <w:color w:val="auto"/>
        </w:rPr>
        <w:t>MQR6_`*OXKF_N#2^.27,326*=-:8&amp;HZY)&lt;7T;7M/5D8T3\?-:5V?J-Y'*;XU` MR133PS=2T9$;FU_#-"6?V'8T*S144PL4I%[I&gt;RJI`WK7MLK=YI5ICD9&gt;LV^G</w:t>
      </w:r>
    </w:p>
    <w:p>
      <w:pPr>
        <w:spacing w:after="0" w:line="232" w:lineRule="auto"/>
        <w:rPr>
          <w:sz w:val="20"/>
          <w:szCs w:val="20"/>
          <w:color w:val="auto"/>
        </w:rPr>
      </w:pPr>
      <w:r>
        <w:rPr>
          <w:rFonts w:ascii="Arial" w:cs="Arial" w:eastAsia="Arial" w:hAnsi="Arial"/>
          <w:sz w:val="16"/>
          <w:szCs w:val="16"/>
          <w:color w:val="auto"/>
        </w:rPr>
        <w:t>MS&lt;99*Q88IQU\"2A)Z&amp;=/8N58*F618.F+I=$\LDMCT.1N,W)/YWV;M&gt;-FK=LLFU81T:VA.?OPT-'?,B&gt;_6L#V(&gt;?OPT-'?,B&gt;_6L`$[0$$O8AY^ M_#0T=\R)</w:t>
      </w:r>
    </w:p>
    <w:p>
      <w:pPr>
        <w:spacing w:after="0"/>
        <w:rPr>
          <w:sz w:val="20"/>
          <w:szCs w:val="20"/>
          <w:color w:val="auto"/>
        </w:rPr>
      </w:pPr>
      <w:r>
        <w:rPr>
          <w:rFonts w:ascii="Arial" w:cs="Arial" w:eastAsia="Arial" w:hAnsi="Arial"/>
          <w:sz w:val="15"/>
          <w:szCs w:val="15"/>
          <w:color w:val="auto"/>
        </w:rPr>
        <w:t>[]:P/8AY^_#0T=\R)[]:P`3M`02]B'G[\-#1WS(GOUK`]B'G[\-# M1WS(GOUK`!.T!!+V(&gt;?OPT-'?,B&gt;_6L#V(&gt;?OPT-'?,B&gt;_6L`$[0$$O8AY^_ M#0T=\R)[]:P/8AY^_#0T=\R)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[]:P`3M`02]B'G[\-#1WS(GOUK`]B'G[\-#1 MWS(GOUK`!.T!!+V(&gt;?OPT-'?,B&gt;_6L#V(&gt;?OPT-'?,B&gt;_6L`$[0$$O8AY^_# M0T=\R)[]:P/8AY^_#0T=\R)[]:P`3M`02]B'G[\-</w:t>
      </w:r>
    </w:p>
    <w:p>
      <w:pPr>
        <w:spacing w:after="0"/>
        <w:rPr>
          <w:sz w:val="20"/>
          <w:szCs w:val="20"/>
          <w:color w:val="auto"/>
        </w:rPr>
      </w:pPr>
      <w:r>
        <w:rPr>
          <w:rFonts w:ascii="Arial" w:cs="Arial" w:eastAsia="Arial" w:hAnsi="Arial"/>
          <w:sz w:val="16"/>
          <w:szCs w:val="16"/>
          <w:color w:val="auto"/>
        </w:rPr>
        <w:t>#1WS(GOUK`]B'G[\-#1W MS(GOUK`!.T!7MIJ][MIZSVW7)#CFCN2#F:=I-_I^8A)QIM8J&amp;\ MC'F*NV=E-)J,&gt;QKE!VB1)1CED\;YGXSE)QX2%A(`````````````````````</w:t>
      </w:r>
    </w:p>
    <w:p>
      <w:pPr>
        <w:spacing w:after="0" w:line="232" w:lineRule="auto"/>
        <w:rPr>
          <w:sz w:val="20"/>
          <w:szCs w:val="20"/>
          <w:color w:val="auto"/>
        </w:rPr>
      </w:pPr>
      <w:r>
        <w:rPr>
          <w:rFonts w:ascii="Arial" w:cs="Arial" w:eastAsia="Arial" w:hAnsi="Arial"/>
          <w:sz w:val="16"/>
          <w:szCs w:val="16"/>
          <w:color w:val="auto"/>
        </w:rPr>
        <w:t>M`````````````````````````````#@S(B,S\NGGYGT+_'VOC/VB\S`'513% M/'+//+''''$\LLLC+''''$C/+++(S(BQ(B,S,S(B(C,S+$C,J+-</w:t>
      </w:r>
    </w:p>
    <w:p>
      <w:pPr>
        <w:spacing w:after="0" w:line="232" w:lineRule="auto"/>
        <w:rPr>
          <w:sz w:val="20"/>
          <w:szCs w:val="20"/>
          <w:color w:val="auto"/>
        </w:rPr>
      </w:pPr>
      <w:r>
        <w:rPr>
          <w:rFonts w:ascii="Arial" w:cs="Arial" w:eastAsia="Arial" w:hAnsi="Arial"/>
          <w:sz w:val="16"/>
          <w:szCs w:val="16"/>
          <w:color w:val="auto"/>
        </w:rPr>
        <w:t>_5]9)%2[;&gt;D6CA5C.U7B&gt;]=H.8N$IL&gt;&gt;^)/D5L2U&lt;,==3CJ.TK1D6#/F/2O\`F.0$%-Z]&gt;REVUDL36[MRU.]9)K-</w:t>
      </w:r>
    </w:p>
    <w:p>
      <w:pPr>
        <w:spacing w:after="0" w:line="232" w:lineRule="auto"/>
        <w:rPr>
          <w:sz w:val="20"/>
          <w:szCs w:val="20"/>
          <w:color w:val="auto"/>
        </w:rPr>
      </w:pPr>
      <w:r>
        <w:rPr>
          <w:rFonts w:ascii="Arial" w:cs="Arial" w:eastAsia="Arial" w:hAnsi="Arial"/>
          <w:sz w:val="16"/>
          <w:szCs w:val="16"/>
          <w:color w:val="auto"/>
        </w:rPr>
        <w:t>NU8?)/8L3/57RS32/DD&gt;JN&gt;YSE53`Y5Y5SWN57.T5]R&gt;*:EA@T%]);,Q3\N[DOW:EK"5=GCURRSG&lt;5E.F2IF/4\&lt;3[O.3@OEZ M&gt;N[=CI_K5XI\@R(_R8]T^I?</w:t>
      </w:r>
    </w:p>
    <w:p>
      <w:pPr>
        <w:spacing w:after="0" w:line="232" w:lineRule="auto"/>
        <w:rPr>
          <w:sz w:val="20"/>
          <w:szCs w:val="20"/>
          <w:color w:val="auto"/>
        </w:rPr>
      </w:pPr>
      <w:r>
        <w:rPr>
          <w:rFonts w:ascii="Arial" w:cs="Arial" w:eastAsia="Arial" w:hAnsi="Arial"/>
          <w:sz w:val="16"/>
          <w:szCs w:val="16"/>
          <w:color w:val="auto"/>
        </w:rPr>
        <w:t>X#)7:"UWUNE^,^WT&lt;3(J_LR&gt;TM95BQZ%C6-]U MOP8/)PITZ$@VVO0M=HI$ID6."\OD&gt;!$:N77&amp;G'`CRYN\&amp;%2]&amp;.\[T1^[U6XK M\AD\?</w:t>
      </w:r>
    </w:p>
    <w:p>
      <w:pPr>
        <w:spacing w:after="0" w:line="232" w:lineRule="auto"/>
        <w:rPr>
          <w:sz w:val="20"/>
          <w:szCs w:val="20"/>
          <w:color w:val="auto"/>
        </w:rPr>
      </w:pPr>
      <w:r>
        <w:rPr>
          <w:rFonts w:ascii="Arial" w:cs="Arial" w:eastAsia="Arial" w:hAnsi="Arial"/>
          <w:sz w:val="16"/>
          <w:szCs w:val="16"/>
          <w:color w:val="auto"/>
        </w:rPr>
        <w:t>+XCZGE[A%Y=3'ZCOL_.H7](/LF=.7SS^^R6EQ7.GV217=SH5U:ZV#"Q M+X1&gt;?V6L:_(O//F1&gt;55&gt;5,A5IOB&lt;`LO]Y,/D*S_HCZM*S78WY?B6!D$B_K)\</w:t>
      </w:r>
    </w:p>
    <w:p>
      <w:pPr>
        <w:spacing w:after="0" w:line="232" w:lineRule="auto"/>
        <w:rPr>
          <w:sz w:val="20"/>
          <w:szCs w:val="20"/>
          <w:color w:val="auto"/>
        </w:rPr>
      </w:pPr>
      <w:r>
        <w:rPr>
          <w:rFonts w:ascii="Arial" w:cs="Arial" w:eastAsia="Arial" w:hAnsi="Arial"/>
          <w:sz w:val="16"/>
          <w:szCs w:val="16"/>
          <w:color w:val="auto"/>
        </w:rPr>
        <w:t>M_5=I&amp;1X9X9%Z,L,\3+ M+'(O:RQ,LB]HR$4);25TTY;YK=/#*3KFMK_-R"\[LC24_D[C.-?(QZJ1YOG% MT@8-</w:t>
      </w:r>
    </w:p>
    <w:p>
      <w:pPr>
        <w:spacing w:after="0" w:line="233" w:lineRule="auto"/>
        <w:rPr>
          <w:sz w:val="20"/>
          <w:szCs w:val="20"/>
          <w:color w:val="auto"/>
        </w:rPr>
      </w:pPr>
      <w:r>
        <w:rPr>
          <w:rFonts w:ascii="Arial" w:cs="Arial" w:eastAsia="Arial" w:hAnsi="Arial"/>
          <w:sz w:val="16"/>
          <w:szCs w:val="16"/>
          <w:color w:val="auto"/>
        </w:rPr>
        <w:t>JXRU)MV2[I)L.1&amp;MXCU[S=^ISV[3]O5]HVCHZ5X#XDC9*U62-1S5^2_) M?JB^J+^J*B^J&gt;BJ5+%9?(X2VR[C+4E:=GJK5Y9*SE%6.:-?P2Q.X3N8]%3PB</w:t>
      </w:r>
    </w:p>
    <w:p>
      <w:pPr>
        <w:spacing w:after="0"/>
        <w:rPr>
          <w:sz w:val="20"/>
          <w:szCs w:val="20"/>
          <w:color w:val="auto"/>
        </w:rPr>
      </w:pPr>
      <w:r>
        <w:rPr>
          <w:rFonts w:ascii="Arial" w:cs="Arial" w:eastAsia="Arial" w:hAnsi="Arial"/>
          <w:sz w:val="15"/>
          <w:szCs w:val="15"/>
          <w:color w:val="auto"/>
        </w:rPr>
        <w:t>MIPJ(J9+XTHNPZ%+I5/&lt;&gt;E[T@SC]E:&gt;O!L4I$ZW;HYBZ&gt;Q[ MQG(QZJ4U3;K6W\Q1=BU9PRME&amp;L$S!N\%\)*BH7=.N+[&amp;6NO0E]+WU]AD[TWM5XA-(+9T:S[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M*K=EL=T3NNCRMRU5=6?QY=&amp;[GL?]&gt;/5KO\R^1&amp;P9"MVLOU$=RC'JB]L\/*JY:\W"JSN_%&amp;Y'Q/5W:DDF7 M0`!Y2[P```````@)QY_#9[0'\[XI?N0?B?8@)QY_#9[0'\</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[XI?N0?B?8```` M"+'-C=-QX\&lt;6=U;EU\RK;^[T2G*2E7;7!A*2M8RFG,K%1#%2(G8[:CETIBS81[N.&gt;1C13!T]07S0$[-A MZ[HVV:39];;+JJ%=(=W7[94+1&amp;MYBOV&amp;%?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XE@\C):,=XYMWC-QCCCXB*N M)XF&gt;..1=,L2,L(ZCX5\4]"V.9N&amp;F]"ZUUO:[!6'U,F+-4J\E$S[VJR3]C*R$ M!G,(JF_3C'LI&amp;1LBZ;(+I8+/H]B[SZKM&amp;ZB?8UT:1R-</w:t>
      </w:r>
    </w:p>
    <w:p>
      <w:pPr>
        <w:spacing w:after="0"/>
        <w:rPr>
          <w:sz w:val="20"/>
          <w:szCs w:val="20"/>
          <w:color w:val="auto"/>
        </w:rPr>
      </w:pPr>
      <w:r>
        <w:rPr>
          <w:rFonts w:ascii="Arial" w:cs="Arial" w:eastAsia="Arial" w:hAnsi="Arial"/>
          <w:sz w:val="16"/>
          <w:szCs w:val="16"/>
          <w:color w:val="auto"/>
        </w:rPr>
        <w:t>='W/=V]DGH?#12+&gt;62/MKJEAWYM?X&gt;3\SB/Q) M^X].%\4LY]ICVAK&gt;J;CR0H_&amp;N\LZ3R&amp;TUH];DQI32W*3P4^M.=37*&amp;+K`=KAS`G];Z6 MY"36D-</w:t>
      </w:r>
    </w:p>
    <w:p>
      <w:pPr>
        <w:spacing w:after="0" w:line="232" w:lineRule="auto"/>
        <w:rPr>
          <w:sz w:val="20"/>
          <w:szCs w:val="20"/>
          <w:color w:val="auto"/>
        </w:rPr>
      </w:pPr>
      <w:r>
        <w:rPr>
          <w:rFonts w:ascii="Arial" w:cs="Arial" w:eastAsia="Arial" w:hAnsi="Arial"/>
          <w:sz w:val="16"/>
          <w:szCs w:val="16"/>
          <w:color w:val="auto"/>
        </w:rPr>
        <w:t>7:QX^\F&gt;)6I;AK&amp;]6S.2=0-2Y`WRL05GN\A:)A"]M[//ZUU%"Q6\;C M;JDSUQ"R^6MM75NQLM@.9[9$76$;*:[V1G9TU+6UNU#6N+5$@]\IU(U%;]#TNIMV;B)K-</w:t>
      </w:r>
    </w:p>
    <w:p>
      <w:pPr>
        <w:spacing w:after="0" w:line="232" w:lineRule="auto"/>
        <w:rPr>
          <w:sz w:val="20"/>
          <w:szCs w:val="20"/>
          <w:color w:val="auto"/>
        </w:rPr>
      </w:pPr>
      <w:r>
        <w:rPr>
          <w:rFonts w:ascii="Arial" w:cs="Arial" w:eastAsia="Arial" w:hAnsi="Arial"/>
          <w:sz w:val="16"/>
          <w:szCs w:val="16"/>
          <w:color w:val="auto"/>
        </w:rPr>
        <w:t>1U/&gt;H6LURRT^KP$.Z81=?:N8"G MUR&amp;CY&amp;):M)N`BXS!A7Y*+;.7J;KK*B1%YS&lt;[K=JC@'CRXX5P=(Y%VVSWSCQ3 M]2UBP9S$5`;%&gt;[&gt;Y"4+3#VL*Y$[KQ</w:t>
      </w:r>
    </w:p>
    <w:p>
      <w:pPr>
        <w:spacing w:after="0" w:line="232" w:lineRule="auto"/>
        <w:rPr>
          <w:sz w:val="20"/>
          <w:szCs w:val="20"/>
          <w:color w:val="auto"/>
        </w:rPr>
      </w:pPr>
      <w:r>
        <w:rPr>
          <w:rFonts w:ascii="Arial" w:cs="Arial" w:eastAsia="Arial" w:hAnsi="Arial"/>
          <w:sz w:val="16"/>
          <w:szCs w:val="16"/>
          <w:color w:val="auto"/>
        </w:rPr>
        <w:t>MV_LVJ-7VSM5[AW7:-8R6L-?DYN$D_ITE',:QDM$+2TQ=RSXLZ"8Z&gt;I^@DM9P M*NI*'/4JU5&gt;FOU):4:,+1KV_1^TZI9W$E)23JS)&amp;=EKMQ5U+.R-</w:t>
      </w:r>
    </w:p>
    <w:p>
      <w:pPr>
        <w:spacing w:after="0" w:line="232" w:lineRule="auto"/>
        <w:rPr>
          <w:sz w:val="20"/>
          <w:szCs w:val="20"/>
          <w:color w:val="auto"/>
        </w:rPr>
      </w:pPr>
      <w:r>
        <w:rPr>
          <w:rFonts w:ascii="Arial" w:cs="Arial" w:eastAsia="Arial" w:hAnsi="Arial"/>
          <w:sz w:val="16"/>
          <w:szCs w:val="16"/>
          <w:color w:val="auto"/>
        </w:rPr>
        <w:t>JVM&lt;=UVIXI"O&amp;*UIV+L9A5XS8T MO:,HN28E8XS8K2E50MA5"9Q&gt;TJ\KP$8\M5=EGK;%P8$(Y/MC+%&lt;[OIF*T-Q* MV5:]9;.YP;%XO[&amp;</w:t>
      </w:r>
    </w:p>
    <w:p>
      <w:pPr>
        <w:spacing w:after="0" w:line="232" w:lineRule="auto"/>
        <w:rPr>
          <w:sz w:val="20"/>
          <w:szCs w:val="20"/>
          <w:color w:val="auto"/>
        </w:rPr>
      </w:pPr>
      <w:r>
        <w:rPr>
          <w:rFonts w:ascii="Arial" w:cs="Arial" w:eastAsia="Arial" w:hAnsi="Arial"/>
          <w:sz w:val="16"/>
          <w:szCs w:val="16"/>
          <w:color w:val="auto"/>
        </w:rPr>
        <w:t>(92=R0B8-]EKLU&gt;TZ&lt;\Q-30C[&gt;.K);1&amp;TXCA_P`;N7=VD9!:JIZI MM6L=^1%^\#86NW$3?KW/5VJ,K%JF_)9US9:\1=(R#;PDG(-5&lt;)3/U/-"&gt;X3\</w:t>
      </w:r>
    </w:p>
    <w:p>
      <w:pPr>
        <w:spacing w:after="0" w:line="232" w:lineRule="auto"/>
        <w:rPr>
          <w:sz w:val="20"/>
          <w:szCs w:val="20"/>
          <w:color w:val="auto"/>
        </w:rPr>
      </w:pPr>
      <w:r>
        <w:rPr>
          <w:rFonts w:ascii="Arial" w:cs="Arial" w:eastAsia="Arial" w:hAnsi="Arial"/>
          <w:sz w:val="16"/>
          <w:szCs w:val="16"/>
          <w:color w:val="auto"/>
        </w:rPr>
        <w:t>M6K+!0-;EM+U%6&amp;J^_P"6Y1UYJUQEHO.&amp;WY/R=@EI[9&lt;&lt;[B91B]:SLX[M=EPF MD$G.,/+1\[*P[^,7B'BS#+K&amp;&lt;(^*L-3;%K^(TC2XNG6SCK5N)=B@8]"3:,Y7</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MCC2F]Q:5;4#DT)/!P5.A6NP;HV9LT5TG1(6.335&gt;*XK8DF!1WPU_M"L?OR`O MJEDU/![)OUEY(:7IG&amp;O6W&amp;BZTF3L,QIGEBPV4[X\I[A&gt;[%V##UZF[=J[W4ME</w:t>
      </w:r>
    </w:p>
    <w:p>
      <w:pPr>
        <w:spacing w:after="0"/>
        <w:rPr>
          <w:sz w:val="20"/>
          <w:szCs w:val="20"/>
          <w:color w:val="auto"/>
        </w:rPr>
      </w:pPr>
      <w:r>
        <w:rPr>
          <w:rFonts w:ascii="Arial" w:cs="Arial" w:eastAsia="Arial" w:hAnsi="Arial"/>
          <w:sz w:val="16"/>
          <w:szCs w:val="16"/>
          <w:color w:val="auto"/>
        </w:rPr>
        <w:t>MA&gt;0#!:7BF-(&gt;S]-5.OLL9'%%Q(:"[?30LOJKV2Y#0'(&amp;GN+5`&lt;2[)IBIW%QI MJ-D=N1/,2W;9U]K&gt;0:S=MW\!&amp;PF,6X8L_4$$ M];).H5F^:O4(I?</w:t>
      </w:r>
    </w:p>
    <w:p>
      <w:pPr>
        <w:spacing w:after="0" w:line="232" w:lineRule="auto"/>
        <w:rPr>
          <w:sz w:val="20"/>
          <w:szCs w:val="20"/>
          <w:color w:val="auto"/>
        </w:rPr>
      </w:pPr>
      <w:r>
        <w:rPr>
          <w:rFonts w:ascii="Arial" w:cs="Arial" w:eastAsia="Arial" w:hAnsi="Arial"/>
          <w:sz w:val="16"/>
          <w:szCs w:val="16"/>
          <w:color w:val="auto"/>
        </w:rPr>
        <w:t>Q%&amp;&amp;#?)PX\;QKKLZ.%3JD8:[_N]45G4VU%U1K&gt;,8Q/K_"/ M8"HZ,N=MV'I]C5[!#S;*QU1_K:[7RWV:FV*M2\59H*5L$DX93.'C]W$"OG:/</w:t>
      </w:r>
    </w:p>
    <w:p>
      <w:pPr>
        <w:spacing w:after="0"/>
        <w:rPr>
          <w:sz w:val="20"/>
          <w:szCs w:val="20"/>
          <w:color w:val="auto"/>
        </w:rPr>
      </w:pPr>
      <w:r>
        <w:rPr>
          <w:rFonts w:ascii="Arial" w:cs="Arial" w:eastAsia="Arial" w:hAnsi="Arial"/>
          <w:sz w:val="15"/>
          <w:szCs w:val="15"/>
          <w:color w:val="auto"/>
        </w:rPr>
        <w:t>M;5P;C4.P[QI+0^Y2RI?":E MI"ZZDN,$K%4UY]C9-TF5F*[IUMRV?N9%1?:FU6:UYOS=,?QWW0GHK4J&gt;SD:' MN6;M''BI4G&gt;%D.S-X)2&lt;9M;9R?(M-7#;3U)K, M-</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5Y_)S&gt;HO:3US$Y-)A`J(_D=HP&lt;)M"4DM&gt;%5)"5V9#1&amp;PI%RZN$8RF4`/&gt;&lt;+ M&gt;6E1YK:&amp;A]Z4VKVNDLG=QVAKV:J=TQB#G8&amp;X:@V+9-87%EF[@9"4AY.-^R.K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MR"\)+,'AIR&lt;.LQ&gt;*MF#E5=BWE&gt;,3:7T;JKCU2_8\TY3(RB4X[#:+8I"12LDX M07LUUFW=EMT\Y&lt;2S^1?.I6R6%^_G)IZX=*+R,N^&gt;2+C+-TZ744RR`````@)G M^,Y;?</w:t>
      </w:r>
    </w:p>
    <w:p>
      <w:pPr>
        <w:spacing w:after="0"/>
        <w:rPr>
          <w:sz w:val="20"/>
          <w:szCs w:val="20"/>
          <w:color w:val="auto"/>
        </w:rPr>
      </w:pPr>
      <w:r>
        <w:rPr>
          <w:rFonts w:ascii="Arial" w:cs="Arial" w:eastAsia="Arial" w:hAnsi="Arial"/>
          <w:sz w:val="16"/>
          <w:szCs w:val="16"/>
          <w:color w:val="auto"/>
        </w:rPr>
        <w:t>H*/?XCF`GV("9_C.6WZ"CW^(Y@)]@`````````````````````````` M```````````````````````@_P!HARYC&gt;%'%38N[,C:+V_`HFC:JBGS.5D6&lt; MMM:^OL*_2SE6$&amp;S?</w:t>
      </w:r>
    </w:p>
    <w:p>
      <w:pPr>
        <w:spacing w:after="0"/>
        <w:rPr>
          <w:sz w:val="20"/>
          <w:szCs w:val="20"/>
          <w:color w:val="auto"/>
        </w:rPr>
      </w:pPr>
      <w:r>
        <w:rPr>
          <w:rFonts w:ascii="Arial" w:cs="Arial" w:eastAsia="Arial" w:hAnsi="Arial"/>
          <w:sz w:val="15"/>
          <w:szCs w:val="15"/>
          <w:color w:val="auto"/>
        </w:rPr>
        <w:t>S#BKUQTNXO%[4C6;AVPH%4M4DDEF;/HWJ^L&gt;MM&gt;*O,&lt;&lt;^ZG)5'55/VT\8X8XXJH M8;':O3S(S;'C],KR6U6O#,ZO)*U[&amp;6&amp;L9(Z!RL=Q,V.5KHGNB_?:R1KHWJB-</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M&gt;BM54,2==^JM+HETCWCJ?&gt;K-O?LMB4FH8YTZ5FY+-9"W6Q.#Q[I_=S+#%;R] M^E%9F9!.^"JLTZ0R^Z[%Q#QZ;:_;:AJBFM=A1.W:X^*1F9/;41/QMHQVA&gt;['</w:t>
      </w:r>
    </w:p>
    <w:p>
      <w:pPr>
        <w:spacing w:after="0"/>
        <w:rPr>
          <w:sz w:val="20"/>
          <w:szCs w:val="20"/>
          <w:color w:val="auto"/>
        </w:rPr>
      </w:pPr>
      <w:r>
        <w:rPr>
          <w:rFonts w:ascii="Arial" w:cs="Arial" w:eastAsia="Arial" w:hAnsi="Arial"/>
          <w:sz w:val="16"/>
          <w:szCs w:val="16"/>
          <w:color w:val="auto"/>
        </w:rPr>
        <w:t>M).K#L'8LY/1+M^T&gt;VR]7*2F;18&lt;,W63IK(2&gt;3#-)!%DW01S6*R9G0]6.S2&amp;P MM;S%HT3M*3SQ6DMBZ;?LJP]LJZ?FG[(U+&gt;1\IK/:[?KY*X[#ITY)^'UP8S,&lt;</w:t>
      </w:r>
    </w:p>
    <w:p>
      <w:pPr>
        <w:spacing w:after="0" w:line="232" w:lineRule="auto"/>
        <w:rPr>
          <w:sz w:val="20"/>
          <w:szCs w:val="20"/>
          <w:color w:val="auto"/>
        </w:rPr>
      </w:pPr>
      <w:r>
        <w:rPr>
          <w:rFonts w:ascii="Arial" w:cs="Arial" w:eastAsia="Arial" w:hAnsi="Arial"/>
          <w:sz w:val="16"/>
          <w:szCs w:val="16"/>
          <w:color w:val="auto"/>
        </w:rPr>
        <w:t>MH&gt;*^'M(3D9OO5AX,]W:U2W)44/NG:MS.[I$QNT_E8&gt;ZCI'MCA3)+@\G=F?VUL2\L"`8SU;N3</w:t>
      </w:r>
    </w:p>
    <w:p>
      <w:pPr>
        <w:spacing w:after="0" w:line="232" w:lineRule="auto"/>
        <w:rPr>
          <w:sz w:val="20"/>
          <w:szCs w:val="20"/>
          <w:color w:val="auto"/>
        </w:rPr>
      </w:pPr>
      <w:r>
        <w:rPr>
          <w:rFonts w:ascii="Arial" w:cs="Arial" w:eastAsia="Arial" w:hAnsi="Arial"/>
          <w:sz w:val="16"/>
          <w:szCs w:val="16"/>
          <w:color w:val="auto"/>
        </w:rPr>
        <w:t>M5F[(!:SZHOE;OD,S7]1RJL"^\20KTCC_`/$B+;`.TVEBI\V@998N(2U1,-+- M\LD1GY''9#$7K6+RU"[B\G0G?6O8[(U9Z5ZE9C7B2O;J6616* MT\:^)</w:t>
      </w:r>
    </w:p>
    <w:p>
      <w:pPr>
        <w:spacing w:after="0" w:line="232" w:lineRule="auto"/>
        <w:rPr>
          <w:sz w:val="20"/>
          <w:szCs w:val="20"/>
          <w:color w:val="auto"/>
        </w:rPr>
      </w:pPr>
      <w:r>
        <w:rPr>
          <w:rFonts w:ascii="Arial" w:cs="Arial" w:eastAsia="Arial" w:hAnsi="Arial"/>
          <w:sz w:val="16"/>
          <w:szCs w:val="16"/>
          <w:color w:val="auto"/>
        </w:rPr>
        <w:t>(9HV2,7PYJ*;0*BM\.1454:Y$5%3EKFHYJ^?DYJHYJ^BM5%3PI&amp;3F7K MV1VAQ/&gt;4QOVL7;/9E&amp;-'R[Q+*VBHQC7'+#[KNN&lt;\2</w:t>
      </w:r>
    </w:p>
    <w:p>
      <w:pPr>
        <w:spacing w:after="0" w:line="232" w:lineRule="auto"/>
        <w:rPr>
          <w:sz w:val="20"/>
          <w:szCs w:val="20"/>
          <w:color w:val="auto"/>
        </w:rPr>
      </w:pPr>
      <w:r>
        <w:rPr>
          <w:rFonts w:ascii="Arial" w:cs="Arial" w:eastAsia="Arial" w:hAnsi="Arial"/>
          <w:sz w:val="16"/>
          <w:szCs w:val="16"/>
          <w:color w:val="auto"/>
        </w:rPr>
        <w:t>MZEED1P1XJ6B+M/+3L^[G&amp;9=8:X[D&gt;3L3E@7&gt;Z-KGQ0W[)Q*9D7H+%)^DDKEZ M$CQRZ]&gt;ABXHLB3RP4RP\7%)3!3)</w:t>
      </w:r>
    </w:p>
    <w:p>
      <w:pPr>
        <w:spacing w:after="0" w:line="232" w:lineRule="auto"/>
        <w:rPr>
          <w:sz w:val="20"/>
          <w:szCs w:val="20"/>
          <w:color w:val="auto"/>
        </w:rPr>
      </w:pPr>
      <w:r>
        <w:rPr>
          <w:rFonts w:ascii="Arial" w:cs="Arial" w:eastAsia="Arial" w:hAnsi="Arial"/>
          <w:sz w:val="16"/>
          <w:szCs w:val="16"/>
          <w:color w:val="auto"/>
        </w:rPr>
        <w:t>(^ADICAD662&gt;1&amp;1D&gt;.9$&gt;.1&amp;1D&gt;)F1D9" MCWB+`%KCF9Q7TZMWDRT;S[V7JF.P4(_$^Q+#2G(6UZKS[OF?A+ZRN]*00R+K MAW6^73+NX&amp;932?</w:t>
      </w:r>
    </w:p>
    <w:p>
      <w:pPr>
        <w:spacing w:after="0" w:line="232" w:lineRule="auto"/>
        <w:rPr>
          <w:sz w:val="20"/>
          <w:szCs w:val="20"/>
          <w:color w:val="auto"/>
        </w:rPr>
      </w:pPr>
      <w:r>
        <w:rPr>
          <w:rFonts w:ascii="Arial" w:cs="Arial" w:eastAsia="Arial" w:hAnsi="Arial"/>
          <w:sz w:val="16"/>
          <w:szCs w:val="16"/>
          <w:color w:val="auto"/>
        </w:rPr>
        <w:t>9"]0&gt;$ZQ=*;,_[[&lt;#U!PM;N]%9*W7-FF1J_-4?J3/'R8JK MQY5;NU^;WF+S-55\Q5;EF-O^6&gt;A/#.Y?^U\51J?</w:t>
      </w:r>
    </w:p>
    <w:p>
      <w:pPr>
        <w:spacing w:after="0" w:line="233" w:lineRule="auto"/>
        <w:rPr>
          <w:sz w:val="20"/>
          <w:szCs w:val="20"/>
          <w:color w:val="auto"/>
        </w:rPr>
      </w:pPr>
      <w:r>
        <w:rPr>
          <w:rFonts w:ascii="Arial" w:cs="Arial" w:eastAsia="Arial" w:hAnsi="Arial"/>
          <w:sz w:val="16"/>
          <w:szCs w:val="16"/>
          <w:color w:val="auto"/>
        </w:rPr>
        <w:t>J_@VZ,?/'$_B+_0R[]!ID6&amp;$93.8]*K7KM)9M,N^DC'MN2FH*W)3+YN?5%UM'3$K)H)9S^RY! M1W((1RY8TJPW30E\RHQ=W9U`1B=UZ?</w:t>
      </w:r>
    </w:p>
    <w:p>
      <w:pPr>
        <w:spacing w:after="0" w:line="232" w:lineRule="auto"/>
        <w:rPr>
          <w:sz w:val="20"/>
          <w:szCs w:val="20"/>
          <w:color w:val="auto"/>
        </w:rPr>
      </w:pPr>
      <w:r>
        <w:rPr>
          <w:rFonts w:ascii="Arial" w:cs="Arial" w:eastAsia="Arial" w:hAnsi="Arial"/>
          <w:sz w:val="16"/>
          <w:szCs w:val="16"/>
          <w:color w:val="auto"/>
        </w:rPr>
        <w:t>&lt;8I^+FWV]HZ89;5UXD1=#R]3SD]54: MG*IX?=.8*QRS/+%5-THEGT6H4G@DCX_%QW,7Z/;Y3CZ=WEB_HY2ZM,SK]?V" MC&lt;[U;6ED;5O-</w:t>
      </w:r>
    </w:p>
    <w:p>
      <w:pPr>
        <w:spacing w:after="0"/>
        <w:rPr>
          <w:sz w:val="20"/>
          <w:szCs w:val="20"/>
          <w:color w:val="auto"/>
        </w:rPr>
      </w:pPr>
      <w:r>
        <w:rPr>
          <w:rFonts w:ascii="Arial" w:cs="Arial" w:eastAsia="Arial" w:hAnsi="Arial"/>
          <w:sz w:val="15"/>
          <w:szCs w:val="15"/>
          <w:color w:val="auto"/>
        </w:rPr>
        <w:t>Y_"ZI.YK)%VPQ.4_,B;RO'/-MA&amp;1D1EZ#'(QWJ/8T% MN#5FM]LU?Q?L9V?0Z?L2N^-W34*"NU=CK-%8J'@18FHFQDT4U.Z1$2F.1=", MC(LB"UC;X```````("&lt;&gt;?</w:t>
      </w:r>
    </w:p>
    <w:p>
      <w:pPr>
        <w:spacing w:after="0"/>
        <w:rPr>
          <w:sz w:val="20"/>
          <w:szCs w:val="20"/>
          <w:color w:val="auto"/>
        </w:rPr>
      </w:pPr>
      <w:r>
        <w:rPr>
          <w:rFonts w:ascii="Arial" w:cs="Arial" w:eastAsia="Arial" w:hAnsi="Arial"/>
          <w:sz w:val="16"/>
          <w:szCs w:val="16"/>
          <w:color w:val="auto"/>
        </w:rPr>
        <w:t>PV&gt;T!_.^*7[D'XGV("&lt;&gt;?PV&gt;T!_.^*7[D'XGV`` M```X/(L2,S/H1$9F9F1$1%Z3,S,O\?0/YXK)Y]&gt;YGAET\S[N&gt;&amp;73\O=R/I_1 M&gt;GR$"^U)U3LK&gt;/9Y\P-1Z?</w:t>
      </w:r>
    </w:p>
    <w:p>
      <w:pPr>
        <w:spacing w:after="0"/>
        <w:rPr>
          <w:sz w:val="20"/>
          <w:szCs w:val="20"/>
          <w:color w:val="auto"/>
        </w:rPr>
      </w:pPr>
      <w:r>
        <w:rPr>
          <w:rFonts w:ascii="Arial" w:cs="Arial" w:eastAsia="Arial" w:hAnsi="Arial"/>
          <w:sz w:val="15"/>
          <w:szCs w:val="15"/>
          <w:color w:val="auto"/>
        </w:rPr>
        <w:t>K,A&lt;]F["T3=ZO2ZG%/XV,D;%.R35'!K#LG\S)0 M\4VP8X"\N.+O-#;.S-R\6;SH?7TSQL6;-DEAFD3LEG&amp;*.=\X M74\/E-)W/:;&gt;ZX'#Y?6)&lt;#'BM-O*Y,YM[,O?2GR'=')_5T</w:t>
      </w:r>
    </w:p>
    <w:p>
      <w:pPr>
        <w:spacing w:after="0"/>
        <w:rPr>
          <w:sz w:val="20"/>
          <w:szCs w:val="20"/>
          <w:color w:val="auto"/>
        </w:rPr>
      </w:pPr>
      <w:r>
        <w:rPr>
          <w:rFonts w:ascii="Arial" w:cs="Arial" w:eastAsia="Arial" w:hAnsi="Arial"/>
          <w:sz w:val="16"/>
          <w:szCs w:val="16"/>
          <w:color w:val="auto"/>
        </w:rPr>
        <w:t>M7A6KY*99OV(,ECJ,&gt;-M6:]YMI9\C%Q\+CUKQ))&amp;VU^%5YM._*AX5.7_5$-O' MU0CW&lt;\SSQ+!,S)3(S(L&lt;#Q^^+/+KTP/#_K[QEW"^_P"[U+K_`"S?LT\U4U'*</w:t>
      </w:r>
    </w:p>
    <w:p>
      <w:pPr>
        <w:spacing w:after="0" w:line="232" w:lineRule="auto"/>
        <w:rPr>
          <w:sz w:val="20"/>
          <w:szCs w:val="20"/>
          <w:color w:val="auto"/>
        </w:rPr>
      </w:pPr>
      <w:r>
        <w:rPr>
          <w:rFonts w:ascii="Arial" w:cs="Arial" w:eastAsia="Arial" w:hAnsi="Arial"/>
          <w:sz w:val="16"/>
          <w:szCs w:val="16"/>
          <w:color w:val="auto"/>
        </w:rPr>
        <w:t>M":B#;U:LFHJGAFDTZYX^J5&lt;,\BR3;EDDIB:^98I%DFICW^N&amp;732UN'"WD?*T M/DRCJ#A]R*TOQ&gt;L',+@EL79.A+%KBE7G8%FH.O*KN&gt;K^I&amp;HZPH+33K?</w:t>
      </w:r>
    </w:p>
    <w:p>
      <w:pPr>
        <w:spacing w:after="0"/>
        <w:rPr>
          <w:sz w:val="20"/>
          <w:szCs w:val="20"/>
          <w:color w:val="auto"/>
        </w:rPr>
      </w:pPr>
      <w:r>
        <w:rPr>
          <w:rFonts w:ascii="Arial" w:cs="Arial" w:eastAsia="Arial" w:hAnsi="Arial"/>
          <w:sz w:val="15"/>
          <w:szCs w:val="15"/>
          <w:color w:val="auto"/>
        </w:rPr>
        <w:t>9%MCXJ+?\` M(V=J4D^LK]O,9V,5,VMLEDL4_%R4PQ3Z8GXF6&gt;!8=,OO3[YY%CT/J70^O3+J M73J1@FNBKCWDU4\\&gt;O3O8*89X]2,BZ=&lt;[Y&gt;V0H@[0JO\G&gt;8O8\-</w:t>
      </w:r>
    </w:p>
    <w:p>
      <w:pPr>
        <w:spacing w:after="0"/>
        <w:rPr>
          <w:sz w:val="20"/>
          <w:szCs w:val="20"/>
          <w:color w:val="auto"/>
        </w:rPr>
      </w:pPr>
      <w:r>
        <w:rPr>
          <w:rFonts w:ascii="Arial" w:cs="Arial" w:eastAsia="Arial" w:hAnsi="Arial"/>
          <w:sz w:val="16"/>
          <w:szCs w:val="16"/>
          <w:color w:val="auto"/>
        </w:rPr>
        <w:t>MD9;C[866^;A&gt;N+UKN6E*YKS.[RGV-47EGKFQ6^0PTQ&gt;9ROO)B,D]7UEY&gt;7^E MKQ8(^72AI%?6]MDL))"1&lt;'!#4KWM#-%1[S6'&amp;?</w:t>
      </w:r>
    </w:p>
    <w:p>
      <w:pPr>
        <w:spacing w:after="0" w:line="232" w:lineRule="auto"/>
        <w:rPr>
          <w:sz w:val="20"/>
          <w:szCs w:val="20"/>
          <w:color w:val="auto"/>
        </w:rPr>
      </w:pPr>
      <w:r>
        <w:rPr>
          <w:rFonts w:ascii="Arial" w:cs="Arial" w:eastAsia="Arial" w:hAnsi="Arial"/>
          <w:sz w:val="16"/>
          <w:szCs w:val="16"/>
          <w:color w:val="auto"/>
        </w:rPr>
        <w:t>CSO2@ZVOD9HM6H84K@GI/B M;3*SM5CSIKH4N5R0;1T0Y+=N!LZ=Y4X&lt;&gt;);:MXVSJW9O,/5% MXKOV":/RXI4&amp;,H6L=4.:E$_Q',!/L```````````</w:t>
      </w:r>
    </w:p>
    <w:p>
      <w:pPr>
        <w:spacing w:after="0" w:line="232" w:lineRule="auto"/>
        <w:rPr>
          <w:sz w:val="20"/>
          <w:szCs w:val="20"/>
          <w:color w:val="auto"/>
        </w:rPr>
      </w:pPr>
      <w:r>
        <w:rPr>
          <w:rFonts w:ascii="Arial" w:cs="Arial" w:eastAsia="Arial" w:hAnsi="Arial"/>
          <w:sz w:val="16"/>
          <w:szCs w:val="16"/>
          <w:color w:val="auto"/>
        </w:rPr>
        <w:t>M`````````````````````````````````````!T4/NX9Y&gt;GICD?3W3Z&gt;1?K&amp; MJ#LRP'&gt;&gt;6G."_GB18R7)E[KICU^^PA]":KUEJ7!#'KU/%(K5"W5Y@F7=P\60 M&lt;+$7&gt;</w:t>
      </w:r>
    </w:p>
    <w:p>
      <w:pPr>
        <w:spacing w:after="0" w:line="232" w:lineRule="auto"/>
        <w:rPr>
          <w:sz w:val="20"/>
          <w:szCs w:val="20"/>
          <w:color w:val="auto"/>
        </w:rPr>
      </w:pPr>
      <w:r>
        <w:rPr>
          <w:rFonts w:ascii="Arial" w:cs="Arial" w:eastAsia="Arial" w:hAnsi="Arial"/>
          <w:sz w:val="16"/>
          <w:szCs w:val="16"/>
          <w:color w:val="auto"/>
        </w:rPr>
        <w:t>&lt;9Y9;7^1$&gt;)D?H/H1_D,RZC408=_+87)Y58B)ROS8YHYNR(S,L5DN2. MPF:.)&amp;9GY8Q[1CACYG]QCCT,53$IS:5?\,3E3_4[X6KQRB'H1P9$?I+K[?</w:t>
      </w:r>
    </w:p>
    <w:p>
      <w:pPr>
        <w:spacing w:after="0"/>
        <w:rPr>
          <w:sz w:val="20"/>
          <w:szCs w:val="20"/>
          <w:color w:val="auto"/>
        </w:rPr>
      </w:pPr>
      <w:r>
        <w:rPr>
          <w:rFonts w:ascii="Arial" w:cs="Arial" w:eastAsia="Arial" w:hAnsi="Arial"/>
          <w:sz w:val="15"/>
          <w:szCs w:val="15"/>
          <w:color w:val="auto"/>
        </w:rPr>
        <w:t>MZR]!_E+VC]H&lt;@+D/SRF);QI.@WJ?;W9=I+U+9T&gt;W]31.X-;3LAK_`&amp;S%H8E_ MLVA7&gt;O9H/9Z(P,B[]9NB%JJ3G`C2=P#A+++#+Z,+MSE#J++%"W0T?RMHB)EC</w:t>
      </w:r>
    </w:p>
    <w:p>
      <w:pPr>
        <w:spacing w:after="0"/>
        <w:rPr>
          <w:sz w:val="20"/>
          <w:szCs w:val="20"/>
          <w:color w:val="auto"/>
        </w:rPr>
      </w:pPr>
      <w:r>
        <w:rPr>
          <w:rFonts w:ascii="Arial" w:cs="Arial" w:eastAsia="Arial" w:hAnsi="Arial"/>
          <w:sz w:val="16"/>
          <w:szCs w:val="16"/>
          <w:color w:val="auto"/>
        </w:rPr>
        <w:t>MZ_5%M6]78O,A6&amp;ELE9BXO:L8U$_+2CL-!8,BD$3OS&amp;X^U M+:QO;"[):[`J)^R6R-ES&amp;O)'W(YT5*!\\- M["(]WXY7:_?Q3YW\?</w:t>
      </w:r>
    </w:p>
    <w:p>
      <w:pPr>
        <w:spacing w:after="0" w:line="232" w:lineRule="auto"/>
        <w:rPr>
          <w:sz w:val="20"/>
          <w:szCs w:val="20"/>
          <w:color w:val="auto"/>
        </w:rPr>
      </w:pPr>
      <w:r>
        <w:rPr>
          <w:rFonts w:ascii="Arial" w:cs="Arial" w:eastAsia="Arial" w:hAnsi="Arial"/>
          <w:sz w:val="16"/>
          <w:szCs w:val="16"/>
          <w:color w:val="auto"/>
        </w:rPr>
        <w:t>$NG9RQWAG)1VOK@B[M&lt;$F6=IUQ88V4I&gt;UJ&lt; M?W..6-MUC;6&lt;1=(1$L\O#3DUHA6"&gt;=W)6.EWS&lt;\%LH,6NOE2&gt;V$X9O&lt;,#1B= M\[#U_&gt;V^?</w:t>
      </w:r>
    </w:p>
    <w:p>
      <w:pPr>
        <w:spacing w:after="0"/>
        <w:rPr>
          <w:sz w:val="20"/>
          <w:szCs w:val="20"/>
          <w:color w:val="auto"/>
        </w:rPr>
      </w:pPr>
      <w:r>
        <w:rPr>
          <w:rFonts w:ascii="Arial" w:cs="Arial" w:eastAsia="Arial" w:hAnsi="Arial"/>
          <w:sz w:val="15"/>
          <w:szCs w:val="15"/>
          <w:color w:val="auto"/>
        </w:rPr>
        <w:t>EX2UWTUJ'D!JVWEAD1],G#JFVG4BJG_`%Y)QW7+[A,LADC8.I-&gt; M;6QB2N]6;3,M`*FM4[,R&lt;2&lt;#?:&gt;\/SQ=T:_5EY$WBGO&lt;3+O$I6IV.)4R/%RD MX2/-/*I+:O-</w:t>
      </w:r>
    </w:p>
    <w:p>
      <w:pPr>
        <w:spacing w:after="0"/>
        <w:rPr>
          <w:sz w:val="20"/>
          <w:szCs w:val="20"/>
          <w:color w:val="auto"/>
        </w:rPr>
      </w:pPr>
      <w:r>
        <w:rPr>
          <w:rFonts w:ascii="Arial" w:cs="Arial" w:eastAsia="Arial" w:hAnsi="Arial"/>
          <w:sz w:val="16"/>
          <w:szCs w:val="16"/>
          <w:color w:val="auto"/>
        </w:rPr>
        <w:t>"4U;RRXE6BD7!]S:@.'F[[)&gt;)"0M2T%6['6EK#K.WZPG=7-.2 M,$P5KNUW)9SD;,3;EQK&amp;7F*O)56/C;5LF1D7[QHPU&amp;]G/[-_J9T;]I[5-MZ$ M9?(=3-2R-</w:t>
      </w:r>
    </w:p>
    <w:p>
      <w:pPr>
        <w:spacing w:after="0" w:line="232" w:lineRule="auto"/>
        <w:rPr>
          <w:sz w:val="20"/>
          <w:szCs w:val="20"/>
          <w:color w:val="auto"/>
        </w:rPr>
      </w:pPr>
      <w:r>
        <w:rPr>
          <w:rFonts w:ascii="Arial" w:cs="Arial" w:eastAsia="Arial" w:hAnsi="Arial"/>
          <w:sz w:val="16"/>
          <w:szCs w:val="16"/>
          <w:color w:val="auto"/>
        </w:rPr>
        <w:t>38,'LVGVZ$L&gt;\T-.D5EED^+K/P^&gt;I8K-U\)DK]N2'7EBBK(V M.G8E5O,KWLU&gt;UAKO67)7-?EUG.ZSLC&lt;%DER/9#+FM42)].7X&gt;5^QUX(/N5;5 MZ*)L$.?</w:t>
      </w:r>
    </w:p>
    <w:p>
      <w:pPr>
        <w:spacing w:after="0" w:line="232" w:lineRule="auto"/>
        <w:rPr>
          <w:sz w:val="20"/>
          <w:szCs w:val="20"/>
          <w:color w:val="auto"/>
        </w:rPr>
      </w:pPr>
      <w:r>
        <w:rPr>
          <w:rFonts w:ascii="Arial" w:cs="Arial" w:eastAsia="Arial" w:hAnsi="Arial"/>
          <w:sz w:val="16"/>
          <w:szCs w:val="16"/>
          <w:color w:val="auto"/>
        </w:rPr>
        <w:t>I4JBR.BH5LQD;TL3)-Z##[S#_`+)B4?9=-V[3;*4]NU?8=7M.!6V*_P#YX%DA_P#OQ\R0P!F6261)JX9HJ&amp;77PUL, MDE.GNG@H6.73X^G0!;9Y0.Z2F**R"^1=</w:t>
      </w:r>
    </w:p>
    <w:p>
      <w:pPr>
        <w:spacing w:after="0"/>
        <w:rPr>
          <w:sz w:val="20"/>
          <w:szCs w:val="20"/>
          <w:color w:val="auto"/>
        </w:rPr>
      </w:pPr>
      <w:r>
        <w:rPr>
          <w:rFonts w:ascii="Arial" w:cs="Arial" w:eastAsia="Arial" w:hAnsi="Arial"/>
          <w:sz w:val="15"/>
          <w:szCs w:val="15"/>
          <w:color w:val="auto"/>
        </w:rPr>
        <w:t>&lt;4'""^6/OB25QS/'_P"XL3+]8Z#^ M:O3PE.OH[F7^A@1,H34O('9 M%5I3)'+(S_W9M0&amp;]43:X$?=2;DDD7DF1%8&amp;*Z&gt;SH/+UAY8XX?\CCSMY/$PR\ M_NL6&gt;.-BPM.9J-</w:t>
      </w:r>
    </w:p>
    <w:p>
      <w:pPr>
        <w:spacing w:after="0"/>
        <w:rPr>
          <w:sz w:val="20"/>
          <w:szCs w:val="20"/>
          <w:color w:val="auto"/>
        </w:rPr>
      </w:pPr>
      <w:r>
        <w:rPr>
          <w:rFonts w:ascii="Arial" w:cs="Arial" w:eastAsia="Arial" w:hAnsi="Arial"/>
          <w:sz w:val="16"/>
          <w:szCs w:val="16"/>
          <w:color w:val="auto"/>
        </w:rPr>
        <w:t>FE:GHV1[4_@CE1#=; M$2OGQ.*GD55?-C:$SU7U5\M6)[E7]5\=T4'COJ6_P"[=HR+^*H&amp;M*V^M5J?14'+6630BF!I8J^MT!!-7TQ,/E55</w:t>
      </w:r>
    </w:p>
    <w:p>
      <w:pPr>
        <w:spacing w:after="0" w:line="232" w:lineRule="auto"/>
        <w:rPr>
          <w:sz w:val="20"/>
          <w:szCs w:val="20"/>
          <w:color w:val="auto"/>
        </w:rPr>
      </w:pPr>
      <w:r>
        <w:rPr>
          <w:rFonts w:ascii="Arial" w:cs="Arial" w:eastAsia="Arial" w:hAnsi="Arial"/>
          <w:sz w:val="16"/>
          <w:szCs w:val="16"/>
          <w:color w:val="auto"/>
        </w:rPr>
        <w:t>MD4&amp;L=&amp;M'#QTNK@DBEED?01NXZ]H7Q\Y.[-D-0:]0V]#7V/HLQLB(V56BYNWUUJZ8,G*KW#&amp;31&lt;8HY-\%5,/I&amp;N5%IVIG#A[K3;VX*-=KMN;7.C-</w:t>
      </w:r>
    </w:p>
    <w:p>
      <w:pPr>
        <w:spacing w:after="0" w:line="232" w:lineRule="auto"/>
        <w:rPr>
          <w:sz w:val="20"/>
          <w:szCs w:val="20"/>
          <w:color w:val="auto"/>
        </w:rPr>
      </w:pPr>
      <w:r>
        <w:rPr>
          <w:rFonts w:ascii="Arial" w:cs="Arial" w:eastAsia="Arial" w:hAnsi="Arial"/>
          <w:sz w:val="16"/>
          <w:szCs w:val="16"/>
          <w:color w:val="auto"/>
        </w:rPr>
        <w:t>WR''W9%GT!IK;6^6 M4+L&amp;$HS+8EB703U/4+8YE:)6:V_0SL&gt;SHU%QKV%DL5XI]8TGB)IG\F#[6;A3 M8NYZUWZVY&amp;YX_5WDA%X2&amp;J-D0J\U2+/=/'$\?+</w:t>
      </w:r>
    </w:p>
    <w:p>
      <w:pPr>
        <w:spacing w:after="0" w:line="232" w:lineRule="auto"/>
        <w:rPr>
          <w:sz w:val="20"/>
          <w:szCs w:val="20"/>
          <w:color w:val="auto"/>
        </w:rPr>
      </w:pPr>
      <w:r>
        <w:rPr>
          <w:rFonts w:ascii="Arial" w:cs="Arial" w:eastAsia="Arial" w:hAnsi="Arial"/>
          <w:sz w:val="16"/>
          <w:szCs w:val="16"/>
          <w:color w:val="auto"/>
        </w:rPr>
        <w:t>[DR(R\O,O(_+T^?Y1U\)(NG M1/`NA]2Z88ET/W&gt;G3T^0\C?+]5-8T*X[-OLPVK-)U_4[#&gt;+E/2!F;2OUBJ0[ MN=L,J^-</w:t>
      </w:r>
    </w:p>
    <w:p>
      <w:pPr>
        <w:spacing w:after="0"/>
        <w:rPr>
          <w:sz w:val="20"/>
          <w:szCs w:val="20"/>
          <w:color w:val="auto"/>
        </w:rPr>
      </w:pPr>
      <w:r>
        <w:rPr>
          <w:rFonts w:ascii="Arial" w:cs="Arial" w:eastAsia="Arial" w:hAnsi="Arial"/>
          <w:sz w:val="15"/>
          <w:szCs w:val="15"/>
          <w:color w:val="auto"/>
        </w:rPr>
        <w:t>MXY^#%QC!XY&lt;&gt;`2QF2&amp;::1*9GCWL)Z9YD\:M]:&gt;TKO;7FW*BXUOR&amp; M1QRU!*V22;TB1NLAC(.HEW7HJNW!6%G5;5&amp;RK%[%2M7Q893L;)-'#-VQ363/ M$P)-</w:t>
      </w:r>
    </w:p>
    <w:p>
      <w:pPr>
        <w:spacing w:after="0"/>
        <w:rPr>
          <w:sz w:val="20"/>
          <w:szCs w:val="20"/>
          <w:color w:val="auto"/>
        </w:rPr>
      </w:pPr>
      <w:r>
        <w:rPr>
          <w:rFonts w:ascii="Arial" w:cs="Arial" w:eastAsia="Arial" w:hAnsi="Arial"/>
          <w:sz w:val="16"/>
          <w:szCs w:val="16"/>
          <w:color w:val="auto"/>
        </w:rPr>
        <w:t>FGAD18GAB9%YD7=+H1_$73I_Z^V/R-(R.8&amp;Z-DQ9M/5SMP_&gt;&gt;I6K=OZK M?.^YZI&gt;.?`33]4.W'AI^.Y6[ZZWPVZYZMG5:];VE(@[0K&amp;2MT8-</w:t>
      </w:r>
    </w:p>
    <w:p>
      <w:pPr>
        <w:spacing w:after="0" w:line="232" w:lineRule="auto"/>
        <w:rPr>
          <w:sz w:val="20"/>
          <w:szCs w:val="20"/>
          <w:color w:val="auto"/>
        </w:rPr>
      </w:pPr>
      <w:r>
        <w:rPr>
          <w:rFonts w:ascii="Arial" w:cs="Arial" w:eastAsia="Arial" w:hAnsi="Arial"/>
          <w:sz w:val="16"/>
          <w:szCs w:val="16"/>
          <w:color w:val="auto"/>
        </w:rPr>
        <w:t>'Z)J,Y:M-))A)L%$)%DJHS725S MCCR*[33B?Q6VL]U%N:P['A)N!I.N]CWNT0&amp;C=PWO66K*'M:ZV/7="MVV=FT&gt; MFV"F:TKT]</w:t>
      </w:r>
    </w:p>
    <w:p>
      <w:pPr>
        <w:spacing w:after="0" w:line="232" w:lineRule="auto"/>
        <w:rPr>
          <w:sz w:val="20"/>
          <w:szCs w:val="20"/>
          <w:color w:val="auto"/>
        </w:rPr>
      </w:pPr>
      <w:r>
        <w:rPr>
          <w:rFonts w:ascii="Arial" w:cs="Arial" w:eastAsia="Arial" w:hAnsi="Arial"/>
          <w:sz w:val="16"/>
          <w:szCs w:val="16"/>
          <w:color w:val="auto"/>
        </w:rPr>
        <w:t>&lt;*G/Q&amp;$M&lt;)6*9,CCEWD@NU88FZ("P#'''$NF)$1%Z"(NGI\S'(Q MVAMW5CEQ&gt;V;?9%"&lt;.]7XY9;);(W*M*N-?8X-U7&gt;65W03E,E:ECBT06='G8&lt;8</w:t>
      </w:r>
    </w:p>
    <w:p>
      <w:pPr>
        <w:spacing w:after="0" w:line="232" w:lineRule="auto"/>
        <w:rPr>
          <w:sz w:val="20"/>
          <w:szCs w:val="20"/>
          <w:color w:val="auto"/>
        </w:rPr>
      </w:pPr>
      <w:r>
        <w:rPr>
          <w:rFonts w:ascii="Arial" w:cs="Arial" w:eastAsia="Arial" w:hAnsi="Arial"/>
          <w:sz w:val="16"/>
          <w:szCs w:val="16"/>
          <w:color w:val="auto"/>
        </w:rPr>
        <w:t>MW`FR*K@\B13SSQB_OWM%.*W&amp;Z$;6/8M[&gt;K0\0"U*Y.\VJ&amp;YQ[BT-RQO%T03(R,LH;&gt;=*UUNZ,=X'</w:t>
      </w:r>
    </w:p>
    <w:p>
      <w:pPr>
        <w:spacing w:after="0" w:line="232" w:lineRule="auto"/>
        <w:rPr>
          <w:sz w:val="20"/>
          <w:szCs w:val="20"/>
          <w:color w:val="auto"/>
        </w:rPr>
      </w:pPr>
      <w:r>
        <w:rPr>
          <w:rFonts w:ascii="Arial" w:cs="Arial" w:eastAsia="Arial" w:hAnsi="Arial"/>
          <w:sz w:val="16"/>
          <w:szCs w:val="16"/>
          <w:color w:val="auto"/>
        </w:rPr>
        <w:t>M[:3E_&gt;)Y+O&gt;@G+1VF1GDGF1;98US^TBH.&gt;M&gt;;M8V`BV)O6^4&gt;DTH%PNGU\'+ M&lt;'&amp;J2DGA8.;1VOKO2U-D=@;1MD73JG&amp; M*)-E)*2R646?</w:t>
      </w:r>
    </w:p>
    <w:p>
      <w:pPr>
        <w:spacing w:after="0" w:line="232" w:lineRule="auto"/>
        <w:rPr>
          <w:sz w:val="20"/>
          <w:szCs w:val="20"/>
          <w:color w:val="auto"/>
        </w:rPr>
      </w:pPr>
      <w:r>
        <w:rPr>
          <w:rFonts w:ascii="Arial" w:cs="Arial" w:eastAsia="Arial" w:hAnsi="Arial"/>
          <w:sz w:val="16"/>
          <w:szCs w:val="16"/>
          <w:color w:val="auto"/>
        </w:rPr>
        <w:t>R3GJ3&amp;!@(IDDZF+)9910O!B:W`,)&amp;;DUON6C)3#%13"-')WF M[0=`N7=$K;'#:6\LFB2Z.MXJ2Q8QE/1&gt;)GFQG-O6I)!ZE0X97'_&gt;&amp;4+@UD;[ M9D&lt;2*NUO-</w:t>
      </w:r>
    </w:p>
    <w:p>
      <w:pPr>
        <w:spacing w:after="0" w:line="232" w:lineRule="auto"/>
        <w:rPr>
          <w:sz w:val="20"/>
          <w:szCs w:val="20"/>
          <w:color w:val="auto"/>
        </w:rPr>
      </w:pPr>
      <w:r>
        <w:rPr>
          <w:rFonts w:ascii="Arial" w:cs="Arial" w:eastAsia="Arial" w:hAnsi="Arial"/>
          <w:sz w:val="16"/>
          <w:szCs w:val="16"/>
          <w:color w:val="auto"/>
        </w:rPr>
        <w:t>IFI,M*4[M;+_MRYX[(W#:U+O=&amp;Z;EO!$DUSB:9KZ.&gt;?\S!ZQJ'J MEVVJS!;#NHR4RNZD[K9BP\2SV60Q\%HVV=]G_P!E?J%UYN17ZD3M9T.&amp;=8\A</w:t>
      </w:r>
    </w:p>
    <w:p>
      <w:pPr>
        <w:spacing w:after="0" w:line="233" w:lineRule="auto"/>
        <w:rPr>
          <w:sz w:val="20"/>
          <w:szCs w:val="20"/>
          <w:color w:val="auto"/>
        </w:rPr>
      </w:pPr>
      <w:r>
        <w:rPr>
          <w:rFonts w:ascii="Arial" w:cs="Arial" w:eastAsia="Arial" w:hAnsi="Arial"/>
          <w:sz w:val="16"/>
          <w:szCs w:val="16"/>
          <w:color w:val="auto"/>
        </w:rPr>
        <w:t>MNF3K2.K3&gt;ZD[)ZFO4U=#)G&lt;@US7QR+%+#CJ;V2,O9""PD-6QMOT(]D_:NJ24 MMEVEUO4-`E[)X;KX6MSVRU_#^-T:L&amp;+5JQ8LFZ31DR9-</w:t>
      </w:r>
    </w:p>
    <w:p>
      <w:pPr>
        <w:spacing w:after="0" w:line="232" w:lineRule="auto"/>
        <w:rPr>
          <w:sz w:val="20"/>
          <w:szCs w:val="20"/>
          <w:color w:val="auto"/>
        </w:rPr>
      </w:pPr>
      <w:r>
        <w:rPr>
          <w:rFonts w:ascii="Arial" w:cs="Arial" w:eastAsia="Arial" w:hAnsi="Arial"/>
          <w:sz w:val="16"/>
          <w:szCs w:val="16"/>
          <w:color w:val="auto"/>
        </w:rPr>
        <w:t>T6C)FT0Q+!%JT:MDTF M[9LE@18I-T$DT4\2(L&lt;"]O\`21$7H_K^O&lt;+R'(G`Z0]$&gt;GW1'7TP6CXAM&gt;6= MD7WOGKJQVM@S\\2+VSY7(I'&amp;Z1K'.D?7HUXZ^-</w:t>
      </w:r>
    </w:p>
    <w:p>
      <w:pPr>
        <w:spacing w:after="0" w:line="232" w:lineRule="auto"/>
        <w:rPr>
          <w:sz w:val="20"/>
          <w:szCs w:val="20"/>
          <w:color w:val="auto"/>
        </w:rPr>
      </w:pPr>
      <w:r>
        <w:rPr>
          <w:rFonts w:ascii="Arial" w:cs="Arial" w:eastAsia="Arial" w:hAnsi="Arial"/>
          <w:sz w:val="16"/>
          <w:szCs w:val="16"/>
          <w:color w:val="auto"/>
        </w:rPr>
        <w:t>I+++\%3K^]D[Y8--TG5&gt;GV M!KZUIV%J8/#UU21T%9'/GNVNQ&amp;29#*795?;R&gt;1F:U&amp;ON79I96Q-BJP&gt;YI5ZU M:'@B(C+(NN.1&gt;C+$S+(OC+(CZD?</w:t>
      </w:r>
    </w:p>
    <w:p>
      <w:pPr>
        <w:spacing w:after="0" w:line="232" w:lineRule="auto"/>
        <w:rPr>
          <w:sz w:val="20"/>
          <w:szCs w:val="20"/>
          <w:color w:val="auto"/>
        </w:rPr>
      </w:pPr>
      <w:r>
        <w:rPr>
          <w:rFonts w:ascii="Arial" w:cs="Arial" w:eastAsia="Arial" w:hAnsi="Arial"/>
          <w:sz w:val="16"/>
          <w:szCs w:val="16"/>
          <w:color w:val="auto"/>
        </w:rPr>
        <w:t>Q^D?!EJM7)Y=%U-04/*O&amp;QEDV?OHYJO)M M,\3ZXJ,I4TRDV*F!]#P59O$%4S+KAGB?F/O@,HW:-+)5IJ61IU;].PWLGJ7: M\5JM.S_!-!.Q\4C5^;7L-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M4\M^8NB$VC;3G+/?E0B&amp;7=)M4YZZ^S!0\$\.G=;8TS=S'8D8T9F1%@;:%5AB M+`BQ242Z8F5D&amp;K.WGYF4LVC3;&gt;JN/^_8M'$L'$E7\[?QYO2^!&gt;1J'DRRVOKU</w:t>
      </w:r>
    </w:p>
    <w:p>
      <w:pPr>
        <w:spacing w:after="0"/>
        <w:rPr>
          <w:sz w:val="20"/>
          <w:szCs w:val="20"/>
          <w:color w:val="auto"/>
        </w:rPr>
      </w:pPr>
      <w:r>
        <w:rPr>
          <w:rFonts w:ascii="Arial" w:cs="Arial" w:eastAsia="Arial" w:hAnsi="Arial"/>
          <w:sz w:val="16"/>
          <w:szCs w:val="16"/>
          <w:color w:val="auto"/>
        </w:rPr>
        <w:t>MX[,NIEW*U6VN69^?@8&amp;18TS@-=-Q]D+V=]V]Y)?Z:X;#VY.52[J3K.J2LD7C MF9:N"FI8RS*O'EUVA:1RJKG-/1U(3E$0W!14,_(LE"MVD']PF4&amp;F)F</w:t>
      </w:r>
    </w:p>
    <w:p>
      <w:pPr>
        <w:spacing w:after="0"/>
        <w:rPr>
          <w:sz w:val="20"/>
          <w:szCs w:val="20"/>
          <w:color w:val="auto"/>
        </w:rPr>
      </w:pPr>
      <w:r>
        <w:rPr>
          <w:rFonts w:ascii="Arial" w:cs="Arial" w:eastAsia="Arial" w:hAnsi="Arial"/>
          <w:sz w:val="15"/>
          <w:szCs w:val="15"/>
          <w:color w:val="auto"/>
        </w:rPr>
        <w:t>M9FO,4:%/#`BR433+KTL]TAS$XG!9$9%H$=TB,LB+ID7HRQ^Y,OR&amp;70R/_0? M`F-&gt;.-G/H6F0%5C;;L&gt;\3U&gt;UYK5N\B6_A@CGF6GW4W[.?2L+A,R&amp;:OP[?BZ.;KQ4</w:t>
      </w:r>
    </w:p>
    <w:p>
      <w:pPr>
        <w:spacing w:after="0"/>
        <w:rPr>
          <w:sz w:val="20"/>
          <w:szCs w:val="20"/>
          <w:color w:val="auto"/>
        </w:rPr>
      </w:pPr>
      <w:r>
        <w:rPr>
          <w:rFonts w:ascii="Arial" w:cs="Arial" w:eastAsia="Arial" w:hAnsi="Arial"/>
          <w:sz w:val="16"/>
          <w:szCs w:val="16"/>
          <w:color w:val="auto"/>
        </w:rPr>
        <w:t>ML;5DNW'+DL6_7Y*D$-&gt;&amp;:3ODH7Y&amp;M:B+WKRX]M2&gt;M?LUZB4)8[-N&gt;*O"E*=7 M1K+-(D&lt;;6U[+997JY[VIQ\:S].#_`$@^S-Q3E&gt;,BNQ\$\TL-V;WY1;K9898=</w:t>
      </w:r>
    </w:p>
    <w:p>
      <w:pPr>
        <w:spacing w:after="0" w:line="232" w:lineRule="auto"/>
        <w:rPr>
          <w:sz w:val="20"/>
          <w:szCs w:val="20"/>
          <w:color w:val="auto"/>
        </w:rPr>
      </w:pPr>
      <w:r>
        <w:rPr>
          <w:rFonts w:ascii="Arial" w:cs="Arial" w:eastAsia="Arial" w:hAnsi="Arial"/>
          <w:sz w:val="16"/>
          <w:szCs w:val="16"/>
          <w:color w:val="auto"/>
        </w:rPr>
        <w:t>MW'[']B\B=DR=-63R,SS4P&gt;4I"NOL5,NG&gt;]4_&lt;=4RP%@HQ%H'45?T!H[3^BZI MU.M:;UC1-706&gt;6'&lt;47BZ'6(RLM':_IRS?UY4W9K0-</w:t>
      </w:r>
    </w:p>
    <w:p>
      <w:pPr>
        <w:spacing w:after="0" w:line="232" w:lineRule="auto"/>
        <w:rPr>
          <w:sz w:val="20"/>
          <w:szCs w:val="20"/>
          <w:color w:val="auto"/>
        </w:rPr>
      </w:pPr>
      <w:r>
        <w:rPr>
          <w:rFonts w:ascii="Arial" w:cs="Arial" w:eastAsia="Arial" w:hAnsi="Arial"/>
          <w:sz w:val="16"/>
          <w:szCs w:val="16"/>
          <w:color w:val="auto"/>
        </w:rPr>
        <w:t>JUJ]5B\LK00UV+]60QMC:O^UJ```&lt;' M&gt;```!`3CS^&amp;SV@/YWQ2_&lt;@_$^Q`3CS^&amp;SV@/YWQ2_&lt;@_$^P````$;N7O'[/E M1QIW+Q[2MQ4)?:]'DJDVN.=?</w:t>
      </w:r>
    </w:p>
    <w:p>
      <w:pPr>
        <w:spacing w:after="0" w:line="232" w:lineRule="auto"/>
        <w:rPr>
          <w:sz w:val="20"/>
          <w:szCs w:val="20"/>
          <w:color w:val="auto"/>
        </w:rPr>
      </w:pPr>
      <w:r>
        <w:rPr>
          <w:rFonts w:ascii="Arial" w:cs="Arial" w:eastAsia="Arial" w:hAnsi="Arial"/>
          <w:sz w:val="16"/>
          <w:szCs w:val="16"/>
          <w:color w:val="auto"/>
        </w:rPr>
        <w:t>^RI.N.G:S1TUE5JYZ\5XYM!LY9I&amp;O&amp;XSL1FZ M1-1/"0:YF2V$..(G9W[+X]3U2BQPOE_UW M&gt;Y6&gt;D9&gt;3W1L]25S:J:\91K&amp;-1CXTBPD'3I=ZMDFFB=K`#</w:t>
      </w:r>
    </w:p>
    <w:p>
      <w:pPr>
        <w:spacing w:after="0" w:line="232" w:lineRule="auto"/>
        <w:rPr>
          <w:sz w:val="20"/>
          <w:szCs w:val="20"/>
          <w:color w:val="auto"/>
        </w:rPr>
      </w:pPr>
      <w:r>
        <w:rPr>
          <w:rFonts w:ascii="Arial" w:cs="Arial" w:eastAsia="Arial" w:hAnsi="Arial"/>
          <w:sz w:val="16"/>
          <w:szCs w:val="16"/>
          <w:color w:val="auto"/>
        </w:rPr>
        <w:t>[21[6/C1RHQ_;WM M\&lt;.[5Y;S_!?0M/*Z+J.;VK5]WRV!HWMLTN/,0ZKG)DE6[A(\_42CF64U;*V) M$R%-$KS^]CD7W?[BL7R5.7+LV9J?U5VA&amp;I8#:\54:</w:t>
      </w:r>
    </w:p>
    <w:p>
      <w:pPr>
        <w:spacing w:after="0" w:line="232" w:lineRule="auto"/>
        <w:rPr>
          <w:sz w:val="20"/>
          <w:szCs w:val="20"/>
          <w:color w:val="auto"/>
        </w:rPr>
      </w:pPr>
      <w:r>
        <w:rPr>
          <w:rFonts w:ascii="Arial" w:cs="Arial" w:eastAsia="Arial" w:hAnsi="Arial"/>
          <w:sz w:val="16"/>
          <w:szCs w:val="16"/>
          <w:color w:val="auto"/>
        </w:rPr>
        <w:t>[SPY'Z\V7*)0M/&gt;LDJ; MI:.UUQHU'MC3F#=A/,TWRFQ];Z4NM72FV)Q4?#L]B)DK#/L8=?"2]5S)[/AK MR)L$%;M7.M&lt;:2OM:H-L0C]JP5!9([0&lt;[!J\0@UXS,G-</w:t>
      </w:r>
    </w:p>
    <w:p>
      <w:pPr>
        <w:spacing w:after="0" w:line="232" w:lineRule="auto"/>
        <w:rPr>
          <w:sz w:val="20"/>
          <w:szCs w:val="20"/>
          <w:color w:val="auto"/>
        </w:rPr>
      </w:pPr>
      <w:r>
        <w:rPr>
          <w:rFonts w:ascii="Arial" w:cs="Arial" w:eastAsia="Arial" w:hAnsi="Arial"/>
          <w:sz w:val="16"/>
          <w:szCs w:val="16"/>
          <w:color w:val="auto"/>
        </w:rPr>
        <w:t>PAF[":;:MU!99*];W5):J"SD!\%V%5.V^!6ZM^]G=5.#FS^2\PN_8$;8^S9DZUSR^8/JU7]Y7G;FNKKN?6*EVW9KV7(O6*-.3Y&lt;77E@SAY#2;Y&amp;YUB&gt;G^?$3S-</w:t>
      </w:r>
    </w:p>
    <w:p>
      <w:pPr>
        <w:spacing w:after="0" w:line="233" w:lineRule="auto"/>
        <w:rPr>
          <w:sz w:val="20"/>
          <w:szCs w:val="20"/>
          <w:color w:val="auto"/>
        </w:rPr>
      </w:pPr>
      <w:r>
        <w:rPr>
          <w:rFonts w:ascii="Arial" w:cs="Arial" w:eastAsia="Arial" w:hAnsi="Arial"/>
          <w:sz w:val="16"/>
          <w:szCs w:val="16"/>
          <w:color w:val="auto"/>
        </w:rPr>
        <w:t>0@HF^0=K83LZRF(*-1UA+L;( M^7I]?DF&gt;6PZW3U9^:&gt;DQG[N#LM=(` MJR$_H[;6W-J*6+8,'6;S#4;;L#+O]@5HHNG;&amp;J-DAX"1J:\DD@NJ\XJ,WW508*ZP5</w:t>
      </w:r>
    </w:p>
    <w:p>
      <w:pPr>
        <w:spacing w:after="0"/>
        <w:rPr>
          <w:sz w:val="20"/>
          <w:szCs w:val="20"/>
          <w:color w:val="auto"/>
        </w:rPr>
      </w:pPr>
      <w:r>
        <w:rPr>
          <w:rFonts w:ascii="Arial" w:cs="Arial" w:eastAsia="Arial" w:hAnsi="Arial"/>
          <w:sz w:val="15"/>
          <w:szCs w:val="15"/>
          <w:color w:val="auto"/>
        </w:rPr>
        <w:t>M0L=0F48!?26VJO58^'?7F`&gt;RM]E+)+6NRS37'*UF[%N6V99--W#8ULXSQ2U` MC]*G.ZXU+QB;T732#O7G:1L&gt;=5JBZ%1G5MFT(.(MM.]&gt;]+2TA)YOIBUR$[/[</w:t>
      </w:r>
    </w:p>
    <w:p>
      <w:pPr>
        <w:sectPr>
          <w:pgSz w:w="11900" w:h="16884" w:orient="portrait"/>
          <w:cols w:equalWidth="0" w:num="1">
            <w:col w:w="11060"/>
          </w:cols>
          <w:pgMar w:left="620" w:top="124" w:right="219" w:bottom="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M#MN+C"R2U4RV`P`&amp;OSH'L:+[H#&gt;E`V;'[.XX;)@D+3$V"Y9;@XPY[`V%KMO2 M.6/)KDQ6&amp;_%&gt;SR=^2C=.S%O:\C,ZG?;([BIE]'V"GM-AU=/)](IPL9L"X^1%</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M_P"W^0Y`````````$!,_QG+;]!1[_$AMV:'R?.,6;5SL^@8O5$*D]&gt;*9X),X?:54D;5J:?=K=Y%K#7IX] MSPRR9IF4\!P9=2,OZ_Q])?E+S]SS'+55JHYJ\.:J*BI\E1&gt;47^2E.S&amp;</w:t>
      </w:r>
    </w:p>
    <w:p>
      <w:pPr>
        <w:spacing w:after="0"/>
        <w:rPr>
          <w:sz w:val="20"/>
          <w:szCs w:val="20"/>
          <w:color w:val="auto"/>
        </w:rPr>
      </w:pPr>
      <w:r>
        <w:rPr>
          <w:rFonts w:ascii="Arial" w:cs="Arial" w:eastAsia="Arial" w:hAnsi="Arial"/>
          <w:sz w:val="16"/>
          <w:szCs w:val="16"/>
          <w:color w:val="auto"/>
        </w:rPr>
        <w:t>(QNP8 MC*8',TXISM1458K-6:6&amp;1$5%5CUX5%\FGG! M[+ILYKIIM4Y5O7*0M7EK-)25N=-:]C4&amp;+')9"&gt;8W1Q)JMFM=E:?*-)"NVQO) M+-RAY^)DXYR&gt;"</w:t>
      </w:r>
    </w:p>
    <w:p>
      <w:pPr>
        <w:spacing w:after="0" w:line="232" w:lineRule="auto"/>
        <w:rPr>
          <w:sz w:val="20"/>
          <w:szCs w:val="20"/>
          <w:color w:val="auto"/>
        </w:rPr>
      </w:pPr>
      <w:r>
        <w:rPr>
          <w:rFonts w:ascii="Arial" w:cs="Arial" w:eastAsia="Arial" w:hAnsi="Arial"/>
          <w:sz w:val="16"/>
          <w:szCs w:val="16"/>
          <w:color w:val="auto"/>
        </w:rPr>
        <w:t>[&lt;\#J0Y#=H1:=D^K:9QD&gt;2=)H:I9MI3?CN/R97*V-CZX*8: M5K\PT/.KPKG$\B1VK;([UZ&gt;)98N:+56F&amp;;.W"T/^T&amp;]G79M&gt;2R_,;7+F?F&gt;+</w:t>
      </w:r>
    </w:p>
    <w:p>
      <w:pPr>
        <w:spacing w:after="0" w:line="232" w:lineRule="auto"/>
        <w:rPr>
          <w:sz w:val="20"/>
          <w:szCs w:val="20"/>
          <w:color w:val="auto"/>
        </w:rPr>
      </w:pPr>
      <w:r>
        <w:rPr>
          <w:rFonts w:ascii="Arial" w:cs="Arial" w:eastAsia="Arial" w:hAnsi="Arial"/>
          <w:sz w:val="16"/>
          <w:szCs w:val="16"/>
          <w:color w:val="auto"/>
        </w:rPr>
        <w:t>M=CN*ESY):91&lt;*%1]5;KGG#!JER@QNM=B.\-P-6 M&gt;&amp;-SOE@@M&lt;_S[V7&gt;[W?[QGF&gt;?4\N\?WQF9]3/(^OF9F9GY'U,C(SE$]B+V9.</w:t>
      </w:r>
    </w:p>
    <w:p>
      <w:pPr>
        <w:spacing w:after="0"/>
        <w:rPr>
          <w:sz w:val="20"/>
          <w:szCs w:val="20"/>
          <w:color w:val="auto"/>
        </w:rPr>
      </w:pPr>
      <w:r>
        <w:rPr>
          <w:rFonts w:ascii="Arial" w:cs="Arial" w:eastAsia="Arial" w:hAnsi="Arial"/>
          <w:sz w:val="15"/>
          <w:szCs w:val="15"/>
          <w:color w:val="auto"/>
        </w:rPr>
        <w:t>MGW6+&amp;2]1]USU/8*V#RKJ$O3FA)/#)6NPHV6O/M\SFP3R4;T?-K'X_&amp;JM*]"Q M$N9.9T&gt;3PL,-^N&gt;P5J/1W=LGD]RL)OD&lt;&gt;5NVM'HWZB?&lt;%?!MM/7&amp;6LY6E169</w:t>
      </w:r>
    </w:p>
    <w:p>
      <w:pPr>
        <w:spacing w:after="0"/>
        <w:rPr>
          <w:sz w:val="20"/>
          <w:szCs w:val="20"/>
          <w:color w:val="auto"/>
        </w:rPr>
      </w:pPr>
      <w:r>
        <w:rPr>
          <w:rFonts w:ascii="Arial" w:cs="Arial" w:eastAsia="Arial" w:hAnsi="Arial"/>
          <w:sz w:val="16"/>
          <w:szCs w:val="16"/>
          <w:color w:val="auto"/>
        </w:rPr>
        <w:t>M_8(J_N8[U.Q%'@Z=A)U^!RS)Z-RK\N(AHZ$;9M8YN:."[MS(O5EG#I\_DY5\ MH:TA,S,J_7=RRDBN9JO':N1^7U0`30T:-+&amp;4ZN.QM.KC\? M1@BJTJ-</w:t>
      </w:r>
    </w:p>
    <w:p>
      <w:pPr>
        <w:spacing w:after="0" w:line="232" w:lineRule="auto"/>
        <w:rPr>
          <w:sz w:val="20"/>
          <w:szCs w:val="20"/>
          <w:color w:val="auto"/>
        </w:rPr>
      </w:pPr>
      <w:r>
        <w:rPr>
          <w:rFonts w:ascii="Arial" w:cs="Arial" w:eastAsia="Arial" w:hAnsi="Arial"/>
          <w:sz w:val="16"/>
          <w:szCs w:val="16"/>
          <w:color w:val="auto"/>
        </w:rPr>
        <w:t>*O%5IU*L#&amp;Q05JM:!D&lt;,$$,;6QQ0Q,9'&amp;QK6,:C41#:)55R\N57+\ MU5555X\&gt;57RO@``#U'````````&lt;&amp;?0C/W/Z_H_:%Y/8"&lt;.WG(+EVZY*VF'57</w:t>
      </w:r>
    </w:p>
    <w:p>
      <w:pPr>
        <w:spacing w:after="0" w:line="232" w:lineRule="auto"/>
        <w:rPr>
          <w:sz w:val="20"/>
          <w:szCs w:val="20"/>
          <w:color w:val="auto"/>
        </w:rPr>
      </w:pPr>
      <w:r>
        <w:rPr>
          <w:rFonts w:ascii="Arial" w:cs="Arial" w:eastAsia="Arial" w:hAnsi="Arial"/>
          <w:sz w:val="16"/>
          <w:szCs w:val="16"/>
          <w:color w:val="auto"/>
        </w:rPr>
        <w:t>MU%Q`445@G;I`\HVS)X/K9874%0*\2UALC3!+_`$=^'/%#67"GCOKKCKJELOG7J-&amp;K92MC MD\$CLE^NDTZ4E[ML6WNDB(GEINUD=/YV6SQ/U*RRT</w:t>
      </w:r>
    </w:p>
    <w:p>
      <w:pPr>
        <w:spacing w:after="0" w:line="232" w:lineRule="auto"/>
        <w:rPr>
          <w:sz w:val="20"/>
          <w:szCs w:val="20"/>
          <w:color w:val="auto"/>
        </w:rPr>
      </w:pPr>
      <w:r>
        <w:rPr>
          <w:rFonts w:ascii="Arial" w:cs="Arial" w:eastAsia="Arial" w:hAnsi="Arial"/>
          <w:sz w:val="16"/>
          <w:szCs w:val="16"/>
          <w:color w:val="auto"/>
        </w:rPr>
        <w:t>M71US5)NANK7V3;/M&lt;5&gt;7=9:LO&lt;[!:MW1V8\5.]B_EY#97-B22LKG/9@&amp;VEM0 MLBR^/FDS9TBU"6Y?;L]Z)6T:#GMQK7IQ\5?3EBV&amp;HOK#217.</w:t>
      </w:r>
    </w:p>
    <w:p>
      <w:pPr>
        <w:spacing w:after="0" w:line="232" w:lineRule="auto"/>
        <w:rPr>
          <w:sz w:val="20"/>
          <w:szCs w:val="20"/>
          <w:color w:val="auto"/>
        </w:rPr>
      </w:pPr>
      <w:r>
        <w:rPr>
          <w:rFonts w:ascii="Arial" w:cs="Arial" w:eastAsia="Arial" w:hAnsi="Arial"/>
          <w:sz w:val="16"/>
          <w:szCs w:val="16"/>
          <w:color w:val="auto"/>
        </w:rPr>
        <w:t>(&amp;_MSZUSKZ5\U_KZ0FZHO:HIQ.UUK,F M_C8]H[F(9K+02\HQ:&amp;_R45HY&lt;^P;NC:.I M]GT^8X\;6VBP7I&amp;FU=93L'9=&lt;[4TS2VB3AYCMG8+&gt;4BY6*V/*J.&amp;:T?</w:t>
      </w:r>
    </w:p>
    <w:p>
      <w:pPr>
        <w:spacing w:after="0" w:line="232" w:lineRule="auto"/>
        <w:rPr>
          <w:sz w:val="20"/>
          <w:szCs w:val="20"/>
          <w:color w:val="auto"/>
        </w:rPr>
      </w:pPr>
      <w:r>
        <w:rPr>
          <w:rFonts w:ascii="Arial" w:cs="Arial" w:eastAsia="Arial" w:hAnsi="Arial"/>
          <w:sz w:val="16"/>
          <w:szCs w:val="16"/>
          <w:color w:val="auto"/>
        </w:rPr>
        <w:t>&amp;+HO8 M]BLD[-/)PW%L]RI=0V)5IZCW^JUN\4NTQCJ$LU1M\'&amp;V2L6*'?8&gt;&amp;\BIR!F&amp;</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MSR+EHUVG]PY8OVJ[9?'[E1/(O(8HU5Q3XPZ+GI&amp;U:4XZZ,U#9Y&gt;'SK\K8]9: MHHU$G9*!4&gt;M9-2$?R]8@XQ^[B%)%DR?J1J[C-FH]:-762)KMTL\+"SNN[GD-</w:t>
      </w:r>
    </w:p>
    <w:p>
      <w:pPr>
        <w:spacing w:after="0"/>
        <w:rPr>
          <w:sz w:val="20"/>
          <w:szCs w:val="20"/>
          <w:color w:val="auto"/>
        </w:rPr>
      </w:pPr>
      <w:r>
        <w:rPr>
          <w:rFonts w:ascii="Arial" w:cs="Arial" w:eastAsia="Arial" w:hAnsi="Arial"/>
          <w:sz w:val="16"/>
          <w:szCs w:val="16"/>
          <w:color w:val="auto"/>
        </w:rPr>
        <w:t>MZT?8,1OLF#T_`0[$S;M%;KV/OLWB7)X]*V$F?L$\S+^!_9ZZGW@UE&amp;&amp;9N25? MAK'NX^7+3YZUV2_1L0Y!8*==+"7*'PT&lt;=K</w:t>
      </w:r>
    </w:p>
    <w:p>
      <w:pPr>
        <w:spacing w:after="0"/>
        <w:rPr>
          <w:sz w:val="20"/>
          <w:szCs w:val="20"/>
          <w:color w:val="auto"/>
        </w:rPr>
      </w:pPr>
      <w:r>
        <w:rPr>
          <w:rFonts w:ascii="Arial" w:cs="Arial" w:eastAsia="Arial" w:hAnsi="Arial"/>
          <w:sz w:val="15"/>
          <w:szCs w:val="15"/>
          <w:color w:val="auto"/>
        </w:rPr>
        <w:t>MN$7DI/OW:^[PT#QY[0*]\C*AH&gt;A;QU)S+=\2N,-"9W.9=:J;6.S&lt;6-9;^HWL MP;9G6=8.8;5&gt;)M%GN&amp;R9V,@*@TD4X4]5&amp;[[?O$K"P^QYS8#KA[`3+3&amp;J8[#::;#7U1:)</w:t>
      </w:r>
    </w:p>
    <w:p>
      <w:pPr>
        <w:spacing w:after="0"/>
        <w:rPr>
          <w:sz w:val="20"/>
          <w:szCs w:val="20"/>
          <w:color w:val="auto"/>
        </w:rPr>
      </w:pPr>
      <w:r>
        <w:rPr>
          <w:rFonts w:ascii="Arial" w:cs="Arial" w:eastAsia="Arial" w:hAnsi="Arial"/>
          <w:sz w:val="16"/>
          <w:szCs w:val="16"/>
          <w:color w:val="auto"/>
        </w:rPr>
        <w:t>[OFGMBV]@A!LL,=D3LC2X M;73Z6N)$GTG7[NBUV#J3AR]\116`BF,9D9MFZ&gt;&amp;/CIWBUQZLM9K5+G-14&gt;1J M--U#9]"5.L.(9/U@K6H+E$5&gt;`LM"@HE-1-</w:t>
      </w:r>
    </w:p>
    <w:p>
      <w:pPr>
        <w:spacing w:after="0" w:line="232" w:lineRule="auto"/>
        <w:rPr>
          <w:sz w:val="20"/>
          <w:szCs w:val="20"/>
          <w:color w:val="auto"/>
        </w:rPr>
      </w:pPr>
      <w:r>
        <w:rPr>
          <w:rFonts w:ascii="Arial" w:cs="Arial" w:eastAsia="Arial" w:hAnsi="Arial"/>
          <w:sz w:val="16"/>
          <w:szCs w:val="16"/>
          <w:color w:val="auto"/>
        </w:rPr>
        <w:t>C%04I!TJJQ"N#)!%VC&amp;P;%DT=M MV^&amp;&gt;&amp;=^E0(HA[#7XB5$WQ$XSV;C^TXKV326N[%QY9,H1@EJ.?KR$S2\TJ[/ M-</w:t>
      </w:r>
    </w:p>
    <w:p>
      <w:pPr>
        <w:spacing w:after="0" w:line="232" w:lineRule="auto"/>
        <w:rPr>
          <w:sz w:val="20"/>
          <w:szCs w:val="20"/>
          <w:color w:val="auto"/>
        </w:rPr>
      </w:pPr>
      <w:r>
        <w:rPr>
          <w:rFonts w:ascii="Arial" w:cs="Arial" w:eastAsia="Arial" w:hAnsi="Arial"/>
          <w:sz w:val="16"/>
          <w:szCs w:val="16"/>
          <w:color w:val="auto"/>
        </w:rPr>
        <w:t>[5$+NXR1S5^=KETPV+69UBMB9GZ]U6\8JV&gt;J2Z_C2%7EWTHX@ M'$&lt;4O*X/`*AM%]N1MVTL-+S^U&gt;/"J%FW55H6,JVDM&lt;2-37]6W;8W:&amp;V3A;J^</w:t>
      </w:r>
    </w:p>
    <w:p>
      <w:pPr>
        <w:spacing w:after="0" w:line="232" w:lineRule="auto"/>
        <w:rPr>
          <w:sz w:val="20"/>
          <w:szCs w:val="20"/>
          <w:color w:val="auto"/>
        </w:rPr>
      </w:pPr>
      <w:r>
        <w:rPr>
          <w:rFonts w:ascii="Arial" w:cs="Arial" w:eastAsia="Arial" w:hAnsi="Arial"/>
          <w:sz w:val="16"/>
          <w:szCs w:val="16"/>
          <w:color w:val="auto"/>
        </w:rPr>
        <w:t>M83VU9[Y@P91F:L:RPM$+*5I%%')M*6UK/(-W#"LX2MY"=K2VJO9&gt;,N:E+@JW MJ':^T=F*&lt;8=8T_?\LU?</w:t>
      </w:r>
    </w:p>
    <w:p>
      <w:pPr>
        <w:spacing w:after="0"/>
        <w:rPr>
          <w:sz w:val="20"/>
          <w:szCs w:val="20"/>
          <w:color w:val="auto"/>
        </w:rPr>
      </w:pPr>
      <w:r>
        <w:rPr>
          <w:rFonts w:ascii="Arial" w:cs="Arial" w:eastAsia="Arial" w:hAnsi="Arial"/>
          <w:sz w:val="15"/>
          <w:szCs w:val="15"/>
          <w:color w:val="auto"/>
        </w:rPr>
        <w:t>TND113IEN##'9+!./Q;-6%PZS;)N@Z,\CR+$&lt;9]`0*&gt;N$873^O8Q'4% M\O&gt;T-7H,JQ'(MZ%L;9V=Q4V!&gt;*LABGX41:;^:LT#9(/C=&lt;]O6.Y:OXUR.YI/65WUK7JQ1-</w:t>
      </w:r>
    </w:p>
    <w:p>
      <w:pPr>
        <w:spacing w:after="0"/>
        <w:rPr>
          <w:sz w:val="20"/>
          <w:szCs w:val="20"/>
          <w:color w:val="auto"/>
        </w:rPr>
      </w:pPr>
      <w:r>
        <w:rPr>
          <w:rFonts w:ascii="Arial" w:cs="Arial" w:eastAsia="Arial" w:hAnsi="Arial"/>
          <w:sz w:val="16"/>
          <w:szCs w:val="16"/>
          <w:color w:val="auto"/>
        </w:rPr>
        <w:t>N[^Y07OA`PHL+' M7ZQQTQ+]&gt;2M#R32SS700C=862.N+^0R]18,);*&lt;#VZ^M9JV\=J+_`';MVXVG M:W&lt;+:\5$J05K5T@:O,2Y\&amp;?&amp;[U63E&lt;=F,&amp;.</w:t>
      </w:r>
    </w:p>
    <w:p>
      <w:pPr>
        <w:spacing w:after="0" w:line="232" w:lineRule="auto"/>
        <w:rPr>
          <w:sz w:val="20"/>
          <w:szCs w:val="20"/>
          <w:color w:val="auto"/>
        </w:rPr>
      </w:pPr>
      <w:r>
        <w:rPr>
          <w:rFonts w:ascii="Arial" w:cs="Arial" w:eastAsia="Arial" w:hAnsi="Arial"/>
          <w:sz w:val="16"/>
          <w:szCs w:val="16"/>
          <w:color w:val="auto"/>
        </w:rPr>
        <w:t>[=&gt;W&amp;5F9&amp;O&gt;LK:/U3"J7-+)], MN6M.5L_;&lt;*.)3.UWV\M&gt;.NH&amp;]OVC=*9L;8=B1H\,G*W*]Z\V"VVO2;;8'6"&amp; M.%28;7V[K5HZ_T#1$Q8&gt;</w:t>
      </w:r>
    </w:p>
    <w:p>
      <w:pPr>
        <w:spacing w:after="0" w:line="232" w:lineRule="auto"/>
        <w:rPr>
          <w:sz w:val="20"/>
          <w:szCs w:val="20"/>
          <w:color w:val="auto"/>
        </w:rPr>
      </w:pPr>
      <w:r>
        <w:rPr>
          <w:rFonts w:ascii="Arial" w:cs="Arial" w:eastAsia="Arial" w:hAnsi="Arial"/>
          <w:sz w:val="16"/>
          <w:szCs w:val="16"/>
          <w:color w:val="auto"/>
        </w:rPr>
        <w:t>&lt;\#%QJWL=W&gt;X;QQXC$M1%I.I2$=?89MJUA*[G M9K52OJ72.?'86+C&amp;=G,J96&amp;Y3CG,_(/M@L^+=(U[8-U\6[;7KA*3]X;;7UG7 M]XZ'V!;M;4ZB;(UEK1]?</w:t>
      </w:r>
    </w:p>
    <w:p>
      <w:pPr>
        <w:spacing w:after="0"/>
        <w:rPr>
          <w:sz w:val="20"/>
          <w:szCs w:val="20"/>
          <w:color w:val="auto"/>
        </w:rPr>
      </w:pPr>
      <w:r>
        <w:rPr>
          <w:rFonts w:ascii="Arial" w:cs="Arial" w:eastAsia="Arial" w:hAnsi="Arial"/>
          <w:sz w:val="15"/>
          <w:szCs w:val="15"/>
          <w:color w:val="auto"/>
        </w:rPr>
        <w:t>XEC1++87]SK\A*[6K;U!64B=&gt;MH%!%W$WN1J%HDZ M?!6JQ:3X&lt;&lt;5INL0-+F&gt;/FH9&gt;HUAAN.*@:Q*T2"D8&amp;+C.0F( M_BRRQ_\`UR,NOY#Z&gt;7M^Z.PX(NG]?</w:t>
      </w:r>
    </w:p>
    <w:p>
      <w:pPr>
        <w:spacing w:after="0"/>
        <w:rPr>
          <w:sz w:val="20"/>
          <w:szCs w:val="20"/>
          <w:color w:val="auto"/>
        </w:rPr>
      </w:pPr>
      <w:r>
        <w:rPr>
          <w:rFonts w:ascii="Arial" w:cs="Arial" w:eastAsia="Arial" w:hAnsi="Arial"/>
          <w:sz w:val="16"/>
          <w:szCs w:val="16"/>
          <w:color w:val="auto"/>
        </w:rPr>
        <w:t>^IGYG_[^?F.0````$!,_P`9RV_04&gt;_Q M',!/L0$S_&amp;69-I&amp;+E8N1;*LI"-DH M]ZDLS?Q[]FNLT&gt;LG:*S5XU65;.4E$5,\3TB^U![$38/%5_:=\&lt;.*I,[)XL=7</w:t>
      </w:r>
    </w:p>
    <w:p>
      <w:pPr>
        <w:spacing w:after="0"/>
        <w:rPr>
          <w:sz w:val="20"/>
          <w:szCs w:val="20"/>
          <w:color w:val="auto"/>
        </w:rPr>
      </w:pPr>
      <w:r>
        <w:rPr>
          <w:rFonts w:ascii="Arial" w:cs="Arial" w:eastAsia="Arial" w:hAnsi="Arial"/>
          <w:sz w:val="15"/>
          <w:szCs w:val="15"/>
          <w:color w:val="auto"/>
        </w:rPr>
        <w:t>M$Y9=*UQO(V#:''%J9J.))&gt;@PJ6+R8V?HN-+O.&amp;]:BB?;'U1''DQBXRZ41FCA M3MX&lt;=M+P[W)$9XFHV=MLU$%L&lt;,\-ZWG5V%/ M%/EU-SFTM=N'_%C?\\NO(3VQ-</w:t>
      </w:r>
    </w:p>
    <w:p>
      <w:pPr>
        <w:spacing w:after="0"/>
        <w:rPr>
          <w:sz w:val="20"/>
          <w:szCs w:val="20"/>
          <w:color w:val="auto"/>
        </w:rPr>
      </w:pPr>
      <w:r>
        <w:rPr>
          <w:rFonts w:ascii="Arial" w:cs="Arial" w:eastAsia="Arial" w:hAnsi="Arial"/>
          <w:sz w:val="16"/>
          <w:szCs w:val="16"/>
          <w:color w:val="auto"/>
        </w:rPr>
        <w:t>6P40]I&gt;Q)58RRRD=OZ&gt;&gt;YQ]6N4HIEW\G5RK MSRB[+&gt;'F23R\O&amp;J:;7'6)Y#=C-VD''%W)K9Z-+D926"I&amp;WV%Q@D4KB[=-%.]</w:t>
      </w:r>
    </w:p>
    <w:p>
      <w:pPr>
        <w:spacing w:after="0"/>
        <w:rPr>
          <w:sz w:val="20"/>
          <w:szCs w:val="20"/>
          <w:color w:val="auto"/>
        </w:rPr>
      </w:pPr>
      <w:r>
        <w:rPr>
          <w:rFonts w:ascii="Arial" w:cs="Arial" w:eastAsia="Arial" w:hAnsi="Arial"/>
          <w:sz w:val="15"/>
          <w:szCs w:val="15"/>
          <w:color w:val="auto"/>
        </w:rPr>
        <w:t>MDFO)Z5LKJ$V[$/R3Q(WD75X_9S5LIUP;3S_`\5#FQZ.?:!=%^H=2K2W2\WI= MM2L8RS5V&amp;97ZU8G\(^3';0V*.E#7551W;G68&gt;5CE6*/XIL:V'ZU[#TGV3$22 M28V+</w:t>
      </w:r>
    </w:p>
    <w:p>
      <w:pPr>
        <w:spacing w:after="0"/>
        <w:rPr>
          <w:sz w:val="20"/>
          <w:szCs w:val="20"/>
          <w:color w:val="auto"/>
        </w:rPr>
      </w:pPr>
      <w:r>
        <w:rPr>
          <w:rFonts w:ascii="Arial" w:cs="Arial" w:eastAsia="Arial" w:hAnsi="Arial"/>
          <w:sz w:val="16"/>
          <w:szCs w:val="16"/>
          <w:color w:val="auto"/>
        </w:rPr>
        <w:t>[\HHJJR2FWBZQOR2:BKED&lt;_U_LKK+51.YWNU7M2L@!\BPS;*FRBL%&gt;BD M-=SR"N2*\#LV$GM83J*V&amp;1X*(JPVPXNL26*N&amp;9'ADGZF/+'(CQ/S+SZ(6.O.</w:t>
      </w:r>
    </w:p>
    <w:p>
      <w:pPr>
        <w:spacing w:after="0" w:line="232" w:lineRule="auto"/>
        <w:rPr>
          <w:sz w:val="20"/>
          <w:szCs w:val="20"/>
          <w:color w:val="auto"/>
        </w:rPr>
      </w:pPr>
      <w:r>
        <w:rPr>
          <w:rFonts w:ascii="Arial" w:cs="Arial" w:eastAsia="Arial" w:hAnsi="Arial"/>
          <w:sz w:val="16"/>
          <w:szCs w:val="16"/>
          <w:color w:val="auto"/>
        </w:rPr>
        <w:t>ML#4:V"`=)D7&gt;-1K.P[C`L??'FB^SQ+'_`.KKT^,;IX?9M;V&amp;M'RRS9E7E.V&amp;O%+,]5X8QR^#U4,)F,H](\=B[]URJB?U:K-*UO/S&gt;]K%8Q</w:t>
      </w:r>
    </w:p>
    <w:p>
      <w:pPr>
        <w:spacing w:after="0" w:line="232" w:lineRule="auto"/>
        <w:rPr>
          <w:sz w:val="20"/>
          <w:szCs w:val="20"/>
          <w:color w:val="auto"/>
        </w:rPr>
      </w:pPr>
      <w:r>
        <w:rPr>
          <w:rFonts w:ascii="Arial" w:cs="Arial" w:eastAsia="Arial" w:hAnsi="Arial"/>
          <w:sz w:val="16"/>
          <w:szCs w:val="16"/>
          <w:color w:val="auto"/>
        </w:rPr>
        <w:t>MOU&lt;]S6I\U0P:9D1=3]K^O\_:^/R&amp;;&gt;-/&amp;7?G,S:N.EN--&amp;RNMN9JL,KM9Y11 MW&amp;:LTU$2.?\`LK+N"Z-V[A.`1R;XK/(:E124ELB[8M\T*K6UFF+Z:C;].)O]</w:t>
      </w:r>
    </w:p>
    <w:p>
      <w:pPr>
        <w:spacing w:after="0" w:line="232" w:lineRule="auto"/>
        <w:rPr>
          <w:sz w:val="20"/>
          <w:szCs w:val="20"/>
          <w:color w:val="auto"/>
        </w:rPr>
      </w:pPr>
      <w:r>
        <w:rPr>
          <w:rFonts w:ascii="Arial" w:cs="Arial" w:eastAsia="Arial" w:hAnsi="Arial"/>
          <w:sz w:val="16"/>
          <w:szCs w:val="16"/>
          <w:color w:val="auto"/>
        </w:rPr>
        <w:t>MFTV)9W&lt;9:N.04W$12\0V(_P#=9.-U M)38N5R[RF47M)+#'!53:BT/QZTIQBUO":BT#K*HZGUS7^_G'56FQ248RR&gt;KX</w:t>
      </w:r>
    </w:p>
    <w:p>
      <w:pPr>
        <w:spacing w:after="0" w:line="232" w:lineRule="auto"/>
        <w:rPr>
          <w:sz w:val="20"/>
          <w:szCs w:val="20"/>
          <w:color w:val="auto"/>
        </w:rPr>
      </w:pPr>
      <w:r>
        <w:rPr>
          <w:rFonts w:ascii="Arial" w:cs="Arial" w:eastAsia="Arial" w:hAnsi="Arial"/>
          <w:sz w:val="16"/>
          <w:szCs w:val="16"/>
          <w:color w:val="auto"/>
        </w:rPr>
        <w:t>MID]F91P1J2$_8Y3)/%:;L\^]E+'..^\\EY5ZY4S4.-[K]]I!@Z=*]K?06M-E MLK.R2N_?LS0DJXC'(Y.Q9\#A;\&lt;=[*7697DEF&gt;U5;[VNY.2)/9Q=FQ</w:t>
      </w:r>
    </w:p>
    <w:p>
      <w:pPr>
        <w:spacing w:after="0" w:line="232" w:lineRule="auto"/>
        <w:rPr>
          <w:sz w:val="20"/>
          <w:szCs w:val="20"/>
          <w:color w:val="auto"/>
        </w:rPr>
      </w:pPr>
      <w:r>
        <w:rPr>
          <w:rFonts w:ascii="Arial" w:cs="Arial" w:eastAsia="Arial" w:hAnsi="Arial"/>
          <w:sz w:val="16"/>
          <w:szCs w:val="16"/>
          <w:color w:val="auto"/>
        </w:rPr>
        <w:t>MISL[-6/:W47*E^V]&gt;CC9'=&gt;]9R*:QMHV/-QJ2N,=&amp;L(]!9XG3=:U/U4\:T'7 M4:^=,*^V_DLE?L26KM MZ[9D=+8M6K$SG23332.&lt;][WN555?</w:t>
      </w:r>
    </w:p>
    <w:p>
      <w:pPr>
        <w:spacing w:after="0" w:line="232" w:lineRule="auto"/>
        <w:rPr>
          <w:sz w:val="20"/>
          <w:szCs w:val="20"/>
          <w:color w:val="auto"/>
        </w:rPr>
      </w:pPr>
      <w:r>
        <w:rPr>
          <w:rFonts w:ascii="Arial" w:cs="Arial" w:eastAsia="Arial" w:hAnsi="Arial"/>
          <w:sz w:val="16"/>
          <w:szCs w:val="16"/>
          <w:color w:val="auto"/>
        </w:rPr>
        <w:t>IPAL)7KP58(JU:*."O!&amp;R*&amp;&amp;)B,CBC8B M-8QC&amp;HC6M:U$1$1```*&gt;=P```````0$X\_AL]H#^=\4OW(/Q/L0$X\_AL]H# M^=\4OW(/Q/L````!P9D1&amp;9]?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+S\B/(_U%B1F9_$1=1U+/'(^A%GY%U\TU,2] MSTY8D1G\1&gt;?M^@06[3:J;+O/`;E=4M/0]QL&amp;RI_3-IC:C!Z^6D$+M+RBY-#] M;JPI$O8V3*9=M,'2+/&amp;/?LWBBF?</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AMW"2F&gt;.14V]CUI'=^ON:]WM$_HKE)J/5 M:_&amp;38$&amp;^&gt;[Q8[.BJO,7A[N'4)).Y&gt;%6-/GV^KOHAY9;+H[-:NE&gt;Q(VPDJNL M1LY@K^[;W(D[^?P+)^['X7EWCP;/AYXD?</w:t>
      </w:r>
    </w:p>
    <w:p>
      <w:pPr>
        <w:spacing w:after="0"/>
        <w:rPr>
          <w:sz w:val="20"/>
          <w:szCs w:val="20"/>
          <w:color w:val="auto"/>
        </w:rPr>
      </w:pPr>
      <w:r>
        <w:rPr>
          <w:rFonts w:ascii="Arial" w:cs="Arial" w:eastAsia="Arial" w:hAnsi="Arial"/>
          <w:sz w:val="16"/>
          <w:szCs w:val="16"/>
          <w:color w:val="auto"/>
        </w:rPr>
        <w:t>0S/KY^@C/T&gt;Z9$9%[A=?2?D74_( M&lt;$ICETZ%EY]?3CEB9=/+S(R(R,_:+TF-=_EW5&gt;T.V=VL?&amp;N*:T+&gt;=4X:-XS? M6F*SLK26R:HTJ&lt;-';7XF6M"YRD:[GU'J-</w:t>
      </w:r>
    </w:p>
    <w:p>
      <w:pPr>
        <w:spacing w:after="0" w:line="232" w:lineRule="auto"/>
        <w:rPr>
          <w:sz w:val="20"/>
          <w:szCs w:val="20"/>
          <w:color w:val="auto"/>
        </w:rPr>
      </w:pPr>
      <w:r>
        <w:rPr>
          <w:rFonts w:ascii="Arial" w:cs="Arial" w:eastAsia="Arial" w:hAnsi="Arial"/>
          <w:sz w:val="16"/>
          <w:szCs w:val="16"/>
          <w:color w:val="auto"/>
        </w:rPr>
        <w:t>EO\`B3:^-5&gt;V M58KM0^7.5[F(_7$'9+'GA"5OB-RR=PF=SA:\BOC)4QQLT]&gt;QCAA/H+0$E8I" MMQCA%9^]CDLZI;3R2[8J-</w:t>
      </w:r>
    </w:p>
    <w:p>
      <w:pPr>
        <w:spacing w:after="0" w:line="232" w:lineRule="auto"/>
        <w:rPr>
          <w:sz w:val="20"/>
          <w:szCs w:val="20"/>
          <w:color w:val="auto"/>
        </w:rPr>
      </w:pPr>
      <w:r>
        <w:rPr>
          <w:rFonts w:ascii="Arial" w:cs="Arial" w:eastAsia="Arial" w:hAnsi="Arial"/>
          <w:sz w:val="16"/>
          <w:szCs w:val="16"/>
          <w:color w:val="auto"/>
        </w:rPr>
        <w:t>JZ.OMDK;S0IEQK^GY^U[VU_P;7M.R:M:=P\![A? MEM!5O6E-I\DFI3?[V,6QUI9MA+P4C&lt;-59R\72[G?:F_FV%YB@-LDLB/W2_[L M]J MM-</w:t>
      </w:r>
    </w:p>
    <w:p>
      <w:pPr>
        <w:spacing w:after="0" w:line="232" w:lineRule="auto"/>
        <w:rPr>
          <w:sz w:val="20"/>
          <w:szCs w:val="20"/>
          <w:color w:val="auto"/>
        </w:rPr>
      </w:pPr>
      <w:r>
        <w:rPr>
          <w:rFonts w:ascii="Arial" w:cs="Arial" w:eastAsia="Arial" w:hAnsi="Arial"/>
          <w:sz w:val="16"/>
          <w:szCs w:val="16"/>
          <w:color w:val="auto"/>
        </w:rPr>
        <w:t>JS6L&gt;SNX')R6NM@R=DI.U[6E9)[9+_`''#*85^)U@RL,Q1[LUEMX4VXU!U M$VS=8:J^.W17[N6/C))+=W+#-/+'Q4\%.[E@I@FIB&gt;/&gt;Z'BIABIB9=W/$LB,</w:t>
      </w:r>
    </w:p>
    <w:p>
      <w:pPr>
        <w:spacing w:after="0" w:line="232" w:lineRule="auto"/>
        <w:rPr>
          <w:sz w:val="20"/>
          <w:szCs w:val="20"/>
          <w:color w:val="auto"/>
        </w:rPr>
      </w:pPr>
      <w:r>
        <w:rPr>
          <w:rFonts w:ascii="Arial" w:cs="Arial" w:eastAsia="Arial" w:hAnsi="Arial"/>
          <w:sz w:val="16"/>
          <w:szCs w:val="16"/>
          <w:color w:val="auto"/>
        </w:rPr>
        <w:t>MB`_0``````````````("9_C.6WZ"CW^(Y@)]B`F?XSEM^@H]_B.8"?8````` M```````````````````````````````````````````````````#J&gt;.)^G$C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M\^OF7M^[^7X_UCL``\U9Z94[M%+P5QK4#;(1R?5Q#V&gt;&amp;C;#%K'TZ?[6/F6KY MFIY&gt;_1R$&lt;9+@3P,7''5[G%YK706E-&gt;NL,\%,7%%U M/K^HKXYI]#PS):OUV/6++$\</w:t>
      </w:r>
    </w:p>
    <w:p>
      <w:pPr>
        <w:spacing w:after="0"/>
        <w:rPr>
          <w:sz w:val="20"/>
          <w:szCs w:val="20"/>
          <w:color w:val="auto"/>
        </w:rPr>
      </w:pPr>
      <w:r>
        <w:rPr>
          <w:rFonts w:ascii="Arial" w:cs="Arial" w:eastAsia="Arial" w:hAnsi="Arial"/>
          <w:sz w:val="16"/>
          <w:szCs w:val="16"/>
          <w:color w:val="auto"/>
        </w:rPr>
        <w:t>&lt;&gt;[D69'CW2[IET(9O)+`O21Y=#[Q'F9YF1^Z7 M&gt;,^GN&gt;73R\A_0!PB(G*HB(JKRJHB)ROU7ZK_`!'(``'(```````````````J M*B&gt;3VAN-G.'FVUWGLN`UDXN;?</w:t>
      </w:r>
    </w:p>
    <w:p>
      <w:pPr>
        <w:spacing w:after="0" w:line="232" w:lineRule="auto"/>
        <w:rPr>
          <w:sz w:val="20"/>
          <w:szCs w:val="20"/>
          <w:color w:val="auto"/>
        </w:rPr>
      </w:pPr>
      <w:r>
        <w:rPr>
          <w:rFonts w:ascii="Arial" w:cs="Arial" w:eastAsia="Arial" w:hAnsi="Arial"/>
          <w:sz w:val="16"/>
          <w:szCs w:val="16"/>
          <w:color w:val="auto"/>
        </w:rPr>
        <w:t>BY,U3"TIRS/"PQ3#44O$/W\0NC&amp;.4'[9C*- MEH]YFV44]2.\20=$BHHD2D@?MGG`OX3NL_VN;_D0GADF61]3R4+T%TQ4SQ+R</w:t>
      </w:r>
    </w:p>
    <w:p>
      <w:pPr>
        <w:spacing w:after="0"/>
        <w:rPr>
          <w:sz w:val="20"/>
          <w:szCs w:val="20"/>
          <w:color w:val="auto"/>
        </w:rPr>
      </w:pPr>
      <w:r>
        <w:rPr>
          <w:rFonts w:ascii="Arial" w:cs="Arial" w:eastAsia="Arial" w:hAnsi="Arial"/>
          <w:sz w:val="15"/>
          <w:szCs w:val="15"/>
          <w:color w:val="auto"/>
        </w:rPr>
        <w:t>M^(C(NONGZ3]L&lt;&gt;%C[Y7Y53Z0`@A]L\X%_"=UG^US?\B#[9YP+^$[K/\`:YO^ M1"=_A8^^5^54^D'A8^^5^54^D`('Y=IWP*R(RRY.:R,C\C(W4WT,O&lt;_\"'7' MM..`^)]</w:t>
      </w:r>
    </w:p>
    <w:p>
      <w:pPr>
        <w:spacing w:after="0"/>
        <w:rPr>
          <w:sz w:val="20"/>
          <w:szCs w:val="20"/>
          <w:color w:val="auto"/>
        </w:rPr>
      </w:pPr>
      <w:r>
        <w:rPr>
          <w:rFonts w:ascii="Arial" w:cs="Arial" w:eastAsia="Arial" w:hAnsi="Arial"/>
          <w:sz w:val="16"/>
          <w:szCs w:val="16"/>
          <w:color w:val="auto"/>
        </w:rPr>
        <w:t>&lt;&gt;36L2,RZ&gt;3F;]'IZ?^!&gt;Z1"&gt;7A8^^5^54^D'A8^^5^54^D`('_;. M^!7I_O.:S_:YS^1CC[9UP)^$[K3R/K_SD[Z&gt;O7S_`.!^?GYD1]2+VN@GCX6/ MOE?E5/I!X6/OE?</w:t>
      </w:r>
    </w:p>
    <w:p>
      <w:pPr>
        <w:spacing w:after="0" w:line="232" w:lineRule="auto"/>
        <w:rPr>
          <w:sz w:val="20"/>
          <w:szCs w:val="20"/>
          <w:color w:val="auto"/>
        </w:rPr>
      </w:pPr>
      <w:r>
        <w:rPr>
          <w:rFonts w:ascii="Arial" w:cs="Arial" w:eastAsia="Arial" w:hAnsi="Arial"/>
          <w:sz w:val="16"/>
          <w:szCs w:val="16"/>
          <w:color w:val="auto"/>
        </w:rPr>
        <w:t>E5/I`"!_VSO@5\)W6G[9.&gt;YT_\C_KT^D&lt;'VG7`D_3RYT_P#(_;+R/W?;ZB&gt;/A8^^5^54^D'A8^^5^54^D`('?;.N!/PG-9_M MD[_(_P!?Y?/TCM]L\X%E_P#,</w:t>
      </w:r>
    </w:p>
    <w:p>
      <w:pPr>
        <w:spacing w:after="0" w:line="232" w:lineRule="auto"/>
        <w:rPr>
          <w:sz w:val="20"/>
          <w:szCs w:val="20"/>
          <w:color w:val="auto"/>
        </w:rPr>
      </w:pPr>
      <w:r>
        <w:rPr>
          <w:rFonts w:ascii="Arial" w:cs="Arial" w:eastAsia="Arial" w:hAnsi="Arial"/>
          <w:sz w:val="16"/>
          <w:szCs w:val="16"/>
          <w:color w:val="auto"/>
        </w:rPr>
        <w:t>[K/]KG/Y&amp;)W^%C[Y7Y53Z0&gt;%C[Y7Y53Z0`@A M]L\X%_"=UG^US?\`(@^V&gt;&lt;"_A.ZS_:YO^1"=_A8^^5^54^D'A8^^5^54^D`( M(?;/.!?PG=9_M%C[Y7Y53Z</w:t>
      </w:r>
    </w:p>
    <w:p>
      <w:pPr>
        <w:spacing w:after="0"/>
        <w:rPr>
          <w:sz w:val="20"/>
          <w:szCs w:val="20"/>
          <w:color w:val="auto"/>
        </w:rPr>
      </w:pPr>
      <w:r>
        <w:rPr>
          <w:rFonts w:ascii="Arial" w:cs="Arial" w:eastAsia="Arial" w:hAnsi="Arial"/>
          <w:sz w:val="15"/>
          <w:szCs w:val="15"/>
          <w:color w:val="auto"/>
        </w:rPr>
        <w:t>M0`@A]L\X%_"=UG^US?\`(@^V&gt;&lt;"_A.ZS_:YO^1"=_A8^^5^54^D'A8^^5^54 M^D`*K=,[WU)R)[163N&amp;E+O%;&amp;K%:X5XU^?GJXE)+Q,3.RG()*1CX=X^61?J+(SZ?</w:t>
      </w:r>
    </w:p>
    <w:p>
      <w:pPr>
        <w:spacing w:after="0"/>
        <w:rPr>
          <w:sz w:val="20"/>
          <w:szCs w:val="20"/>
          <w:color w:val="auto"/>
        </w:rPr>
      </w:pPr>
      <w:r>
        <w:rPr>
          <w:rFonts w:ascii="Arial" w:cs="Arial" w:eastAsia="Arial" w:hAnsi="Arial"/>
          <w:sz w:val="16"/>
          <w:szCs w:val="16"/>
          <w:color w:val="auto"/>
        </w:rPr>
        <w:t>J]/MCN` M```````````````````````````````````````````````````````````` M```````````````````````````````````````````````````````````` M````````````````````````````````````````````````````````````</w:t>
      </w:r>
    </w:p>
    <w:p>
      <w:pPr>
        <w:spacing w:after="0"/>
        <w:rPr>
          <w:sz w:val="20"/>
          <w:szCs w:val="20"/>
          <w:color w:val="auto"/>
        </w:rPr>
      </w:pPr>
      <w:r>
        <w:rPr>
          <w:rFonts w:ascii="Arial" w:cs="Arial" w:eastAsia="Arial" w:hAnsi="Arial"/>
          <w:sz w:val="16"/>
          <w:szCs w:val="16"/>
          <w:color w:val="auto"/>
        </w:rPr>
        <w:t>M```````````````````````````````````````````````````````````` 5````````````````````````/__9 ` end</w:t>
      </w:r>
    </w:p>
    <w:p>
      <w:pPr>
        <w:sectPr>
          <w:pgSz w:w="11900" w:h="16838" w:orient="portrait"/>
          <w:cols w:equalWidth="0" w:num="1">
            <w:col w:w="11060"/>
          </w:cols>
          <w:pgMar w:left="620" w:top="124" w:right="219" w:bottom="1440" w:gutter="0" w:footer="0" w:header="0"/>
        </w:sectPr>
      </w:pPr>
    </w:p>
    <w:bookmarkStart w:id="58" w:name="page59"/>
    <w:bookmarkEnd w:id="58"/>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begin 644 html_linechart.jpg M_]C_X``02D9)1@`!`0$!(`$@``#__@`V($EM86=E(&amp;=E;F5R871E9"!B&gt;2!' M3E4@1VAO%F;SBG.S[V+JO"S-YQ3G9]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[%U7A9F\XISL^]BZKPLS&gt; M&lt;4YV?&gt;Q=5X69O.*&lt;[/O8NJ\+,WG%.=GWL75&gt;%F;SBG.S[V+JO"S-YQ3G9][% MU7A9F\XISL^]BZKPLS&gt;&lt;4YV?&gt;Q=5X69O.*</w:t>
      </w:r>
    </w:p>
    <w:p>
      <w:pPr>
        <w:spacing w:after="0"/>
        <w:rPr>
          <w:sz w:val="20"/>
          <w:szCs w:val="20"/>
          <w:color w:val="auto"/>
        </w:rPr>
      </w:pPr>
      <w:r>
        <w:rPr>
          <w:rFonts w:ascii="Arial" w:cs="Arial" w:eastAsia="Arial" w:hAnsi="Arial"/>
          <w:sz w:val="15"/>
          <w:szCs w:val="15"/>
          <w:color w:val="auto"/>
        </w:rPr>
        <w:t>&lt;[/O8NJ\+,WG%.=GWL75&gt;%F;SB MG.S[V+JO"S-YQ3G9][%U7A9F\XISL^]BZKPLS&gt;&lt;4YV?&gt;Q=5X69O.*&lt;[/O8NJ M\+,WG%.=GWL75&gt;%F;SBG.S[V+JO"S-YQ3G9]</w:t>
      </w:r>
    </w:p>
    <w:p>
      <w:pPr>
        <w:spacing w:after="0"/>
        <w:rPr>
          <w:sz w:val="20"/>
          <w:szCs w:val="20"/>
          <w:color w:val="auto"/>
        </w:rPr>
      </w:pPr>
      <w:r>
        <w:rPr>
          <w:rFonts w:ascii="Arial" w:cs="Arial" w:eastAsia="Arial" w:hAnsi="Arial"/>
          <w:sz w:val="16"/>
          <w:szCs w:val="16"/>
          <w:color w:val="auto"/>
        </w:rPr>
        <w:t>[%U7A9F\XISL^]BZKPLS&gt;&lt;4Y MV?&gt;Q=5X69O.*&lt;[/O8NJ\+,WG%.=GWL75&gt;%F;SBG.S[V+JO"S-YQ3G9][%U7A M9F\XISL^]BZKPLS&gt;&lt;4YV?&gt;Q=5X69O.*</w:t>
      </w:r>
    </w:p>
    <w:p>
      <w:pPr>
        <w:spacing w:after="0"/>
        <w:rPr>
          <w:sz w:val="20"/>
          <w:szCs w:val="20"/>
          <w:color w:val="auto"/>
        </w:rPr>
      </w:pPr>
      <w:r>
        <w:rPr>
          <w:rFonts w:ascii="Arial" w:cs="Arial" w:eastAsia="Arial" w:hAnsi="Arial"/>
          <w:sz w:val="15"/>
          <w:szCs w:val="15"/>
          <w:color w:val="auto"/>
        </w:rPr>
        <w:t>&lt;[/O8NJ\+,WG%.=GWL75&gt;%F;SBG.S M[V+JO"S-YQ3G9][%U7A9F\XISL^]BZKPLS&gt;&lt;4YV?&gt;Q=5X69O.*&lt;[/O8NJ\+, MWG%.=GWL75&gt;%F;SBG.S[V+JO"S-YQ3G9]</w:t>
      </w:r>
    </w:p>
    <w:p>
      <w:pPr>
        <w:spacing w:after="0"/>
        <w:rPr>
          <w:sz w:val="20"/>
          <w:szCs w:val="20"/>
          <w:color w:val="auto"/>
        </w:rPr>
      </w:pPr>
      <w:r>
        <w:rPr>
          <w:rFonts w:ascii="Arial" w:cs="Arial" w:eastAsia="Arial" w:hAnsi="Arial"/>
          <w:sz w:val="16"/>
          <w:szCs w:val="16"/>
          <w:color w:val="auto"/>
        </w:rPr>
        <w:t>[%U7A9F\XISL^]BZKPLS&gt;&lt;4YV?&gt; MQ=5X69O.*&lt;[/O8NJ\+,WG%.=GWL75&gt;%F;SBG.S[V+JO"S-YQ3G9][%U7A9F\ MXISL^]BZKPLS&gt;&lt;4YV?&gt;Q=5X69O.*</w:t>
      </w:r>
    </w:p>
    <w:p>
      <w:pPr>
        <w:spacing w:after="0"/>
        <w:rPr>
          <w:sz w:val="20"/>
          <w:szCs w:val="20"/>
          <w:color w:val="auto"/>
        </w:rPr>
      </w:pPr>
      <w:r>
        <w:rPr>
          <w:rFonts w:ascii="Arial" w:cs="Arial" w:eastAsia="Arial" w:hAnsi="Arial"/>
          <w:sz w:val="15"/>
          <w:szCs w:val="15"/>
          <w:color w:val="auto"/>
        </w:rPr>
        <w:t>&lt;[/O8NJ\+,WG%.=GWL75&gt;%F;SBG.S[V+ MJO"S-YQ3G9][%U7A9F\XISL^]BZKPLS&gt;&lt;4YV?&gt;Q=5X69O.*&lt;[/O8NJ\+,WG% M.=GWL75&gt;%F;SBG.S[V+JO"S-YQ3G9]</w:t>
      </w:r>
    </w:p>
    <w:p>
      <w:pPr>
        <w:spacing w:after="0"/>
        <w:rPr>
          <w:sz w:val="20"/>
          <w:szCs w:val="20"/>
          <w:color w:val="auto"/>
        </w:rPr>
      </w:pPr>
      <w:r>
        <w:rPr>
          <w:rFonts w:ascii="Arial" w:cs="Arial" w:eastAsia="Arial" w:hAnsi="Arial"/>
          <w:sz w:val="16"/>
          <w:szCs w:val="16"/>
          <w:color w:val="auto"/>
        </w:rPr>
        <w:t>[%U7A9F\XISL^]BZKPLS&gt;&lt;4YV?&gt;Q=5 MX69O.*&lt;[/O8NJ\+,WG%.=GWL75&gt;%F;SBG.S[V+JO"S-YQ3G9][%U7A9F\XIS ML^]BZKPLS&gt;&lt;4YV?&gt;Q=5X69O.*</w:t>
      </w:r>
    </w:p>
    <w:p>
      <w:pPr>
        <w:spacing w:after="0" w:line="232" w:lineRule="auto"/>
        <w:rPr>
          <w:sz w:val="20"/>
          <w:szCs w:val="20"/>
          <w:color w:val="auto"/>
        </w:rPr>
      </w:pPr>
      <w:r>
        <w:rPr>
          <w:rFonts w:ascii="Arial" w:cs="Arial" w:eastAsia="Arial" w:hAnsi="Arial"/>
          <w:sz w:val="16"/>
          <w:szCs w:val="16"/>
          <w:color w:val="auto"/>
        </w:rPr>
        <w:t>&lt;[/O8NJ\+,WG%.=GWL75&gt;%F;SBOHB&gt;E9[D! ML7,ZEN-.0J%Q!IBM`J*,+2J4:8XN_)3AF`,L):2('"!P!@X?L["#:UY%49'[ M;D_T=6?:R&amp;I-</w:t>
      </w:r>
    </w:p>
    <w:p>
      <w:pPr>
        <w:spacing w:after="0" w:line="232" w:lineRule="auto"/>
        <w:rPr>
          <w:sz w:val="20"/>
          <w:szCs w:val="20"/>
          <w:color w:val="auto"/>
        </w:rPr>
      </w:pPr>
      <w:r>
        <w:rPr>
          <w:rFonts w:ascii="Arial" w:cs="Arial" w:eastAsia="Arial" w:hAnsi="Arial"/>
          <w:sz w:val="16"/>
          <w:szCs w:val="16"/>
          <w:color w:val="auto"/>
        </w:rPr>
        <w:t>2E*4I2E*4I2E*4I2E*4I2E*4I2E*4I2E*4I2E*4I2E*4I2E* M4I2E*4I2HX?[:FO]`/OVI'*D=1D?MN3_`$=6?:R&amp;I-2E*4I2E*4I2E*4I2E*</w:t>
      </w:r>
    </w:p>
    <w:p>
      <w:pPr>
        <w:spacing w:after="0" w:line="232" w:lineRule="auto"/>
        <w:rPr>
          <w:sz w:val="20"/>
          <w:szCs w:val="20"/>
          <w:color w:val="auto"/>
        </w:rPr>
      </w:pPr>
      <w:r>
        <w:rPr>
          <w:rFonts w:ascii="Arial" w:cs="Arial" w:eastAsia="Arial" w:hAnsi="Arial"/>
          <w:sz w:val="16"/>
          <w:szCs w:val="16"/>
          <w:color w:val="auto"/>
        </w:rPr>
        <w:t>M4I2E*4I2E*4I2E*4I2E*4I2E*4I2E*4I2E*4I2HX?[:FO]`/OVI'*D=1D?MN M3_1U9]K(:DU*4I2E*4I2E*4I2E*4I2E*4I2E*4I2E*4I2E*4I2E*4I2E*4I2</w:t>
      </w:r>
    </w:p>
    <w:p>
      <w:pPr>
        <w:spacing w:after="0" w:line="232" w:lineRule="auto"/>
        <w:rPr>
          <w:sz w:val="20"/>
          <w:szCs w:val="20"/>
          <w:color w:val="auto"/>
        </w:rPr>
      </w:pPr>
      <w:r>
        <w:rPr>
          <w:rFonts w:ascii="Arial" w:cs="Arial" w:eastAsia="Arial" w:hAnsi="Arial"/>
          <w:sz w:val="16"/>
          <w:szCs w:val="16"/>
          <w:color w:val="auto"/>
        </w:rPr>
        <w:t>ME*4I2E*CA_MJ:_T`^_:D')9*P0V.OLME;TUQR+QAGJ&amp;4+%&amp;I!(C9$DC2A@2QMC&gt;']:YIFIK&lt;%*:YY&gt;JW3N MI=($U(8]QYZ8,QJ5R+#</w:t>
      </w:r>
    </w:p>
    <w:p>
      <w:pPr>
        <w:spacing w:after="0" w:line="232" w:lineRule="auto"/>
        <w:rPr>
          <w:sz w:val="20"/>
          <w:szCs w:val="20"/>
          <w:color w:val="auto"/>
        </w:rPr>
      </w:pPr>
      <w:r>
        <w:rPr>
          <w:rFonts w:ascii="Arial" w:cs="Arial" w:eastAsia="Arial" w:hAnsi="Arial"/>
          <w:sz w:val="16"/>
          <w:szCs w:val="16"/>
          <w:color w:val="auto"/>
        </w:rPr>
        <w:t>[M&gt;5M*=;%VM%EM&amp;ZV1W-`L;(99Z7I3DX)#"M0.'DT.EYA48DIS6]G%(A]F4Y\P?!G9&gt;PS/,.+( MD]M=B!.;1)LBPM@=&amp;\*I.4K3"7-SN^(EJ,)Z4\A23=2058U.</w:t>
      </w:r>
    </w:p>
    <w:p>
      <w:pPr>
        <w:spacing w:after="0" w:line="232" w:lineRule="auto"/>
        <w:rPr>
          <w:sz w:val="20"/>
          <w:szCs w:val="20"/>
          <w:color w:val="auto"/>
        </w:rPr>
      </w:pPr>
      <w:r>
        <w:rPr>
          <w:rFonts w:ascii="Arial" w:cs="Arial" w:eastAsia="Arial" w:hAnsi="Arial"/>
          <w:sz w:val="16"/>
          <w:szCs w:val="16"/>
          <w:color w:val="auto"/>
        </w:rPr>
        <w:t>&lt;4&gt;7PBC`COV56V22.L+:U*T#PN&gt;7)G5+"&amp;U* MR+$SV:LN2%F-"ZFC#&gt;28"NCNI343C]/.;XWTEZB5&amp;E7+F1L\ M1*-25TRLMR&amp;3G=K9XF7-</w:t>
      </w:r>
    </w:p>
    <w:p>
      <w:pPr>
        <w:spacing w:after="0" w:line="233" w:lineRule="auto"/>
        <w:rPr>
          <w:sz w:val="20"/>
          <w:szCs w:val="20"/>
          <w:color w:val="auto"/>
        </w:rPr>
      </w:pPr>
      <w:r>
        <w:rPr>
          <w:rFonts w:ascii="Arial" w:cs="Arial" w:eastAsia="Arial" w:hAnsi="Arial"/>
          <w:sz w:val="16"/>
          <w:szCs w:val="16"/>
          <w:color w:val="auto"/>
        </w:rPr>
        <w:t>(X!GG"N$\6YKB4/U'+-D2/2R\3V!R&amp;./^+\4Z4I+BN.9!(RM94B2`QA* M\2-^'I%FI9'I.)A?GY=DUF0QEJ6RM&lt;[,C1D%HKTU9PBV0]GC%I-%97&amp;%.B3&amp; M.T%BF?</w:t>
      </w:r>
    </w:p>
    <w:p>
      <w:pPr>
        <w:ind w:right="640"/>
        <w:spacing w:after="0" w:line="247" w:lineRule="auto"/>
        <w:rPr>
          <w:sz w:val="20"/>
          <w:szCs w:val="20"/>
          <w:color w:val="auto"/>
        </w:rPr>
      </w:pPr>
      <w:r>
        <w:rPr>
          <w:rFonts w:ascii="Arial" w:cs="Arial" w:eastAsia="Arial" w:hAnsi="Arial"/>
          <w:sz w:val="15"/>
          <w:szCs w:val="15"/>
          <w:color w:val="auto"/>
        </w:rPr>
        <w:t>I4]-3JWQZ:23-.4X6@QR&amp;+2%246AGI65$S$X9Q.7,)[L@84#&gt;VIY6H M9Y8M1M`&lt;`?5,^R?T-*]&amp;NN?:6J,2N8]8A#%AE85DSUQ\BV;@J$TYQ+AXDS\` MK26T#O&lt;$`_V-P;QZ]A&amp;VLZ"WN8;*J_1AH/9&amp;N^B#1O:Z(F]B]*.G(H&amp;^PN@L MK#&lt;+*+#T"M_-``(=^[J6M[N^]\KN8FKK(CM#\I3F)JZR([0_*4YB:NLB.T/R ME.8FKK(CM#\I3F)JZR([0_*4YB:NLB.T/RE.8FKK(CM#\I3F)JZR([0_*4YB M:NLB.T/RE.8FKK(CM#\I3F)JZR([0_*4YB:NLB.T/RE.8FKK(CM#\I3F)JZR M([0_*4YB:NLB.T/RE.8FKK(CM#\I3F)JZR([0_*4YB:NLB.T/RE.8FKK(CM# M\I3F)JZR([0_*4YB:NLB.T/RE.8FKK(CM#\I3F)JZR([0_*4YB:NLB.T/RE. M8FKK(CM#\I3F)JZR([0_*4YB:NLB.T/RE.8FKK(CM#\I3F)JZR([0_*4YB:N MLB.T/RE.8FKK(CM#\I3F)JZR([0_*4YB:NLB.T/RE.8FKK(CM#\I3F)JZR([</w:t>
      </w:r>
    </w:p>
    <w:p>
      <w:pPr>
        <w:spacing w:after="0" w:line="235" w:lineRule="auto"/>
        <w:rPr>
          <w:sz w:val="20"/>
          <w:szCs w:val="20"/>
          <w:color w:val="auto"/>
        </w:rPr>
      </w:pPr>
      <w:r>
        <w:rPr>
          <w:rFonts w:ascii="Arial" w:cs="Arial" w:eastAsia="Arial" w:hAnsi="Arial"/>
          <w:sz w:val="16"/>
          <w:szCs w:val="16"/>
          <w:color w:val="auto"/>
        </w:rPr>
        <w:t>M0_*4YB:NLB.T/RE.8FKK(CM#\I3F)JZR([0_*4YB:NLB.T/RE.8FKK(CM#\I M3F)JZR([0_*4YB:NLB.T/RE.8FKK(CM#\I3F)JZR([0_*4YB:NLB.T/RE.8F</w:t>
      </w:r>
    </w:p>
    <w:p>
      <w:pPr>
        <w:spacing w:after="0" w:line="232" w:lineRule="auto"/>
        <w:rPr>
          <w:sz w:val="20"/>
          <w:szCs w:val="20"/>
          <w:color w:val="auto"/>
        </w:rPr>
      </w:pPr>
      <w:r>
        <w:rPr>
          <w:rFonts w:ascii="Arial" w:cs="Arial" w:eastAsia="Arial" w:hAnsi="Arial"/>
          <w:sz w:val="16"/>
          <w:szCs w:val="16"/>
          <w:color w:val="auto"/>
        </w:rPr>
        <w:t>MKK(CM#\I3F)JZR([0_*5]"F=N(,`:4D)`86*PP"#8&gt;\(K=2]MX[VWV^&gt;UZ]. MUMUMU*4I2E*4I4`&amp;V[&lt;&amp;W1U/FZO_+??=[V_HI8(;7WV MM:U_F[?_`#Z?</w:t>
      </w:r>
    </w:p>
    <w:p>
      <w:pPr>
        <w:spacing w:after="0" w:line="232" w:lineRule="auto"/>
        <w:rPr>
          <w:sz w:val="20"/>
          <w:szCs w:val="20"/>
          <w:color w:val="auto"/>
        </w:rPr>
      </w:pPr>
      <w:r>
        <w:rPr>
          <w:rFonts w:ascii="Arial" w:cs="Arial" w:eastAsia="Arial" w:hAnsi="Arial"/>
          <w:sz w:val="16"/>
          <w:szCs w:val="16"/>
          <w:color w:val="auto"/>
        </w:rPr>
        <w:t>[&gt;GJUHH]4O\`]2%KL^C&amp;(/\`41B2ME.@[^A#HZ_NJZ=O\GX; M66%*4I2E*4I2E*4I2E*4I2E*4I2E*4I2E*4I2E*4I6`6IC:E;/W1SD5)B34W</w:t>
      </w:r>
    </w:p>
    <w:p>
      <w:pPr>
        <w:spacing w:after="0" w:line="232" w:lineRule="auto"/>
        <w:rPr>
          <w:sz w:val="20"/>
          <w:szCs w:val="20"/>
          <w:color w:val="auto"/>
        </w:rPr>
      </w:pPr>
      <w:r>
        <w:rPr>
          <w:rFonts w:ascii="Arial" w:cs="Arial" w:eastAsia="Arial" w:hAnsi="Arial"/>
          <w:sz w:val="16"/>
          <w:szCs w:val="16"/>
          <w:color w:val="auto"/>
        </w:rPr>
        <w:t>MJJQ3AG(ZZ,M02X(!JDZ10(@ M9R8\NW')R3+#*&amp;$1=MW3J`K7QI3Q:RX!TVH\70;#N('C5U)7O$\\SK&amp;8@]S61"S-&amp;&lt;;,T,F,CB\ M`DA\ON5$?</w:t>
      </w:r>
    </w:p>
    <w:p>
      <w:pPr>
        <w:spacing w:after="0" w:line="232" w:lineRule="auto"/>
        <w:rPr>
          <w:sz w:val="20"/>
          <w:szCs w:val="20"/>
          <w:color w:val="auto"/>
        </w:rPr>
      </w:pPr>
      <w:r>
        <w:rPr>
          <w:rFonts w:ascii="Arial" w:cs="Arial" w:eastAsia="Arial" w:hAnsi="Arial"/>
          <w:sz w:val="16"/>
          <w:szCs w:val="16"/>
          <w:color w:val="auto"/>
        </w:rPr>
        <w:t>PU"SNKZRIT,A2I;D.AR-K_9GLM=,V1-'&amp;S\TJ:8\LJHRMR-AC%# M9"Y8P&lt;[HW1X6&amp;C971P:V98M1&lt;2N)"`Y0UHC+C"8'B;6#80L_J4I2E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M*4I4%"2'_,N2UH['%DO3HG M`%2BQGC!O,(4*9+E2;@1QQH:V]W5MQ3^L:SVZL2\([-/,NJ3)T3U&gt;[8*11/, M.2XHZ@E.`=$,*./UNC??J6Z+;K;K6KI2E*4I2E*CA_MJ</w:t>
      </w:r>
    </w:p>
    <w:p>
      <w:pPr>
        <w:spacing w:after="0"/>
        <w:rPr>
          <w:sz w:val="20"/>
          <w:szCs w:val="20"/>
          <w:color w:val="auto"/>
        </w:rPr>
      </w:pPr>
      <w:r>
        <w:rPr>
          <w:rFonts w:ascii="Arial" w:cs="Arial" w:eastAsia="Arial" w:hAnsi="Arial"/>
          <w:sz w:val="16"/>
          <w:szCs w:val="16"/>
          <w:color w:val="auto"/>
        </w:rPr>
        <w:t>M:_T`^_:DS MOK2R-+M*.QV;8Q,72)NQD4S[M%9VUC?M)NF]5T!=&amp;'%@"_Y'J&gt;SN@2CY0VQ6 M+J%F/8\O.:54L=7-I-=N:32V7LRZ59GU+Y=,+&lt;]0.K;,[E:6Y</w:t>
      </w:r>
    </w:p>
    <w:p>
      <w:pPr>
        <w:spacing w:after="0"/>
        <w:rPr>
          <w:sz w:val="20"/>
          <w:szCs w:val="20"/>
          <w:color w:val="auto"/>
        </w:rPr>
      </w:pPr>
      <w:r>
        <w:rPr>
          <w:rFonts w:ascii="Arial" w:cs="Arial" w:eastAsia="Arial" w:hAnsi="Arial"/>
          <w:sz w:val="15"/>
          <w:szCs w:val="15"/>
          <w:color w:val="auto"/>
        </w:rPr>
        <w:t>MVS.^CXDPZSO(U-C+1B$HS2""HYC6*\@BC"A1MY9I+NYIC7A1L.M;=U*IN,-N MJ*UNB]^K[ENK?^RWNWZEO=KFU[7ZE[7]WHZ&gt;KU.W7-*4I2E*4J.'^VIK_0#[</w:t>
      </w:r>
    </w:p>
    <w:p>
      <w:pPr>
        <w:spacing w:after="0"/>
        <w:rPr>
          <w:sz w:val="20"/>
          <w:szCs w:val="20"/>
          <w:color w:val="auto"/>
        </w:rPr>
      </w:pPr>
      <w:r>
        <w:rPr>
          <w:rFonts w:ascii="Arial" w:cs="Arial" w:eastAsia="Arial" w:hAnsi="Arial"/>
          <w:sz w:val="16"/>
          <w:szCs w:val="16"/>
          <w:color w:val="auto"/>
        </w:rPr>
        <w:t>M]J1RI'49'[;D_P!'5GVLAJ34I4-R)D"'XH@"X^B[[-)C(W"QXD M;)&amp;HTVJ'=Z.M4HR MS)HPU+&amp;'%L3='0AU(;9'-</w:t>
      </w:r>
    </w:p>
    <w:p>
      <w:pPr>
        <w:spacing w:after="0"/>
        <w:rPr>
          <w:sz w:val="20"/>
          <w:szCs w:val="20"/>
          <w:color w:val="auto"/>
        </w:rPr>
      </w:pPr>
      <w:r>
        <w:rPr>
          <w:rFonts w:ascii="Arial" w:cs="Arial" w:eastAsia="Arial" w:hAnsi="Arial"/>
          <w:sz w:val="15"/>
          <w:szCs w:val="15"/>
          <w:color w:val="auto"/>
        </w:rPr>
        <w:t>%S4V+PQV2G)3C2F%R&amp;G\O&amp;6KO"67)R&amp;!0R1+%CB MZ),E.4'=U;2K11C*#7AF&lt;(\:Y;&lt;\;2`W&gt;CE*''D[&lt;6V//YY/)K&amp;W$016$&amp;_NVO:]NB]JROY8EZX([N3X].6)&gt;N".</w:t>
      </w:r>
    </w:p>
    <w:p>
      <w:pPr>
        <w:spacing w:after="0"/>
        <w:rPr>
          <w:sz w:val="20"/>
          <w:szCs w:val="20"/>
          <w:color w:val="auto"/>
        </w:rPr>
      </w:pPr>
      <w:r>
        <w:rPr>
          <w:rFonts w:ascii="Arial" w:cs="Arial" w:eastAsia="Arial" w:hAnsi="Arial"/>
          <w:sz w:val="16"/>
          <w:szCs w:val="16"/>
          <w:color w:val="auto"/>
        </w:rPr>
        <w:t>[D^/3EB7K@CN MY/CTY8EZX([N3X].6)&gt;N".[D^/3EB7K@CNY/CTY8EZX([N3X].6)&gt;N".[D^/ M3EB7K@CNY/CTY8EZX([N3X].6)&gt;N".</w:t>
      </w:r>
    </w:p>
    <w:p>
      <w:pPr>
        <w:spacing w:after="0" w:line="232" w:lineRule="auto"/>
        <w:rPr>
          <w:sz w:val="20"/>
          <w:szCs w:val="20"/>
          <w:color w:val="auto"/>
        </w:rPr>
      </w:pPr>
      <w:r>
        <w:rPr>
          <w:rFonts w:ascii="Arial" w:cs="Arial" w:eastAsia="Arial" w:hAnsi="Arial"/>
          <w:sz w:val="16"/>
          <w:szCs w:val="16"/>
          <w:color w:val="auto"/>
        </w:rPr>
        <w:t>[D^/3EB7K@CNY/CTY8EZX([N3X].6) M&gt;N".[D^/3EB7K@CNY/CTY8EZX([N3X].6)&gt;N".[D^/3EB7K@CNY/CTY8EZX( M[N3X].6)&gt;N".</w:t>
      </w:r>
    </w:p>
    <w:p>
      <w:pPr>
        <w:spacing w:after="0" w:line="232" w:lineRule="auto"/>
        <w:rPr>
          <w:sz w:val="20"/>
          <w:szCs w:val="20"/>
          <w:color w:val="auto"/>
        </w:rPr>
      </w:pPr>
      <w:r>
        <w:rPr>
          <w:rFonts w:ascii="Arial" w:cs="Arial" w:eastAsia="Arial" w:hAnsi="Arial"/>
          <w:sz w:val="16"/>
          <w:szCs w:val="16"/>
          <w:color w:val="auto"/>
        </w:rPr>
        <w:t>[D^/3EB7K@CNY/CTY8EZX([N3X].6)&gt;N".[D^/3EB7K@CNY/ MCTY8EZX([N3X].6)&gt;N".[D^/7%UJ0-KWNI3VM;JWN&gt;3:UO\`^]:\MJGK/(T+</w:t>
      </w:r>
    </w:p>
    <w:p>
      <w:pPr>
        <w:spacing w:after="0"/>
        <w:rPr>
          <w:sz w:val="20"/>
          <w:szCs w:val="20"/>
          <w:color w:val="auto"/>
        </w:rPr>
      </w:pPr>
      <w:r>
        <w:rPr>
          <w:rFonts w:ascii="Arial" w:cs="Arial" w:eastAsia="Arial" w:hAnsi="Arial"/>
          <w:sz w:val="15"/>
          <w:szCs w:val="15"/>
          <w:color w:val="auto"/>
        </w:rPr>
        <w:t>MZ%=1FH!DFV+HME*'8JEKSAALRDZMA#3-_TY8EZX([N3X] M.6)&gt;N".[D^/3EB7K@CNY/CTY8EZX([N3X].6)&gt;N".[D^/3EB7K@CNY/CTY8E MZX([N3X].6)&gt;N".</w:t>
      </w:r>
    </w:p>
    <w:p>
      <w:pPr>
        <w:spacing w:after="0"/>
        <w:rPr>
          <w:sz w:val="20"/>
          <w:szCs w:val="20"/>
          <w:color w:val="auto"/>
        </w:rPr>
      </w:pPr>
      <w:r>
        <w:rPr>
          <w:rFonts w:ascii="Arial" w:cs="Arial" w:eastAsia="Arial" w:hAnsi="Arial"/>
          <w:sz w:val="16"/>
          <w:szCs w:val="16"/>
          <w:color w:val="auto"/>
        </w:rPr>
        <w:t>[D^/3EB7K@CNY/CTY8EZX([N3X].6)&gt;N".[D^/3EB7K@C MNY/CUCYJ?U9Z&gt;M&amp;^'I)GC4CE&amp;,XNQC&amp;+6)5OKVJ$[&lt;4,#/%8TWN;ZYB",29%QR9=J-D+.LLX:?</w:t>
      </w:r>
    </w:p>
    <w:p>
      <w:pPr>
        <w:spacing w:after="0" w:line="232" w:lineRule="auto"/>
        <w:rPr>
          <w:sz w:val="20"/>
          <w:szCs w:val="20"/>
          <w:color w:val="auto"/>
        </w:rPr>
      </w:pPr>
      <w:r>
        <w:rPr>
          <w:rFonts w:ascii="Arial" w:cs="Arial" w:eastAsia="Arial" w:hAnsi="Arial"/>
          <w:sz w:val="16"/>
          <w:szCs w:val="16"/>
          <w:color w:val="auto"/>
        </w:rPr>
        <w:t>L)R-)P/1&amp;]W$F M+,38'QU$\28;A&lt;.QGC2"M)+)$81"VQM8(XPMA-[BXA"VH;%$A&amp;H.&amp;8J7JS&gt;-</w:t>
      </w:r>
    </w:p>
    <w:p>
      <w:pPr>
        <w:spacing w:after="0" w:line="232" w:lineRule="auto"/>
        <w:rPr>
          <w:sz w:val="20"/>
          <w:szCs w:val="20"/>
          <w:color w:val="auto"/>
        </w:rPr>
      </w:pPr>
      <w:r>
        <w:rPr>
          <w:rFonts w:ascii="Arial" w:cs="Arial" w:eastAsia="Arial" w:hAnsi="Arial"/>
          <w:sz w:val="16"/>
          <w:szCs w:val="16"/>
          <w:color w:val="auto"/>
        </w:rPr>
        <w:t>M6N:XY0X.2I8N4GJ#+CW6I+;K74I[7%&gt;P0VN&gt;3ON*_4M;^,Z;W]ZU6?S7J.P% MIOC)DRU`9JQ3A**@`;&gt;T@ROD&amp;*8_:CAE6Z24JN4.K8!:I&amp;+&lt;`I*BY0I.,$$L</w:t>
      </w:r>
    </w:p>
    <w:p>
      <w:pPr>
        <w:spacing w:after="0" w:line="232" w:lineRule="auto"/>
        <w:rPr>
          <w:sz w:val="20"/>
          <w:szCs w:val="20"/>
          <w:color w:val="auto"/>
        </w:rPr>
      </w:pPr>
      <w:r>
        <w:rPr>
          <w:rFonts w:ascii="Arial" w:cs="Arial" w:eastAsia="Arial" w:hAnsi="Arial"/>
          <w:sz w:val="16"/>
          <w:szCs w:val="16"/>
          <w:color w:val="auto"/>
        </w:rPr>
        <w:t>MDH9@@AOJ1TY9OPSM&gt;,P:JI9C#69E9TP?I\E\-Q#B"&amp;Z8,NY%P$0NL[8UC4PD MVH"5/4..B&amp;Y"GSAI2E*4I2E1P_VU-?Z`??M2.5(ZC(_;"J!2TY-%AE2A</w:t>
      </w:r>
    </w:p>
    <w:p>
      <w:pPr>
        <w:spacing w:after="0" w:line="232" w:lineRule="auto"/>
        <w:rPr>
          <w:sz w:val="20"/>
          <w:szCs w:val="20"/>
          <w:color w:val="auto"/>
        </w:rPr>
      </w:pPr>
      <w:r>
        <w:rPr>
          <w:rFonts w:ascii="Arial" w:cs="Arial" w:eastAsia="Arial" w:hAnsi="Arial"/>
          <w:sz w:val="16"/>
          <w:szCs w:val="16"/>
          <w:color w:val="auto"/>
        </w:rPr>
        <w:t>MK4JV&lt;1$D5(V)3RNR9U6HT1QRDK0$DTCZI4NSKUUZ8,.TLIDDKY&lt;=A*/-Z&amp;%K\4J\P3!RG*&amp;YLX;"I"^0LG'YR MG8%J"T]-6;-4N),F1/3G.L0NL;G2</w:t>
      </w:r>
    </w:p>
    <w:p>
      <w:pPr>
        <w:spacing w:after="0" w:line="232" w:lineRule="auto"/>
        <w:rPr>
          <w:sz w:val="20"/>
          <w:szCs w:val="20"/>
          <w:color w:val="auto"/>
        </w:rPr>
      </w:pPr>
      <w:r>
        <w:rPr>
          <w:rFonts w:ascii="Arial" w:cs="Arial" w:eastAsia="Arial" w:hAnsi="Arial"/>
          <w:sz w:val="16"/>
          <w:szCs w:val="16"/>
          <w:color w:val="auto"/>
        </w:rPr>
        <w:t>MK)$UC+_"#IMCQRQ'.X&amp;9%`RB;-&lt;\CJE.P1O M9[8OUH8]=YR)T:%K7FAQS;-(@R8K=(D2CSJ6"7*FJ M,!3N2ZS@I18:^J9=`FC91LY==.M8_3KC([565'\-</w:t>
      </w:r>
    </w:p>
    <w:p>
      <w:pPr>
        <w:spacing w:after="0" w:line="232" w:lineRule="auto"/>
        <w:rPr>
          <w:sz w:val="20"/>
          <w:szCs w:val="20"/>
          <w:color w:val="auto"/>
        </w:rPr>
      </w:pPr>
      <w:r>
        <w:rPr>
          <w:rFonts w:ascii="Arial" w:cs="Arial" w:eastAsia="Arial" w:hAnsi="Arial"/>
          <w:sz w:val="16"/>
          <w:szCs w:val="16"/>
          <w:color w:val="auto"/>
        </w:rPr>
        <w:t>J2LZC93;Y!+/(RGB3'1) MP7;EG%V,+A&amp;Z,AOR7=S5;D][7ON';&gt;UH.;&amp;Z^B#1Q:Z%)&gt;P-*&gt;G,`&gt;$F('&gt;P M"\.0PL`;7&amp;6(6X``A"'?&gt;^X-K6ZEK5E?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S6V]8(N]$WDJ2IS6V]8(N]$WDJ2IS6V]8(N]$WDJ</w:t>
      </w:r>
      <w:r>
        <w:rPr>
          <w:rFonts w:ascii="Arial" w:cs="Arial" w:eastAsia="Arial" w:hAnsi="Arial"/>
          <w:sz w:val="15"/>
          <w:szCs w:val="15"/>
          <w:u w:val="single" w:color="auto"/>
          <w:color w:val="auto"/>
        </w:rPr>
        <w:t>2IS6V]8(N]$WDJ2I MS6V]8(N]$WDJ2IS6V]8(N]$WDJ2IS6V]8(N]$WDJ2IS6V]8(N]$ MWDJ@:6],7NO&lt;9RM84`-</w:t>
      </w:r>
    </w:p>
    <w:p>
      <w:pPr>
        <w:spacing w:after="0"/>
        <w:rPr>
          <w:sz w:val="20"/>
          <w:szCs w:val="20"/>
          <w:color w:val="auto"/>
        </w:rPr>
      </w:pPr>
      <w:r>
        <w:rPr>
          <w:rFonts w:ascii="Arial" w:cs="Arial" w:eastAsia="Arial" w:hAnsi="Arial"/>
          <w:sz w:val="16"/>
          <w:szCs w:val="16"/>
          <w:u w:val="single" w:color="auto"/>
          <w:color w:val="auto"/>
        </w:rPr>
        <w:t>K"O&gt;_16G27;;W2[,)$ZXWT M%8;SCM,LJ-JH34L1:1L:B=,+QIW&amp;7C9C_`"+,^)Y#K2RS+V=0 MR3#.6MV&gt;234;E!^1JP#"&lt;8E52M43%86K#QI]DZO'L5B:U(6;</w:t>
      </w:r>
    </w:p>
    <w:p>
      <w:pPr>
        <w:spacing w:after="0" w:line="232" w:lineRule="auto"/>
        <w:rPr>
          <w:sz w:val="20"/>
          <w:szCs w:val="20"/>
          <w:color w:val="auto"/>
        </w:rPr>
      </w:pPr>
      <w:r>
        <w:rPr>
          <w:rFonts w:ascii="Arial" w:cs="Arial" w:eastAsia="Arial" w:hAnsi="Arial"/>
          <w:sz w:val="16"/>
          <w:szCs w:val="16"/>
          <w:u w:val="single" w:color="auto"/>
          <w:color w:val="auto"/>
        </w:rPr>
        <w:t>(GNRADV?&gt;ETL3XPN4:M7/NA3C#1*[X#DJNVJG1JYBY0-: MJ2#P9FAPOK9Q$Y^Q MVV[@+=4&gt;S#4J+5HA0G,T:.1B&amp;4O)DF')VWQO)3/=`I M*/2*%"B-</w:t>
      </w:r>
    </w:p>
    <w:p>
      <w:pPr>
        <w:spacing w:after="0" w:line="232" w:lineRule="auto"/>
        <w:rPr>
          <w:sz w:val="20"/>
          <w:szCs w:val="20"/>
          <w:color w:val="auto"/>
        </w:rPr>
      </w:pPr>
      <w:r>
        <w:rPr>
          <w:rFonts w:ascii="Arial" w:cs="Arial" w:eastAsia="Arial" w:hAnsi="Arial"/>
          <w:sz w:val="16"/>
          <w:szCs w:val="16"/>
          <w:u w:val="single" w:color="auto"/>
          <w:color w:val="auto"/>
        </w:rPr>
        <w:t>702IS6V]8(N]$WDJ2I MS6V]8(N]$WDJCTCZ,T2@RRX4`F)G"4(30%7=C45 MM?MF-IC&gt;Q1+)&gt;J3%#UDP]9=`GQ'B,*S/&gt;85KZ&lt;(5B6&lt;6.,--4XE*%T6FVO8L</w:t>
      </w:r>
    </w:p>
    <w:p>
      <w:pPr>
        <w:spacing w:after="0" w:line="232" w:lineRule="auto"/>
        <w:rPr>
          <w:sz w:val="20"/>
          <w:szCs w:val="20"/>
          <w:color w:val="auto"/>
        </w:rPr>
      </w:pPr>
      <w:r>
        <w:rPr>
          <w:rFonts w:ascii="Arial" w:cs="Arial" w:eastAsia="Arial" w:hAnsi="Arial"/>
          <w:sz w:val="16"/>
          <w:szCs w:val="16"/>
          <w:u w:val="single" w:color="auto"/>
          <w:color w:val="auto"/>
        </w:rPr>
        <w:t>M+XC:R]^\U0H++X1ML9?^D:UZ:BMR?0SLA\NM\&lt;77,3)=YBQ+;\$Y*%$PQU8:COQP^3#&amp;6`=9.@O:O:C[&amp;&amp;ZOMJ`CT\Q-W*</w:t>
      </w:r>
    </w:p>
    <w:p>
      <w:pPr>
        <w:spacing w:after="0" w:line="232" w:lineRule="auto"/>
        <w:rPr>
          <w:sz w:val="20"/>
          <w:szCs w:val="20"/>
          <w:color w:val="auto"/>
        </w:rPr>
      </w:pPr>
      <w:r>
        <w:rPr>
          <w:rFonts w:ascii="Arial" w:cs="Arial" w:eastAsia="Arial" w:hAnsi="Arial"/>
          <w:sz w:val="16"/>
          <w:szCs w:val="16"/>
          <w:u w:val="single" w:color="auto"/>
          <w:color w:val="auto"/>
        </w:rPr>
        <w:t>MN4^84V8F'&amp;C$MR+&amp;7OPPH]3V9RYUF,P-BA72\)NCK#86\Q4`)9ERK$WLPAL- M-</w:t>
      </w:r>
    </w:p>
    <w:p>
      <w:pPr>
        <w:spacing w:after="0" w:line="232" w:lineRule="auto"/>
        <w:rPr>
          <w:sz w:val="20"/>
          <w:szCs w:val="20"/>
          <w:color w:val="auto"/>
        </w:rPr>
      </w:pPr>
      <w:r>
        <w:rPr>
          <w:rFonts w:ascii="Arial" w:cs="Arial" w:eastAsia="Arial" w:hAnsi="Arial"/>
          <w:sz w:val="16"/>
          <w:szCs w:val="16"/>
          <w:u w:val="single" w:color="auto"/>
          <w:color w:val="auto"/>
        </w:rPr>
        <w:t>F;A&gt;2VR&amp;MTXM.?,O'&amp;$JG/,NK.1235%DIURK(V.QQ@B#"RQ6*LC1&amp;HS&amp;VI`Q M1V.Q]L1,K$PLC4E*0M;,RM#:0F;FMJ;41!"-O;D*9.C1)"2DZ8DLHL(;&gt;U2E</w:t>
      </w:r>
    </w:p>
    <w:p>
      <w:pPr>
        <w:spacing w:after="0" w:line="232" w:lineRule="auto"/>
        <w:rPr>
          <w:sz w:val="20"/>
          <w:szCs w:val="20"/>
          <w:color w:val="auto"/>
        </w:rPr>
      </w:pPr>
      <w:r>
        <w:rPr>
          <w:rFonts w:ascii="Arial" w:cs="Arial" w:eastAsia="Arial" w:hAnsi="Arial"/>
          <w:sz w:val="16"/>
          <w:szCs w:val="16"/>
          <w:u w:val="single" w:color="auto"/>
          <w:color w:val="auto"/>
        </w:rPr>
        <w:t>M*4I2E*CA_MJ:_P!`/OVI'*D=1D?MN3_1U9]K(:DU*4ZM4\$.[=NMN][W.U7/ M!MOW[K;]V[?NMOW&gt;]_93=;J[K;[]/4K1/ZI?_J0M=GT8Q!_J(Q)6RG0=_0AT M=?</w:t>
      </w:r>
    </w:p>
    <w:p>
      <w:pPr>
        <w:spacing w:after="0" w:line="233" w:lineRule="auto"/>
        <w:rPr>
          <w:sz w:val="20"/>
          <w:szCs w:val="20"/>
          <w:color w:val="auto"/>
        </w:rPr>
      </w:pPr>
      <w:r>
        <w:rPr>
          <w:rFonts w:ascii="Arial" w:cs="Arial" w:eastAsia="Arial" w:hAnsi="Arial"/>
          <w:sz w:val="16"/>
          <w:szCs w:val="16"/>
          <w:u w:val="single" w:color="auto"/>
          <w:color w:val="auto"/>
        </w:rPr>
        <w:t>W5=.W^3\-K+"E*4I2E*4I2E*4I2E*ZJE:E1ISU2H\I.F2E&amp;GJ5!Q@"DZ8D M@`C33E!YEPE$%%EA$88::,!8`!$,0K!MOK4=F_;?:#,73)7B+%TTF6M+4"38 MX*?</w:t>
      </w:r>
    </w:p>
    <w:p>
      <w:pPr>
        <w:spacing w:after="0" w:line="232" w:lineRule="auto"/>
        <w:rPr>
          <w:sz w:val="20"/>
          <w:szCs w:val="20"/>
          <w:color w:val="auto"/>
        </w:rPr>
      </w:pPr>
      <w:r>
        <w:rPr>
          <w:rFonts w:ascii="Arial" w:cs="Arial" w:eastAsia="Arial" w:hAnsi="Arial"/>
          <w:sz w:val="16"/>
          <w:szCs w:val="16"/>
          <w:u w:val="single" w:color="auto"/>
          <w:color w:val="auto"/>
        </w:rPr>
        <w:t>3]H7@CQJA:IGP1!UQY5Q"6 M,.097)5[8;8D!I)H[&amp;@#+(7L+-+\CD[5DW7-D+/&amp;TNRXV*;N2-[UDY!62O%, M:(,9,LM" M59`C_ M`/E&gt;@[:$?PCL&lt;-MKB1Z8-</w:t>
      </w:r>
    </w:p>
    <w:p>
      <w:pPr>
        <w:spacing w:after="0"/>
        <w:rPr>
          <w:sz w:val="20"/>
          <w:szCs w:val="20"/>
          <w:color w:val="auto"/>
        </w:rPr>
      </w:pPr>
      <w:r>
        <w:rPr>
          <w:rFonts w:ascii="Arial" w:cs="Arial" w:eastAsia="Arial" w:hAnsi="Arial"/>
          <w:sz w:val="15"/>
          <w:szCs w:val="15"/>
          <w:u w:val="single" w:color="auto"/>
          <w:color w:val="auto"/>
        </w:rPr>
        <w:t>IVTN&amp;3[%)`F\8:@B.K?'"=GS,R63HN$UQQNF#'+ MFA%P$1CBJ/`4&lt;(WL)-M*Y:=U*&gt;/;4K11J(T#GA-*1FYS;FHS5!HU&lt;#C%%D:, MXG4!A9L=%D3-=S!%K"FN?</w:t>
      </w:r>
    </w:p>
    <w:p>
      <w:pPr>
        <w:spacing w:after="0"/>
        <w:rPr>
          <w:sz w:val="20"/>
          <w:szCs w:val="20"/>
          <w:color w:val="auto"/>
        </w:rPr>
      </w:pPr>
      <w:r>
        <w:rPr>
          <w:rFonts w:ascii="Arial" w:cs="Arial" w:eastAsia="Arial" w:hAnsi="Arial"/>
          <w:sz w:val="16"/>
          <w:szCs w:val="16"/>
          <w:u w:val="single" w:color="auto"/>
          <w:color w:val="auto"/>
        </w:rPr>
        <w:t>09A-:D9_P#M5Q+$F4F`V\X6U`8/U&amp;PI'D;`&gt;7,; MYG@:_@A3R_%\TCTYC_'B!PQHSW*..#@0C7D6WA5-ZX29U[7MOMN]VWO\`]E86A,8M=7M\&lt;430T-B,K</w:t>
      </w:r>
    </w:p>
    <w:p>
      <w:pPr>
        <w:spacing w:after="0" w:line="232" w:lineRule="auto"/>
        <w:rPr>
          <w:sz w:val="20"/>
          <w:szCs w:val="20"/>
          <w:color w:val="auto"/>
        </w:rPr>
      </w:pPr>
      <w:r>
        <w:rPr>
          <w:rFonts w:ascii="Arial" w:cs="Arial" w:eastAsia="Arial" w:hAnsi="Arial"/>
          <w:sz w:val="16"/>
          <w:szCs w:val="16"/>
          <w:u w:val="single" w:color="auto"/>
          <w:color w:val="auto"/>
        </w:rPr>
        <w:t>M=QJMPU6_S!GW"&amp;GV,'37.V M7L989B)(3KCDN5)W%X`QW$0#AC++&lt;92Z-:=0=NW6`0G&amp;:&gt;8*X0%EB$(-K_E: MUN;&gt;C/.JF=_P5-BWA#4/G9B6N?</w:t>
      </w:r>
    </w:p>
    <w:p>
      <w:pPr>
        <w:spacing w:after="0" w:line="232" w:lineRule="auto"/>
        <w:rPr>
          <w:sz w:val="20"/>
          <w:szCs w:val="20"/>
          <w:color w:val="auto"/>
        </w:rPr>
      </w:pPr>
      <w:r>
        <w:rPr>
          <w:rFonts w:ascii="Arial" w:cs="Arial" w:eastAsia="Arial" w:hAnsi="Arial"/>
          <w:sz w:val="16"/>
          <w:szCs w:val="16"/>
          <w:u w:val="single" w:color="auto"/>
          <w:color w:val="auto"/>
        </w:rPr>
        <w:t>X/9BUSX7PHMG[3"V\0KD.S?I]*F9D6QL?( MN%&lt;3&gt;'+F59(PPYB.N&gt;NBK)(]S;)2;K:*=&amp;&amp;UBQ5"'N*::\$Z2]FL@R2Y#?LS MZB=4^1WW:+;0_,WER-</w:t>
      </w:r>
    </w:p>
    <w:p>
      <w:pPr>
        <w:spacing w:after="0" w:line="232" w:lineRule="auto"/>
        <w:rPr>
          <w:sz w:val="20"/>
          <w:szCs w:val="20"/>
          <w:color w:val="auto"/>
        </w:rPr>
      </w:pPr>
      <w:r>
        <w:rPr>
          <w:rFonts w:ascii="Arial" w:cs="Arial" w:eastAsia="Arial" w:hAnsi="Arial"/>
          <w:sz w:val="16"/>
          <w:szCs w:val="16"/>
          <w:u w:val="single" w:color="auto"/>
          <w:color w:val="auto"/>
        </w:rPr>
        <w:t>_4B`$(3%;V[."LRP;&lt;8&gt;._363=@`#OO:UM^[=&lt;5^K&gt;UK M;NF]^KT&gt;_2Y@+7W&lt;*UQ6MOX-NF^[W]UM]_\`A5G\NZAL#8`9+R7.N:,487CH M2AG7?</w:t>
      </w:r>
    </w:p>
    <w:p>
      <w:pPr>
        <w:spacing w:after="0" w:line="232" w:lineRule="auto"/>
        <w:rPr>
          <w:sz w:val="20"/>
          <w:szCs w:val="20"/>
          <w:color w:val="auto"/>
        </w:rPr>
      </w:pPr>
      <w:r>
        <w:rPr>
          <w:rFonts w:ascii="Arial" w:cs="Arial" w:eastAsia="Arial" w:hAnsi="Arial"/>
          <w:sz w:val="16"/>
          <w:szCs w:val="16"/>
          <w:u w:val="single" w:color="auto"/>
          <w:color w:val="auto"/>
        </w:rPr>
        <w:t>&amp;DDSH#&gt;U@EB&amp;(5[&lt;$(1"Z*_*!M?O56&gt;&amp;]-C M?"()LX7;'FJ+(J^4MCCD'*AI#T]8+B,98G-*M=8$SO:&amp;[25-IS,F\')%+A'7 M)2S0:/+[.X5CE(EB!</w:t>
      </w:r>
    </w:p>
    <w:p>
      <w:pPr>
        <w:spacing w:after="0" w:line="232" w:lineRule="auto"/>
        <w:rPr>
          <w:sz w:val="20"/>
          <w:szCs w:val="20"/>
          <w:color w:val="auto"/>
        </w:rPr>
      </w:pPr>
      <w:r>
        <w:rPr>
          <w:rFonts w:ascii="Arial" w:cs="Arial" w:eastAsia="Arial" w:hAnsi="Arial"/>
          <w:sz w:val="16"/>
          <w:szCs w:val="16"/>
          <w:u w:val="single" w:color="auto"/>
          <w:color w:val="auto"/>
        </w:rPr>
        <w:t>(V_I:T`:Q8_KYTC85U8QC'T]Q:U9@BP7X,(R*T*FQ[9 MU:96&gt;VN%VY:&gt;F2)Y7$5BY(H60R&lt;-A!39,8TU_\`"]5]7_TW M?\Z4I2E&lt;;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[&gt;_;MVIOM[]NW:O@J5I42&lt;]6L4D)4J4DY2I4J#0$D)TZE4*!$D'&amp;A+N`H8@VTU3;6K0 M!H^&gt;PPC+FHF)KLO*U(6YGP)BE.ZYJSV]/!]A&lt;@:$F(\6HI3,$*IR&amp;$12,^0H</w:t>
      </w:r>
    </w:p>
    <w:p>
      <w:pPr>
        <w:spacing w:after="0"/>
        <w:rPr>
          <w:sz w:val="20"/>
          <w:szCs w:val="20"/>
          <w:color w:val="auto"/>
        </w:rPr>
      </w:pPr>
      <w:r>
        <w:rPr>
          <w:rFonts w:ascii="Arial" w:cs="Arial" w:eastAsia="Arial" w:hAnsi="Arial"/>
          <w:sz w:val="16"/>
          <w:szCs w:val="16"/>
          <w:u w:val="single" w:color="auto"/>
          <w:color w:val="auto"/>
        </w:rPr>
        <w:t>M&amp;-M$(([FN!(`#&amp;'$"^LG:Y:OKA3Z,]`+%H[QHY\&amp;Z/4-M-I$I89F+$"*XMA,&gt;@[(8&gt;6'@76+$&lt;=;V\#BO.M&lt;0U</w:t>
      </w:r>
    </w:p>
    <w:p>
      <w:pPr>
        <w:spacing w:after="0" w:line="232" w:lineRule="auto"/>
        <w:rPr>
          <w:sz w:val="20"/>
          <w:szCs w:val="20"/>
          <w:color w:val="auto"/>
        </w:rPr>
      </w:pPr>
      <w:r>
        <w:rPr>
          <w:rFonts w:ascii="Arial" w:cs="Arial" w:eastAsia="Arial" w:hAnsi="Arial"/>
          <w:sz w:val="16"/>
          <w:szCs w:val="16"/>
          <w:u w:val="single" w:color="auto"/>
          <w:color w:val="auto"/>
        </w:rPr>
        <w:t>M+@X\K7JC1C.4J331B'&gt;\M@V#;=:UK6MU+6MNW5S2J!&amp;`#_.&amp;$/\`:*UO^=ZM M#G?-\+T\XJE.79T%^6,$9`T)D[-$F15)9=+9/*'YKB,)@L,CZ2X#7R9SJ9OK</w:t>
      </w:r>
    </w:p>
    <w:p>
      <w:pPr>
        <w:spacing w:after="0" w:line="232" w:lineRule="auto"/>
        <w:rPr>
          <w:sz w:val="20"/>
          <w:szCs w:val="20"/>
          <w:color w:val="auto"/>
        </w:rPr>
      </w:pPr>
      <w:r>
        <w:rPr>
          <w:rFonts w:ascii="Arial" w:cs="Arial" w:eastAsia="Arial" w:hAnsi="Arial"/>
          <w:sz w:val="16"/>
          <w:szCs w:val="16"/>
          <w:u w:val="single" w:color="auto"/>
          <w:color w:val="auto"/>
        </w:rPr>
        <w:t>M#$(HT&lt;&gt;D)7OST@)5+4".ZE:1C7CW65-@Y-A&gt;+M3&amp;F6?Z7''+GX1%8;DLEGN* M-)#)L725Z2P'*Z:'-CU*T,&lt;&gt;2UD4D[+')1&gt;'3^1.$&gt;7H`Y M&amp;2;4?</w:t>
      </w:r>
    </w:p>
    <w:p>
      <w:pPr>
        <w:spacing w:after="0"/>
        <w:rPr>
          <w:sz w:val="20"/>
          <w:szCs w:val="20"/>
          <w:color w:val="auto"/>
        </w:rPr>
      </w:pPr>
      <w:r>
        <w:rPr>
          <w:rFonts w:ascii="Arial" w:cs="Arial" w:eastAsia="Arial" w:hAnsi="Arial"/>
          <w:sz w:val="15"/>
          <w:szCs w:val="15"/>
          <w:u w:val="single" w:color="auto"/>
          <w:color w:val="auto"/>
        </w:rPr>
        <w:t>I^A83!3#..'HH$JV\T4ERA!&amp;$)5MV^]S+NL@2&lt;"UK?"M;M5CQ)]J1LU M(785I5M!-%#"&lt;`5P"2N.J/"A2RPK;]X;(P30Q4(?1?V`21"Z+]'1&gt;K`R?;P; M'Z)V,NZ;0S3,JL5OX?</w:t>
      </w:r>
    </w:p>
    <w:p>
      <w:pPr>
        <w:spacing w:after="0"/>
        <w:rPr>
          <w:sz w:val="20"/>
          <w:szCs w:val="20"/>
          <w:color w:val="auto"/>
        </w:rPr>
      </w:pPr>
      <w:r>
        <w:rPr>
          <w:rFonts w:ascii="Arial" w:cs="Arial" w:eastAsia="Arial" w:hAnsi="Arial"/>
          <w:sz w:val="16"/>
          <w:szCs w:val="16"/>
          <w:u w:val="single" w:color="auto"/>
          <w:color w:val="auto"/>
        </w:rPr>
        <w:t>X-3HUOB@PUM?KG7^8GA_-OJU1GJC39`J16(C&amp;J M"1Y#5B%&lt;):;&amp;NF759/&gt;.%[EBE4=PHK;S+7O_`#1\LL`5^@(K[[5\E^W&gt;TDOZ</w:t>
      </w:r>
    </w:p>
    <w:p>
      <w:pPr>
        <w:spacing w:after="0" w:line="232" w:lineRule="auto"/>
        <w:rPr>
          <w:sz w:val="20"/>
          <w:szCs w:val="20"/>
          <w:color w:val="auto"/>
        </w:rPr>
      </w:pPr>
      <w:r>
        <w:rPr>
          <w:rFonts w:ascii="Arial" w:cs="Arial" w:eastAsia="Arial" w:hAnsi="Arial"/>
          <w:sz w:val="16"/>
          <w:szCs w:val="16"/>
          <w:u w:val="single" w:color="auto"/>
          <w:color w:val="auto"/>
        </w:rPr>
        <w:t>M141"=.6T9S,A6$F)SD^/]G=J2=DKFF4EB+&amp;4,J21*/)U)"@H8BQ%*@\6:`=P MB!&lt;-ZU"9C:='.6YR;E_2_L8MO'HZU!KA&lt;,.H31/IX:]%,@67&amp;HLL-%(XX]Y:</w:t>
      </w:r>
    </w:p>
    <w:p>
      <w:pPr>
        <w:spacing w:after="0" w:line="232" w:lineRule="auto"/>
        <w:rPr>
          <w:sz w:val="20"/>
          <w:szCs w:val="20"/>
          <w:color w:val="auto"/>
        </w:rPr>
      </w:pPr>
      <w:r>
        <w:rPr>
          <w:rFonts w:ascii="Arial" w:cs="Arial" w:eastAsia="Arial" w:hAnsi="Arial"/>
          <w:sz w:val="16"/>
          <w:szCs w:val="16"/>
          <w:u w:val="single" w:color="auto"/>
          <w:color w:val="auto"/>
        </w:rPr>
        <w:t>M9,8S$AQ5VXYW!,,9.*MU+,5$K%I05!P[W&amp;TWZV?5'F))RJCG69;,6):2,H%`X;2AU\ZWFO2RURL(E5D9=X;(9MI_0PZ5W,/$</w:t>
      </w:r>
    </w:p>
    <w:p>
      <w:pPr>
        <w:spacing w:after="0" w:line="232" w:lineRule="auto"/>
        <w:rPr>
          <w:sz w:val="20"/>
          <w:szCs w:val="20"/>
          <w:color w:val="auto"/>
        </w:rPr>
      </w:pPr>
      <w:r>
        <w:rPr>
          <w:rFonts w:ascii="Arial" w:cs="Arial" w:eastAsia="Arial" w:hAnsi="Arial"/>
          <w:sz w:val="16"/>
          <w:szCs w:val="16"/>
          <w:u w:val="single" w:color="auto"/>
          <w:color w:val="auto"/>
        </w:rPr>
        <w:t>M58CF:6GEN''I@M!CG=0#=E'.T&gt;/HBY1W0I$L=ER#7-K74*Y&gt;FE#;HH M,4QF0NJ63MT%-QG&amp;\BR_!$731')$Z-6N:BP\48VSW7)FJ4/RD,14N1`.&lt;`Z&gt;&lt;,((</w:t>
      </w:r>
    </w:p>
    <w:p>
      <w:pPr>
        <w:spacing w:after="0" w:line="232" w:lineRule="auto"/>
        <w:rPr>
          <w:sz w:val="20"/>
          <w:szCs w:val="20"/>
          <w:color w:val="auto"/>
        </w:rPr>
      </w:pPr>
      <w:r>
        <w:rPr>
          <w:rFonts w:ascii="Arial" w:cs="Arial" w:eastAsia="Arial" w:hAnsi="Arial"/>
          <w:sz w:val="16"/>
          <w:szCs w:val="16"/>
          <w:u w:val="single" w:color="auto"/>
          <w:color w:val="auto"/>
        </w:rPr>
        <w:t>MUK7K7=G[:Z;,_3":K0YIUMZ=XP_MXK M@70QHR$UY`R&amp;G'85P!*%CG&amp;UY?.;GFF6XL@BS!QIQF\!81"M&gt;U8F7VV(LLWY M)HEV6XR-</w:t>
      </w:r>
    </w:p>
    <w:p>
      <w:pPr>
        <w:spacing w:after="0" w:line="232" w:lineRule="auto"/>
        <w:rPr>
          <w:sz w:val="20"/>
          <w:szCs w:val="20"/>
          <w:color w:val="auto"/>
        </w:rPr>
      </w:pPr>
      <w:r>
        <w:rPr>
          <w:rFonts w:ascii="Arial" w:cs="Arial" w:eastAsia="Arial" w:hAnsi="Arial"/>
          <w:sz w:val="16"/>
          <w:szCs w:val="16"/>
          <w:u w:val="single" w:color="auto"/>
          <w:color w:val="auto"/>
        </w:rPr>
        <w:t>P1!,#Q(./`*YUJK;)S5KF0-C-9VV.UPY*(,'QJN%:4T6-="&gt;. M51`[V$-B7$8K99'D%U9`VWDCNJGI+@K+M82E5O$,-[P8CV%FRIQ`]7EB71UC MC*$Y/.`M&lt;9]J-</w:t>
      </w:r>
    </w:p>
    <w:p>
      <w:pPr>
        <w:spacing w:after="0" w:line="232" w:lineRule="auto"/>
        <w:rPr>
          <w:sz w:val="20"/>
          <w:szCs w:val="20"/>
          <w:color w:val="auto"/>
        </w:rPr>
      </w:pPr>
      <w:r>
        <w:rPr>
          <w:rFonts w:ascii="Arial" w:cs="Arial" w:eastAsia="Arial" w:hAnsi="Arial"/>
          <w:sz w:val="16"/>
          <w:szCs w:val="16"/>
          <w:u w:val="single" w:color="auto"/>
          <w:color w:val="auto"/>
        </w:rPr>
        <w:t>52C4U,G)T!?A!=%#OGA^GQ:=&lt;$&gt;XPLQM2("R#+6$G**O:U9 M8:A=`^CW53B&gt;-8-SSI[QG/\`$\.F,9GD5@ZF/)F1CCTFB:XE:V+&amp;A/&amp;K,XF]</w:t>
      </w:r>
    </w:p>
    <w:p>
      <w:pPr>
        <w:spacing w:after="0" w:line="233" w:lineRule="auto"/>
        <w:rPr>
          <w:sz w:val="20"/>
          <w:szCs w:val="20"/>
          <w:color w:val="auto"/>
        </w:rPr>
      </w:pPr>
      <w:r>
        <w:rPr>
          <w:rFonts w:ascii="Arial" w:cs="Arial" w:eastAsia="Arial" w:hAnsi="Arial"/>
          <w:sz w:val="16"/>
          <w:szCs w:val="16"/>
          <w:u w:val="single" w:color="auto"/>
          <w:color w:val="auto"/>
        </w:rPr>
        <w:t>M*I)*,97]I2F%-,IBZYTBLC1.S-Z)J:4*1L;&amp;U(G0-S*UM]]UM]^K?WK?/5M\G9EQ)A2-GS+,&gt;3L M&gt;XFB"7C+JI5DV:QJ`QU-</w:t>
      </w:r>
    </w:p>
    <w:p>
      <w:pPr>
        <w:spacing w:after="0" w:line="232" w:lineRule="auto"/>
        <w:rPr>
          <w:sz w:val="20"/>
          <w:szCs w:val="20"/>
          <w:color w:val="auto"/>
        </w:rPr>
      </w:pPr>
      <w:r>
        <w:rPr>
          <w:rFonts w:ascii="Arial" w:cs="Arial" w:eastAsia="Arial" w:hAnsi="Arial"/>
          <w:sz w:val="16"/>
          <w:szCs w:val="16"/>
          <w:u w:val="single" w:color="auto"/>
          <w:color w:val="auto"/>
        </w:rPr>
        <w:t>8H/#,$&gt;]2MS:6X%@!Z1;U'1[M:F9AM]MGT)ZLVZ\)RC4\C-#[)_2B-/N4\76%B6&amp;6!R@ZXH''U2" MJ%&gt;X8EL3V8%Q;@V43C7(_C`"Y6^UQ]]UMUK&lt;`0KW-</w:t>
      </w:r>
    </w:p>
    <w:p>
      <w:pPr>
        <w:spacing w:after="0" w:line="232" w:lineRule="auto"/>
        <w:rPr>
          <w:sz w:val="20"/>
          <w:szCs w:val="20"/>
          <w:color w:val="auto"/>
        </w:rPr>
      </w:pPr>
      <w:r>
        <w:rPr>
          <w:rFonts w:ascii="Arial" w:cs="Arial" w:eastAsia="Arial" w:hAnsi="Arial"/>
          <w:sz w:val="16"/>
          <w:szCs w:val="16"/>
          <w:u w:val="single" w:color="auto"/>
          <w:color w:val="auto"/>
        </w:rPr>
        <w:t>MV[X@V_ MR^U^4:S=FPR"OQO_`+GT#80;&lt;7&lt;-WC-]M]RQ;[!L*U[6#[(RY_\T//\ M'';N+MW*MI3HK9+W$"]^9]GX_.7`M;MA]/K/[$O?</w:t>
      </w:r>
    </w:p>
    <w:p>
      <w:pPr>
        <w:spacing w:after="0" w:line="232" w:lineRule="auto"/>
        <w:rPr>
          <w:sz w:val="20"/>
          <w:szCs w:val="20"/>
          <w:color w:val="auto"/>
        </w:rPr>
      </w:pPr>
      <w:r>
        <w:rPr>
          <w:rFonts w:ascii="Arial" w:cs="Arial" w:eastAsia="Arial" w:hAnsi="Arial"/>
          <w:sz w:val="16"/>
          <w:szCs w:val="16"/>
          <w:u w:val="single" w:color="auto"/>
          <w:color w:val="auto"/>
        </w:rPr>
        <w:t>S5LR86MX(K"OQG!YUSE&gt;]^$#IO&gt;][6O?V(0D_ MS[U`T.;:T\-^6;=&amp;,(;BL9;_`&amp;%LM-/!-@WN.URA`YWR^WN" M%</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[*\:FV@;:Z#B</w:t>
      </w:r>
      <w:r>
        <w:rPr>
          <w:rFonts w:ascii="Arial" w:cs="Arial" w:eastAsia="Arial" w:hAnsi="Arial"/>
          <w:sz w:val="15"/>
          <w:szCs w:val="15"/>
          <w:i w:val="1"/>
          <w:iCs w:val="1"/>
          <w:u w:val="single" w:color="auto"/>
          <w:color w:val="auto"/>
        </w:rPr>
        <w:t>4.KK/VY,&gt;9`1,#NRNF3H]9P58R62`@XE6+^G]I M7T%:+-$,&gt;$SZ7=..*,)$W0A3N\BC,83!FKZE+"&amp;]Q2W)KZ)RGTL$'@WORF2R MES'[(=^':XQ5-,AZR=</w:t>
      </w:r>
    </w:p>
    <w:p>
      <w:pPr>
        <w:spacing w:after="0"/>
        <w:rPr>
          <w:sz w:val="20"/>
          <w:szCs w:val="20"/>
          <w:color w:val="auto"/>
        </w:rPr>
      </w:pPr>
      <w:r>
        <w:rPr>
          <w:rFonts w:ascii="Arial" w:cs="Arial" w:eastAsia="Arial" w:hAnsi="Arial"/>
          <w:sz w:val="16"/>
          <w:szCs w:val="16"/>
          <w:i w:val="1"/>
          <w:iCs w:val="1"/>
          <w:u w:val="single" w:color="auto"/>
          <w:color w:val="auto"/>
        </w:rPr>
        <w:t>(&gt;'K'BRQJCTYXO"GL(:@60\X8PAMRK@M?AW-#(92@&amp; M$5K6Z;7#PK]3=6#&lt;[V]^QZQV;Q#UM`,`O9UQ\6!/C1Y?LQJSS+]`2TJ;$L&gt;F MAJLT=_8@+36-$.]</w:t>
      </w:r>
    </w:p>
    <w:p>
      <w:pPr>
        <w:spacing w:after="0" w:line="232" w:lineRule="auto"/>
        <w:rPr>
          <w:sz w:val="20"/>
          <w:szCs w:val="20"/>
          <w:color w:val="auto"/>
        </w:rPr>
      </w:pPr>
      <w:r>
        <w:rPr>
          <w:rFonts w:ascii="Arial" w:cs="Arial" w:eastAsia="Arial" w:hAnsi="Arial"/>
          <w:sz w:val="16"/>
          <w:szCs w:val="16"/>
          <w:i w:val="1"/>
          <w:iCs w:val="1"/>
          <w:u w:val="single" w:color="auto"/>
          <w:color w:val="auto"/>
        </w:rPr>
        <w:t>[6#:]6UOM^-(4F)`?@K!VT,U0EG"L%*+`&gt;@+4&lt;]%+&gt;'&gt;] MB[IEDXB&lt;"0V`9T7":&gt;&gt;258-[#,&amp;`%A7LOM6=9$Z)N9@K8A;0V0"&amp;*]DML]OV</w:t>
      </w:r>
    </w:p>
    <w:p>
      <w:pPr>
        <w:spacing w:after="0"/>
        <w:rPr>
          <w:sz w:val="20"/>
          <w:szCs w:val="20"/>
          <w:color w:val="auto"/>
        </w:rPr>
      </w:pPr>
      <w:r>
        <w:rPr>
          <w:rFonts w:ascii="Arial" w:cs="Arial" w:eastAsia="Arial" w:hAnsi="Arial"/>
          <w:sz w:val="15"/>
          <w:szCs w:val="15"/>
          <w:i w:val="1"/>
          <w:iCs w:val="1"/>
          <w:u w:val="single" w:color="auto"/>
          <w:color w:val="auto"/>
        </w:rPr>
        <w:t>MFS2X2;:XMQ8E/X;94D2Y"`5KV$.QZ&amp;YI5M_#*X01!M3_``D=O+D0!H(ALT-&amp; MVGLP=[V3&amp;Z@]&gt;KEDP9%KV]@-&gt;W8%Q`&gt;`0K=4PA(Z'6M?&gt;$L\&gt;ZP[\`QGZH4R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M#QA4NU1;+S3P4=:U@&amp;86TW:@LX.C&gt;&amp;X=WL5F7\D1!K7GEWOOXT30D),%:U^( M"'?:]9.SAVG4ROP,T;&lt;[4"J1'EA"&gt;V:=M)6EK3V6FM?_`'A3&gt;\GLN29$7NM&gt;</w:t>
      </w:r>
    </w:p>
    <w:p>
      <w:pPr>
        <w:spacing w:after="0"/>
        <w:rPr>
          <w:sz w:val="20"/>
          <w:szCs w:val="20"/>
          <w:color w:val="auto"/>
        </w:rPr>
      </w:pPr>
      <w:r>
        <w:rPr>
          <w:rFonts w:ascii="Arial" w:cs="Arial" w:eastAsia="Arial" w:hAnsi="Arial"/>
          <w:sz w:val="16"/>
          <w:szCs w:val="16"/>
          <w:i w:val="1"/>
          <w:iCs w:val="1"/>
          <w:u w:val="single" w:color="auto"/>
          <w:color w:val="auto"/>
        </w:rPr>
        <w:t>MX2U"EP4GV]B*][WM??Y3AL0+&amp;":9FJVD^TPRGF&amp;!26*Y,Q0^ZC-29V5,/Q3+ M6.I&amp;WS/'\FD.GEACN/8!-(\TR5I1B'*NAC,&amp; MT!-</w:t>
      </w:r>
    </w:p>
    <w:p>
      <w:pPr>
        <w:spacing w:after="0" w:line="232" w:lineRule="auto"/>
        <w:rPr>
          <w:sz w:val="20"/>
          <w:szCs w:val="20"/>
          <w:color w:val="auto"/>
        </w:rPr>
      </w:pPr>
      <w:r>
        <w:rPr>
          <w:rFonts w:ascii="Arial" w:cs="Arial" w:eastAsia="Arial" w:hAnsi="Arial"/>
          <w:sz w:val="16"/>
          <w:szCs w:val="16"/>
          <w:i w:val="1"/>
          <w:iCs w:val="1"/>
          <w:u w:val="single" w:color="auto"/>
          <w:color w:val="auto"/>
        </w:rPr>
        <w:t>@&lt;$VE&lt;=TTONF[&amp;+U^'M\%X4&gt;,MR)-FG+:&gt;//T7C4MR#+9:TXX&gt;(1!H.AD MS\]LF*8T7*5;S*ES.ODV2%;-&amp;+LD@D$;V&amp;^R(BH0`;=G=I256+#8(;R/%3/,</w:t>
      </w:r>
    </w:p>
    <w:p>
      <w:pPr>
        <w:spacing w:after="0" w:line="232" w:lineRule="auto"/>
        <w:rPr>
          <w:sz w:val="20"/>
          <w:szCs w:val="20"/>
          <w:color w:val="auto"/>
        </w:rPr>
      </w:pPr>
      <w:r>
        <w:rPr>
          <w:rFonts w:ascii="Arial" w:cs="Arial" w:eastAsia="Arial" w:hAnsi="Arial"/>
          <w:sz w:val="16"/>
          <w:szCs w:val="16"/>
          <w:i w:val="1"/>
          <w:iCs w:val="1"/>
          <w:u w:val="single" w:color="auto"/>
          <w:color w:val="auto"/>
        </w:rPr>
        <w:t>M17M;J7&amp;.7"?!FB]\9EQ"O[M_SLA02K0_0;HSBXB?]V:Q:7\)-IX; M^_QZ&gt;$A.N+WQ7,N*]^F]]_360T;P9AB'!`")XEQE&amp;`%V"$L$=Q]#F,``A_FA</w:t>
      </w:r>
    </w:p>
    <w:p>
      <w:pPr>
        <w:spacing w:after="0" w:line="232" w:lineRule="auto"/>
        <w:rPr>
          <w:sz w:val="20"/>
          <w:szCs w:val="20"/>
          <w:color w:val="auto"/>
        </w:rPr>
      </w:pPr>
      <w:r>
        <w:rPr>
          <w:rFonts w:ascii="Arial" w:cs="Arial" w:eastAsia="Arial" w:hAnsi="Arial"/>
          <w:sz w:val="16"/>
          <w:szCs w:val="16"/>
          <w:i w:val="1"/>
          <w:iCs w:val="1"/>
          <w:u w:val="single" w:color="auto"/>
          <w:color w:val="auto"/>
        </w:rPr>
        <w:t>M`%K9$M@6#U`V#NM:W4JYH"""2PE%6"24"UK``3P20!M;J6"$JP`AM[EK6M:U MNI;HIO(#NMQW3[UU`Q7O_A6&amp;5*4!=F1L7%L9KH6=^R7_I"</w:t>
      </w:r>
    </w:p>
    <w:p>
      <w:pPr>
        <w:spacing w:after="0" w:line="249" w:lineRule="auto"/>
        <w:rPr>
          <w:sz w:val="20"/>
          <w:szCs w:val="20"/>
          <w:color w:val="auto"/>
        </w:rPr>
      </w:pPr>
      <w:r>
        <w:rPr>
          <w:rFonts w:ascii="Arial" w:cs="Arial" w:eastAsia="Arial" w:hAnsi="Arial"/>
          <w:sz w:val="15"/>
          <w:szCs w:val="15"/>
          <w:i w:val="1"/>
          <w:iCs w:val="1"/>
          <w:u w:val="single" w:color="auto"/>
          <w:color w:val="auto"/>
        </w:rPr>
        <w:t>M]J!F[@%Z5=CCDN"QQQ#&lt;*3)6O[/N,M-1+-EW1RT'"M=QANAO2VJRD_J&amp;\R]K\W$Y?U2 MOJXYL7@+OP#GIIQ\5&lt;1P;F)4I`16L'[%;`_2SD(P*O63G? 7)K]5C.`M.;=4V MK+)*O'Y*T(KF_16IB?;?#9ML4B60+# MF4YKK-RDE`(TG&amp;.AO$60]4DB&lt;06']0E^)TJ[*EJT_1IQ!*PB[D8QV#&gt;S)@TD(G\\P$?JF MRIP2N&lt;,IZSI_.M5W^`=]6=RWJ+P%@)J$_9TS;B/##(`D2@;OE?),-QVVA)`&amp;XKF%N[H`!(]8\AJ^#"&amp;&gt;/V!%CI:0$V^\0!7`$0K1B^TZV@68+`%I1V*VJE4U+ M+W++E^MC*V&amp;=%S4V%"%:P'59"W%WR9DI:EN&amp;]C0($T&gt;3.1@!!`:4E'8?!@&amp;5 M-/6WAUFXRR1B3+V$2J"/;/A/&amp;.:]3N41Q68,RYC?&amp;1YF&amp;19/BR M')3W%K7J&amp;M4X1EEL-540C,7P_-XI.;N^CXV&amp;O2[,QF094Z0EL1XR&gt;\DXTQ)?$*5S-E;L8 MYO\`&amp;&amp;R-2'P1&gt;IYMF7)3;+LS0+/&amp;HYSN(1AJ_4#K"U39(LJ.&amp;+AC-6M:C*K8 MPK;C%&gt;]Q65-!@!\*][EVX0K5D;CW8R[*3&amp;')1Q/9YZ0PJ$6[DJ^28.A,[=2! MVMP0F@=IXVR9RXZUO_Q[JKFWO&gt;] [BWWOOSF@N%\0XO3EI,;8MQSCY*2&amp;P"4T M'@L4B2$`)L"U[BXW\))*W"!NM:^^P@VO[F M[? 6`T^V^6Q[QTHLE=]?."Y&amp;K&amp;*Y9"+%*V3YO7*C;6WV)1H\.1JK3O&gt;WNP$_LZ]7IITC[2C5PY";UIL=*PUH5SFW1UYQGQ'C@DP%N+6Y9VEV+7(PNXM_!&amp;I:\88HD@@ MV#T&lt;,!#D&lt;*]_8AO;=88@YEZHFDY@1L&amp;#]D7BL@RV^]L@9QU89-6I=]K^Q$GA M&amp;.8NC5&amp;!W=-@+DY5_P#JF7]RHG%?J@Z66X,FU;;,'%-S!;QCQ?I2S_D(Q,$5 MMU[$CR1F)L*47!_U;GE%\9&gt;V\?!M&gt;X;?+^`QMGY#80I3MQ6V*IS1VN8VXAV: MVG9G$6#_`*P$[UD"9SM8$75M8VZ0(P[^BW"WCKM#V4FKJ4E\')NVYVC[F,RP</w:t>
      </w:r>
    </w:p>
    <w:p>
      <w:pPr>
        <w:sectPr>
          <w:pgSz w:w="11900" w:h="16899" w:orient="portrait"/>
          <w:cols w:equalWidth="0" w:num="1">
            <w:col w:w="11140"/>
          </w:cols>
          <w:pgMar w:left="620" w:top="124" w:right="139" w:bottom="0" w:gutter="0" w:footer="0" w:header="0"/>
        </w:sectPr>
      </w:pPr>
    </w:p>
    <w:bookmarkStart w:id="59" w:name="page60"/>
    <w:bookmarkEnd w:id="59"/>
    <w:p>
      <w:pPr>
        <w:spacing w:after="0" w:line="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M;'CQ8BTS83"*_4'&lt;@,;PX[&amp;);"Z&gt;!8!@K@]VX[VKX@V&amp;D&amp;\5A!3E%7L&amp;_!#&lt;(;6M7T,]3P[,1\$` MW)$`U`9A.#_O#,J:U-7((K#X4P;9/D(8Q6OOX1PYY)Y'&lt;^XK]</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([G&lt;9Q'V5.4L.3_``N;H1TPP%GR`P*653,,484QSCK)T;57N$]LD&lt;1R''8VFD[( M_LC@2F&lt;$)X%YR)4(B[&lt;\H'1E6.#:JN#LTMF1IKV6^GQ#@K3XR*#UKFI(?^^][6MOO?</w:t>
      </w:r>
    </w:p>
    <w:p>
      <w:pPr>
        <w:spacing w:after="0"/>
        <w:rPr>
          <w:sz w:val="20"/>
          <w:szCs w:val="20"/>
          <w:color w:val="auto"/>
        </w:rPr>
      </w:pPr>
      <w:r>
        <w:rPr>
          <w:rFonts w:ascii="Arial" w:cs="Arial" w:eastAsia="Arial" w:hAnsi="Arial"/>
          <w:sz w:val="16"/>
          <w:szCs w:val="16"/>
          <w:i w:val="1"/>
          <w:iCs w:val="1"/>
          <w:u w:val="single" w:color="auto"/>
          <w:color w:val="auto"/>
        </w:rPr>
        <w:t>W[W]^JJ4I2E*4I2E*4I2E*CA_MJ:_T`^_:D'5 M&lt;8`!A@4R%`F/4&amp;6**-.'8'%DE&amp;FC``6,)^N_3ZSX=R-G*8N$_@,$Q.)M'/#) MGB7)+4_,J!]D:N+,#P".)XTN='-</w:t>
      </w:r>
    </w:p>
    <w:p>
      <w:pPr>
        <w:spacing w:after="0" w:line="232" w:lineRule="auto"/>
        <w:rPr>
          <w:sz w:val="20"/>
          <w:szCs w:val="20"/>
          <w:color w:val="auto"/>
        </w:rPr>
      </w:pPr>
      <w:r>
        <w:rPr>
          <w:rFonts w:ascii="Arial" w:cs="Arial" w:eastAsia="Arial" w:hAnsi="Arial"/>
          <w:sz w:val="16"/>
          <w:szCs w:val="16"/>
          <w:i w:val="1"/>
          <w:iCs w:val="1"/>
          <w:u w:val="single" w:color="auto"/>
          <w:color w:val="auto"/>
        </w:rPr>
        <w:t>F=WA$I2@&amp;VR:R'*&gt;4FV!.K\ MSQ92CBK&gt;Q0`!7NY3Q$FJ36?ANVQT@;/G$D&amp;T=ZS5LLQWK#TWQR$X!&gt;=.^ M,(?-</w:t>
      </w:r>
    </w:p>
    <w:p>
      <w:pPr>
        <w:spacing w:after="0" w:line="232" w:lineRule="auto"/>
        <w:rPr>
          <w:sz w:val="20"/>
          <w:szCs w:val="20"/>
          <w:color w:val="auto"/>
        </w:rPr>
      </w:pPr>
      <w:r>
        <w:rPr>
          <w:rFonts w:ascii="Arial" w:cs="Arial" w:eastAsia="Arial" w:hAnsi="Arial"/>
          <w:sz w:val="16"/>
          <w:szCs w:val="16"/>
          <w:i w:val="1"/>
          <w:iCs w:val="1"/>
          <w:u w:val="single" w:color="auto"/>
          <w:color w:val="auto"/>
        </w:rPr>
        <w:t>LZRG(8('CN'I8AE#&amp;;K$XFW,CA`,NQ8YKF,,.E:J(O:(EQ/C\B:FN0,[ MHA32Z^U0U_:A"TMM'FS21X]B[Z`=V?+VT-U1XAP$A;C.!QB MF.*$%2(NQS.8`CV`Q!.%</w:t>
      </w:r>
    </w:p>
    <w:p>
      <w:pPr>
        <w:spacing w:after="0" w:line="232" w:lineRule="auto"/>
        <w:rPr>
          <w:sz w:val="20"/>
          <w:szCs w:val="20"/>
          <w:color w:val="auto"/>
        </w:rPr>
      </w:pPr>
      <w:r>
        <w:rPr>
          <w:rFonts w:ascii="Arial" w:cs="Arial" w:eastAsia="Arial" w:hAnsi="Arial"/>
          <w:sz w:val="16"/>
          <w:szCs w:val="16"/>
          <w:i w:val="1"/>
          <w:iCs w:val="1"/>
          <w:u w:val="single" w:color="auto"/>
          <w:color w:val="auto"/>
        </w:rPr>
        <w:t>&lt;(/72Z4MJWJ1X!VIG:ZX]P#&amp;W0`"WC$FS4PS#XDI M*Y2&amp;^Z[5J-SRZ9#RY290WQ5L,-'O5&lt;"PK%E`N7`-@OLV&amp;R0(9[F3'&lt; MYUM9/2@L`S)NN+-</w:t>
      </w:r>
    </w:p>
    <w:p>
      <w:pPr>
        <w:spacing w:after="0" w:line="232" w:lineRule="auto"/>
        <w:rPr>
          <w:sz w:val="20"/>
          <w:szCs w:val="20"/>
          <w:color w:val="auto"/>
        </w:rPr>
      </w:pPr>
      <w:r>
        <w:rPr>
          <w:rFonts w:ascii="Arial" w:cs="Arial" w:eastAsia="Arial" w:hAnsi="Arial"/>
          <w:sz w:val="16"/>
          <w:szCs w:val="16"/>
          <w:i w:val="1"/>
          <w:iCs w:val="1"/>
          <w:u w:val="single" w:color="auto"/>
          <w:color w:val="auto"/>
        </w:rPr>
        <w:t>&amp;0=4C^X%V'PAB5QR=OQV,@".-M81W(H&amp;E+'&gt;P2N#8H(2[ M;:8#C7'.*8ZCA^,(%$&lt;&lt;1)NW6;XO`(HR0V.(0!#8`2TC)&amp;6]M;$X`!M8(0%) M@V"&amp;UK6MT5-</w:t>
      </w:r>
    </w:p>
    <w:p>
      <w:pPr>
        <w:spacing w:after="0" w:line="232" w:lineRule="auto"/>
        <w:rPr>
          <w:sz w:val="20"/>
          <w:szCs w:val="20"/>
          <w:color w:val="auto"/>
        </w:rPr>
      </w:pPr>
      <w:r>
        <w:rPr>
          <w:rFonts w:ascii="Arial" w:cs="Arial" w:eastAsia="Arial" w:hAnsi="Arial"/>
          <w:sz w:val="16"/>
          <w:szCs w:val="16"/>
          <w:i w:val="1"/>
          <w:iCs w:val="1"/>
          <w:u w:val="single" w:color="auto"/>
          <w:color w:val="auto"/>
        </w:rPr>
        <w:t>K"+#_`#2AVZ=_02/J^_T!_P"/^-5&lt;:'X)O)L+/*)N2/+XSS261Q,&gt;&gt;[/,19%R-XGS/C=HGSGCMO4`,G*1@."3&amp;*7OT]R*L;^FQQ:0B)D.IY0@ANE3B%&gt;X*/P</w:t>
      </w:r>
    </w:p>
    <w:p>
      <w:pPr>
        <w:spacing w:after="0" w:line="232" w:lineRule="auto"/>
        <w:rPr>
          <w:sz w:val="20"/>
          <w:szCs w:val="20"/>
          <w:color w:val="auto"/>
        </w:rPr>
      </w:pPr>
      <w:r>
        <w:rPr>
          <w:rFonts w:ascii="Arial" w:cs="Arial" w:eastAsia="Arial" w:hAnsi="Arial"/>
          <w:sz w:val="16"/>
          <w:szCs w:val="16"/>
          <w:i w:val="1"/>
          <w:iCs w:val="1"/>
          <w:u w:val="single" w:color="auto"/>
          <w:color w:val="auto"/>
        </w:rPr>
        <w:t>M6]4%9PX8'O+NS0LNB;#LYE1J@*Y9,,\%/ MNI"5KG0(K#YU4/F&gt;7[(2D*^YEK&amp;!/2V36)'8/$`+"$-K;08I#89!&amp;5+&amp;X3&amp;8 MY#X\AM8*-</w:t>
      </w:r>
    </w:p>
    <w:p>
      <w:pPr>
        <w:spacing w:after="0" w:line="233" w:lineRule="auto"/>
        <w:rPr>
          <w:sz w:val="20"/>
          <w:szCs w:val="20"/>
          <w:color w:val="auto"/>
        </w:rPr>
      </w:pPr>
      <w:r>
        <w:rPr>
          <w:rFonts w:ascii="Arial" w:cs="Arial" w:eastAsia="Arial" w:hAnsi="Arial"/>
          <w:sz w:val="16"/>
          <w:szCs w:val="16"/>
          <w:i w:val="1"/>
          <w:iCs w:val="1"/>
          <w:u w:val="single" w:color="auto"/>
          <w:color w:val="auto"/>
        </w:rPr>
        <w:t>BBC.TQMF2!L&amp;P`@3-;*G0H2`!#:P0A+("&amp;UK6M:VZUK5)K"(M&gt;X MK&lt;7:]^J+A%[[_P!M^%OOU/=O72@1$ MC/6+5S@J-</w:t>
      </w:r>
    </w:p>
    <w:p>
      <w:pPr>
        <w:spacing w:after="0" w:line="232" w:lineRule="auto"/>
        <w:rPr>
          <w:sz w:val="20"/>
          <w:szCs w:val="20"/>
          <w:color w:val="auto"/>
        </w:rPr>
      </w:pPr>
      <w:r>
        <w:rPr>
          <w:rFonts w:ascii="Arial" w:cs="Arial" w:eastAsia="Arial" w:hAnsi="Arial"/>
          <w:sz w:val="16"/>
          <w:szCs w:val="16"/>
          <w:i w:val="1"/>
          <w:iCs w:val="1"/>
          <w:u w:val="single" w:color="auto"/>
          <w:color w:val="auto"/>
        </w:rPr>
        <w:t>*1HTB4@`SE*E4&lt;40G*`,TX80`%&gt;WY;XSZK3V;[CK;R7ITDKB^Q? M3Q%60:*%:OBF]_E4+GV1&amp;,]:*2M*.$12./$P3PAS)"D18ZFR-(ZCESNG574L MS4R.L?</w:t>
      </w:r>
    </w:p>
    <w:p>
      <w:pPr>
        <w:spacing w:after="0"/>
        <w:rPr>
          <w:sz w:val="20"/>
          <w:szCs w:val="20"/>
          <w:color w:val="auto"/>
        </w:rPr>
      </w:pPr>
      <w:r>
        <w:rPr>
          <w:rFonts w:ascii="Arial" w:cs="Arial" w:eastAsia="Arial" w:hAnsi="Arial"/>
          <w:sz w:val="15"/>
          <w:szCs w:val="15"/>
          <w:i w:val="1"/>
          <w:iCs w:val="1"/>
          <w:u w:val="single" w:color="auto"/>
          <w:color w:val="auto"/>
        </w:rPr>
        <w:t>=E&gt;;G_`$_&amp;DF4EEG8!P+M$M5A1X^`D,T^Z!M03NF6\*][%B)O2&gt;%E'8$V'&amp;ME]`??\`B1ZCLMZ8M*A1 M8!;^":O32+($X=T@`6MPCBP-RA0"V\(21CN$-_EZ\WJ@7)</w:t>
      </w:r>
    </w:p>
    <w:p>
      <w:pPr>
        <w:spacing w:after="0"/>
        <w:rPr>
          <w:sz w:val="20"/>
          <w:szCs w:val="20"/>
          <w:color w:val="auto"/>
        </w:rPr>
      </w:pPr>
      <w:r>
        <w:rPr>
          <w:rFonts w:ascii="Arial" w:cs="Arial" w:eastAsia="Arial" w:hAnsi="Arial"/>
          <w:sz w:val="16"/>
          <w:szCs w:val="16"/>
          <w:i w:val="1"/>
          <w:iCs w:val="1"/>
          <w:u w:val="single" w:color="auto"/>
          <w:color w:val="auto"/>
        </w:rPr>
        <w:t>("S(;HPV;VFNYM M[&lt;(O/^K7+V&lt;%B`(M^_C4&gt;"\6QU`M.+MN_BBG5,48+&lt;&amp;R@`;\*W'\'/;R9(`6 M.:[2W1AIQ-,OO5$:</w:t>
      </w:r>
    </w:p>
    <w:p>
      <w:pPr>
        <w:spacing w:after="0" w:line="232" w:lineRule="auto"/>
        <w:rPr>
          <w:sz w:val="20"/>
          <w:szCs w:val="20"/>
          <w:color w:val="auto"/>
        </w:rPr>
      </w:pPr>
      <w:r>
        <w:rPr>
          <w:rFonts w:ascii="Arial" w:cs="Arial" w:eastAsia="Arial" w:hAnsi="Arial"/>
          <w:sz w:val="16"/>
          <w:szCs w:val="16"/>
          <w:i w:val="1"/>
          <w:iCs w:val="1"/>
          <w:u w:val="single" w:color="auto"/>
          <w:color w:val="auto"/>
        </w:rPr>
        <w:t>&lt;="CGE$9`1;^&amp;!O==0F6CP7';H"4H6,Q]@]`QIA[KAO] M/^B:U23XLJV?MMIM)I2;_P#&amp;%X%&lt;UQ+VYDR-$F96 M$=[[S"3FX:&lt;&gt;[&lt;(FX?8UD#C?8K[);%-</w:t>
      </w:r>
    </w:p>
    <w:p>
      <w:pPr>
        <w:spacing w:after="0" w:line="232" w:lineRule="auto"/>
        <w:rPr>
          <w:sz w:val="20"/>
          <w:szCs w:val="20"/>
          <w:color w:val="auto"/>
        </w:rPr>
      </w:pPr>
      <w:r>
        <w:rPr>
          <w:rFonts w:ascii="Arial" w:cs="Arial" w:eastAsia="Arial" w:hAnsi="Arial"/>
          <w:sz w:val="16"/>
          <w:szCs w:val="16"/>
          <w:i w:val="1"/>
          <w:iCs w:val="1"/>
          <w:u w:val="single" w:color="auto"/>
          <w:color w:val="auto"/>
        </w:rPr>
        <w:t>DEXEL]M)IAR&amp;X1)%LOQ#%LE.A`P6W M`-"[9))EKB(\/5L&gt;)3[@V`61'6MN+`"P&gt;BP0VM:UNBUK6Z*N-;B;6W&lt;.]^K_..X75Z&gt;IY5?</w:t>
      </w:r>
    </w:p>
    <w:p>
      <w:pPr>
        <w:spacing w:after="0" w:line="232" w:lineRule="auto"/>
        <w:rPr>
          <w:sz w:val="20"/>
          <w:szCs w:val="20"/>
          <w:color w:val="auto"/>
        </w:rPr>
      </w:pPr>
      <w:r>
        <w:rPr>
          <w:rFonts w:ascii="Arial" w:cs="Arial" w:eastAsia="Arial" w:hAnsi="Arial"/>
          <w:sz w:val="16"/>
          <w:szCs w:val="16"/>
          <w:i w:val="1"/>
          <w:iCs w:val="1"/>
          <w:u w:val="single" w:color="auto"/>
          <w:color w:val="auto"/>
        </w:rPr>
        <w:t>HM&amp;V5C=\AS,#8E9@R&gt;8KVY.G4O[W9 MM1D);.#B8&gt;?8/'F\+E"M6UK"#&gt;]_^T&amp;__(6^JZ4I2E*4 MI2HX?[:FO]`/OVI'*D=1D?</w:t>
      </w:r>
    </w:p>
    <w:p>
      <w:pPr>
        <w:spacing w:after="0"/>
        <w:rPr>
          <w:sz w:val="20"/>
          <w:szCs w:val="20"/>
          <w:color w:val="auto"/>
        </w:rPr>
      </w:pPr>
      <w:r>
        <w:rPr>
          <w:rFonts w:ascii="Arial" w:cs="Arial" w:eastAsia="Arial" w:hAnsi="Arial"/>
          <w:sz w:val="15"/>
          <w:szCs w:val="15"/>
          <w:i w:val="1"/>
          <w:iCs w:val="1"/>
          <w:u w:val="single" w:color="auto"/>
          <w:color w:val="auto"/>
        </w:rPr>
        <w:t>MN3_1U9]K(:DU*5:O.+.T2+#V3X_(&lt;8F9JCK]` MY4QR/$9068PW)&lt;==V=4W/T'*)D2UM8E)LE:%*QK*2N[DWH%1B@*8]:D";R@K M\_\`;3IJI%LX=&gt;FFF&amp;QG-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F2&lt;2+VUF8M$\0R^V$)=0C:GCS-T#R!H&amp;C,RC+K&amp;VG0-CK7-"IS-E1Z,3%EEWSGD"*-&gt;*U ML,.)7FK7Y%*80QN65):K4)2`15Y$T1EW`"3C5(V^/;6,N6;,G&amp;NK/:]Z2'**</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M,F6#87BMOU(8?R)%'298GU,&amp;-4PB&amp;)L7RV0"99G"Y=`\CXI8)6J;(_)8B^A9 MGV+"51R715Y4\Q/TGG9)[0^%-@S3E3=GC3]-]%^?ES?P+V):FG(&gt;`I-)L2N3MP;`+ M-</w:t>
      </w:r>
    </w:p>
    <w:p>
      <w:pPr>
        <w:spacing w:after="0"/>
        <w:rPr>
          <w:sz w:val="20"/>
          <w:szCs w:val="20"/>
          <w:color w:val="auto"/>
        </w:rPr>
      </w:pPr>
      <w:r>
        <w:rPr>
          <w:rFonts w:ascii="Arial" w:cs="Arial" w:eastAsia="Arial" w:hAnsi="Arial"/>
          <w:sz w:val="16"/>
          <w:szCs w:val="16"/>
          <w:i w:val="1"/>
          <w:iCs w:val="1"/>
          <w:u w:val="single" w:color="auto"/>
          <w:color w:val="auto"/>
        </w:rPr>
        <w:t>=9)"&amp;E.:9O5``AO&lt;90H*LTW;*[#]@)MH+ZF^U!Z4[)[7&amp;]Y2P\VS36/IV9T MZ8-PF.#EDK3;D8V2,Z(\%KJDP7/&amp;Z8^Y&gt;\*DL"P%P7R\TUZ"O4J.KVZ1#IP9 M--</w:t>
      </w:r>
    </w:p>
    <w:p>
      <w:pPr>
        <w:spacing w:after="0"/>
        <w:rPr>
          <w:sz w:val="20"/>
          <w:szCs w:val="20"/>
          <w:color w:val="auto"/>
        </w:rPr>
      </w:pPr>
      <w:r>
        <w:rPr>
          <w:rFonts w:ascii="Arial" w:cs="Arial" w:eastAsia="Arial" w:hAnsi="Arial"/>
          <w:sz w:val="15"/>
          <w:szCs w:val="15"/>
          <w:i w:val="1"/>
          <w:iCs w:val="1"/>
          <w:u w:val="single" w:color="auto"/>
          <w:color w:val="auto"/>
        </w:rPr>
        <w:t>TUD"VQ84T$8]3VH+'F32[7,%&gt;P5&amp;*Y)F.'Y$0#"?:Y9P%,9)&amp;$X-R#+6&amp;' M@UG&lt;9ZG+V/\`O_D6FV&gt;,@KW.""[/JXUDM/!&amp;;&gt;UQW`61GH)0A!W;@\(L0&gt;#T M7L(-</w:t>
      </w:r>
    </w:p>
    <w:p>
      <w:pPr>
        <w:spacing w:after="0"/>
        <w:rPr>
          <w:sz w:val="20"/>
          <w:szCs w:val="20"/>
          <w:color w:val="auto"/>
        </w:rPr>
      </w:pPr>
      <w:r>
        <w:rPr>
          <w:rFonts w:ascii="Arial" w:cs="Arial" w:eastAsia="Arial" w:hAnsi="Arial"/>
          <w:sz w:val="16"/>
          <w:szCs w:val="16"/>
          <w:i w:val="1"/>
          <w:iCs w:val="1"/>
          <w:u w:val="single" w:color="auto"/>
          <w:color w:val="auto"/>
        </w:rPr>
        <w:t>ZI#ZG5V7I`N$V0'4*S[A&lt;('-FMS6"3Q=[`X`&gt;!6JRONL*U[7!? M=PKAN9[._3%L%,.E"$-JU\[7AB%PC!E\U;1/+%K%C,#P=X;+$"SA&lt;"UK6#QG M&amp;7%;H-</w:t>
      </w:r>
    </w:p>
    <w:p>
      <w:pPr>
        <w:spacing w:after="0"/>
        <w:rPr>
          <w:sz w:val="20"/>
          <w:szCs w:val="20"/>
          <w:color w:val="auto"/>
        </w:rPr>
      </w:pPr>
      <w:r>
        <w:rPr>
          <w:rFonts w:ascii="Arial" w:cs="Arial" w:eastAsia="Arial" w:hAnsi="Arial"/>
          <w:sz w:val="15"/>
          <w:szCs w:val="15"/>
          <w:i w:val="1"/>
          <w:iCs w:val="1"/>
          <w:u w:val="single" w:color="auto"/>
          <w:color w:val="auto"/>
        </w:rPr>
        <w:t>N9:VZI[@[%VM?05C)\TGX4PFBU7Q%!,,B2;!.I?*^H2/,#UIG%((SK7KE:MAB$8; M$;/%VP2)H0%W`CXP&gt;W6$XSQYC5I+8,=P6'0)C)`$LEFA4788FU$E`#8`"BFZ</w:t>
      </w:r>
    </w:p>
    <w:p>
      <w:pPr>
        <w:spacing w:after="0"/>
        <w:rPr>
          <w:sz w:val="20"/>
          <w:szCs w:val="20"/>
          <w:color w:val="auto"/>
        </w:rPr>
      </w:pPr>
      <w:r>
        <w:rPr>
          <w:rFonts w:ascii="Arial" w:cs="Arial" w:eastAsia="Arial" w:hAnsi="Arial"/>
          <w:sz w:val="16"/>
          <w:szCs w:val="16"/>
          <w:i w:val="1"/>
          <w:iCs w:val="1"/>
          <w:u w:val="single" w:color="auto"/>
          <w:color w:val="auto"/>
        </w:rPr>
        <w:t>M/M[96BXA#NV-]QBOO$.Z%)&lt;8K^_&lt;5R=][_V MWKGF=I^36_O%)Y&amp;J+M;.&amp;][7;F^][6WW"%"E$+=[_!"3&gt;_1_96(VI+7%H7T@</w:t>
      </w:r>
    </w:p>
    <w:p>
      <w:pPr>
        <w:spacing w:after="0" w:line="232" w:lineRule="auto"/>
        <w:rPr>
          <w:sz w:val="20"/>
          <w:szCs w:val="20"/>
          <w:color w:val="auto"/>
        </w:rPr>
      </w:pPr>
      <w:r>
        <w:rPr>
          <w:rFonts w:ascii="Arial" w:cs="Arial" w:eastAsia="Arial" w:hAnsi="Arial"/>
          <w:sz w:val="16"/>
          <w:szCs w:val="16"/>
          <w:i w:val="1"/>
          <w:iCs w:val="1"/>
          <w:u w:val="single" w:color="auto"/>
          <w:color w:val="auto"/>
        </w:rPr>
        <w:t>M(C5&gt;IK4=I_PH&gt;`BZ@ACGDWB39+W,H(+FBYD@Q1ZF:/IH2[7'Q#,P+S[VW;B[ MWO:U:ZK[9UFS;_(]GCL[=:.N?EH.,8[1*</w:t>
      </w:r>
    </w:p>
    <w:p>
      <w:pPr>
        <w:spacing w:after="0" w:line="232" w:lineRule="auto"/>
        <w:rPr>
          <w:sz w:val="20"/>
          <w:szCs w:val="20"/>
          <w:color w:val="auto"/>
        </w:rPr>
      </w:pPr>
      <w:r>
        <w:rPr>
          <w:rFonts w:ascii="Arial" w:cs="Arial" w:eastAsia="Arial" w:hAnsi="Arial"/>
          <w:sz w:val="16"/>
          <w:szCs w:val="16"/>
          <w:i w:val="1"/>
          <w:iCs w:val="1"/>
          <w:u w:val="single" w:color="auto"/>
          <w:color w:val="auto"/>
        </w:rPr>
        <w:t>M4V4$N(D&gt;J#/LH3XG;70G@BM&gt;.8,Q"/'&amp;.&amp;QH"8&amp;QA;(YM\A1\+@\=&lt;^P`&lt;&amp;7 M8-V!VS6TZZW'77/BG!31&amp;IY&gt;.-#?",;)2&amp;X.%L42Y&amp;6&gt;B=LEXU@7(.31R:/K</w:t>
      </w:r>
    </w:p>
    <w:p>
      <w:pPr>
        <w:spacing w:after="0"/>
        <w:rPr>
          <w:sz w:val="20"/>
          <w:szCs w:val="20"/>
          <w:color w:val="auto"/>
        </w:rPr>
      </w:pPr>
      <w:r>
        <w:rPr>
          <w:rFonts w:ascii="Arial" w:cs="Arial" w:eastAsia="Arial" w:hAnsi="Arial"/>
          <w:sz w:val="15"/>
          <w:szCs w:val="15"/>
          <w:i w:val="1"/>
          <w:iCs w:val="1"/>
          <w:u w:val="single" w:color="auto"/>
          <w:color w:val="auto"/>
        </w:rPr>
        <w:t>M3R%`(T*D]HCQQ#@]15K9WM\&lt;%]]RXT:S&gt;CM?M\15?,[3\F-_&gt;*3R-.9VGY,;^\4GD:&lt; MSM/R8W]XI/(TYG:?DQO[Q2&gt;1IS.T_)C?WBD\C3F=I^3&amp;_O%)Y&amp;G,[3\F-</w:t>
      </w:r>
    </w:p>
    <w:p>
      <w:pPr>
        <w:spacing w:after="0"/>
        <w:rPr>
          <w:sz w:val="20"/>
          <w:szCs w:val="20"/>
          <w:color w:val="auto"/>
        </w:rPr>
      </w:pPr>
      <w:r>
        <w:rPr>
          <w:rFonts w:ascii="Arial" w:cs="Arial" w:eastAsia="Arial" w:hAnsi="Arial"/>
          <w:sz w:val="16"/>
          <w:szCs w:val="16"/>
          <w:i w:val="1"/>
          <w:iCs w:val="1"/>
          <w:u w:val="single" w:color="auto"/>
          <w:color w:val="auto"/>
        </w:rPr>
        <w:t>_&gt;* M3R-.9VGY,;^\4GD:1IS.T_)C?WBD\C3F=I^3 M&amp;_O%)Y&amp;G,[3\F-_&gt;*3R-.9VGY,;^\4GD:1IS M.T_)C?WBD\C3F=I^3&amp;_O%)Y&amp;G,[3\F-</w:t>
      </w:r>
    </w:p>
    <w:p>
      <w:pPr>
        <w:spacing w:after="0" w:line="232" w:lineRule="auto"/>
        <w:rPr>
          <w:sz w:val="20"/>
          <w:szCs w:val="20"/>
          <w:color w:val="auto"/>
        </w:rPr>
      </w:pPr>
      <w:r>
        <w:rPr>
          <w:rFonts w:ascii="Arial" w:cs="Arial" w:eastAsia="Arial" w:hAnsi="Arial"/>
          <w:sz w:val="16"/>
          <w:szCs w:val="16"/>
          <w:i w:val="1"/>
          <w:iCs w:val="1"/>
          <w:u w:val="single" w:color="auto"/>
          <w:color w:val="auto"/>
        </w:rPr>
        <w:t>_&gt;*3R-.9VGY,;^\4GD:1IS.T_)C?WBD\C3F=I^3&amp;_O%)Y&amp;G,[3\F-_&gt;*3R-.9VGY, M;^\4GD:K+:VTH8#2F]$686*P@&amp;%I$P!@%;J"",)5A!O;WPWM?YZ[_4I2E*4I</w:t>
      </w:r>
    </w:p>
    <w:p>
      <w:pPr>
        <w:spacing w:after="0" w:line="232" w:lineRule="auto"/>
        <w:rPr>
          <w:sz w:val="20"/>
          <w:szCs w:val="20"/>
          <w:color w:val="auto"/>
        </w:rPr>
      </w:pPr>
      <w:r>
        <w:rPr>
          <w:rFonts w:ascii="Arial" w:cs="Arial" w:eastAsia="Arial" w:hAnsi="Arial"/>
          <w:sz w:val="16"/>
          <w:szCs w:val="16"/>
          <w:i w:val="1"/>
          <w:iCs w:val="1"/>
          <w:u w:val="single" w:color="auto"/>
          <w:color w:val="auto"/>
        </w:rPr>
        <w:t>M2E*CA_MJ:_T`^_:DUK]%[;[?/7'`!NN'@AW M7ZMMUKVO_;:]&lt;\$/1?=;?;J7W6Z/[/&gt;_PIP;6O&gt;^ZV^_5ONMOONZF^_NUHG] M4O\`]2%KL^C&amp;</w:t>
      </w:r>
    </w:p>
    <w:p>
      <w:pPr>
        <w:spacing w:after="0" w:line="232" w:lineRule="auto"/>
        <w:rPr>
          <w:sz w:val="20"/>
          <w:szCs w:val="20"/>
          <w:color w:val="auto"/>
        </w:rPr>
      </w:pPr>
      <w:r>
        <w:rPr>
          <w:rFonts w:ascii="Arial" w:cs="Arial" w:eastAsia="Arial" w:hAnsi="Arial"/>
          <w:sz w:val="16"/>
          <w:szCs w:val="16"/>
          <w:i w:val="1"/>
          <w:iCs w:val="1"/>
          <w:u w:val="single" w:color="auto"/>
          <w:color w:val="auto"/>
        </w:rPr>
        <w:t>(/\`41B2ME.@[^A#HZ_NJZ=O\GX;66%47+!??T&lt;&amp;XMV^X+W# M&gt;^[J=(;VO6$VI79MZ#=8(%8]2FDO!&amp;6W98`90Y=(\&gt;L:;(*"P="I8Y1W(Y&lt;_P2W^-</w:t>
      </w:r>
    </w:p>
    <w:p>
      <w:pPr>
        <w:spacing w:after="0" w:line="232" w:lineRule="auto"/>
        <w:rPr>
          <w:sz w:val="20"/>
          <w:szCs w:val="20"/>
          <w:color w:val="auto"/>
        </w:rPr>
      </w:pPr>
      <w:r>
        <w:rPr>
          <w:rFonts w:ascii="Arial" w:cs="Arial" w:eastAsia="Arial" w:hAnsi="Arial"/>
          <w:sz w:val="16"/>
          <w:szCs w:val="16"/>
          <w:i w:val="1"/>
          <w:iCs w:val="1"/>
          <w:u w:val="single" w:color="auto"/>
          <w:color w:val="auto"/>
        </w:rPr>
        <w:t>&amp;U[VWWON#OW=-^KT?/NZ:"&amp;$-MXA6M;W[WM;J]2H5/&amp;YRJ&gt;R9DAL:;B[!N,1JU]D:YM:TI00!N,0SE0`V#:][WZ*U( M3C;W;/Q+(7"!:=I!E_7ME-</w:t>
      </w:r>
    </w:p>
    <w:p>
      <w:pPr>
        <w:spacing w:after="0" w:line="232" w:lineRule="auto"/>
        <w:rPr>
          <w:sz w:val="20"/>
          <w:szCs w:val="20"/>
          <w:color w:val="auto"/>
        </w:rPr>
      </w:pPr>
      <w:r>
        <w:rPr>
          <w:rFonts w:ascii="Arial" w:cs="Arial" w:eastAsia="Arial" w:hAnsi="Arial"/>
          <w:sz w:val="16"/>
          <w:szCs w:val="16"/>
          <w:i w:val="1"/>
          <w:iCs w:val="1"/>
          <w:u w:val="single" w:color="auto"/>
          <w:color w:val="auto"/>
        </w:rPr>
        <w:t>N$$!F-]!&gt;%)UJ0&lt;#+FBN6G'&gt;NUEU:93:U!G M'J&lt;.Z1T46T,86,1G?[V+O8L;%/\`E&gt;:,10;W+N&gt;\Y!;UZWH,/$7NXH.7&amp;FS9 M'[-_26M(&gt;\'Z0,-</w:t>
      </w:r>
    </w:p>
    <w:p>
      <w:pPr>
        <w:spacing w:after="0" w:line="232" w:lineRule="auto"/>
        <w:rPr>
          <w:sz w:val="20"/>
          <w:szCs w:val="20"/>
          <w:color w:val="auto"/>
        </w:rPr>
      </w:pPr>
      <w:r>
        <w:rPr>
          <w:rFonts w:ascii="Arial" w:cs="Arial" w:eastAsia="Arial" w:hAnsi="Arial"/>
          <w:sz w:val="16"/>
          <w:szCs w:val="16"/>
          <w:i w:val="1"/>
          <w:iCs w:val="1"/>
          <w:u w:val="single" w:color="auto"/>
          <w:color w:val="auto"/>
        </w:rPr>
        <w:t>L4R(/NK#DN5QX&gt;5Q0+;NC?NOO#PK\*P;]3V-K_S&gt;CHW!W6M;HMT5]-V[J4I M2E*4I2E*4I2E*4I2E*4I2E*4I2E*4I2E*5'#_;4U_H!]^U(Y4CJ,C]MR?Z.K</w:t>
      </w:r>
    </w:p>
    <w:p>
      <w:pPr>
        <w:spacing w:after="0" w:line="233" w:lineRule="auto"/>
        <w:rPr>
          <w:sz w:val="20"/>
          <w:szCs w:val="20"/>
          <w:color w:val="auto"/>
        </w:rPr>
      </w:pPr>
      <w:r>
        <w:rPr>
          <w:rFonts w:ascii="Arial" w:cs="Arial" w:eastAsia="Arial" w:hAnsi="Arial"/>
          <w:sz w:val="16"/>
          <w:szCs w:val="16"/>
          <w:i w:val="1"/>
          <w:iCs w:val="1"/>
          <w:u w:val="single" w:color="auto"/>
          <w:color w:val="auto"/>
        </w:rPr>
        <w:t>M/M9#4FI2E*4K1-ZI?_J0M=GT8Q!_J(Q)6RG0=_0AT=?W5=.W^3\-K+"E*4O: MU^K;?_;76/1IE)!J8\DLY,&gt;482&gt;G-`$U.&lt;2&lt;&amp;X#2CB#+").+,!&gt;X1EF`$`8;</w:t>
      </w:r>
    </w:p>
    <w:p>
      <w:pPr>
        <w:spacing w:after="0" w:line="232" w:lineRule="auto"/>
        <w:rPr>
          <w:sz w:val="20"/>
          <w:szCs w:val="20"/>
          <w:color w:val="auto"/>
        </w:rPr>
      </w:pPr>
      <w:r>
        <w:rPr>
          <w:rFonts w:ascii="Arial" w:cs="Arial" w:eastAsia="Arial" w:hAnsi="Arial"/>
          <w:sz w:val="16"/>
          <w:szCs w:val="16"/>
          <w:i w:val="1"/>
          <w:iCs w:val="1"/>
          <w:u w:val="single" w:color="auto"/>
          <w:color w:val="auto"/>
        </w:rPr>
        <w:t>MW"*U[7W5K"S]L7=F/J/=[RN&gt;:0&lt;61_(0%/.2;*&gt;&amp;4CII_P`IIWH-[B(&gt;[S_" M;C!)"O%3F`&gt;ZP#RC2MY8L&lt;[[+G6_@*UE&amp;A[:\:GF!E2&amp;74E8AUQ1</w:t>
      </w:r>
    </w:p>
    <w:p>
      <w:pPr>
        <w:spacing w:after="0"/>
        <w:rPr>
          <w:sz w:val="20"/>
          <w:szCs w:val="20"/>
          <w:color w:val="auto"/>
        </w:rPr>
      </w:pPr>
      <w:r>
        <w:rPr>
          <w:rFonts w:ascii="Arial" w:cs="Arial" w:eastAsia="Arial" w:hAnsi="Arial"/>
          <w:sz w:val="15"/>
          <w:szCs w:val="15"/>
          <w:i w:val="1"/>
          <w:iCs w:val="1"/>
          <w:u w:val="single" w:color="auto"/>
          <w:color w:val="auto"/>
        </w:rPr>
        <w:t>M:%ZWLW3%X&lt;$96\L(CP;@V_.)M5MKSZH/T7 MZQM*."IGC/$#.]-,N^* MV5:T2I@F;NBFA!QY=\=O)'Z&amp;XKIRVW&gt;K:.L,EU-ZZ,:;/V.R5J1N3YI^T/X/ M99=E=C1.A`%</w:t>
      </w:r>
    </w:p>
    <w:p>
      <w:pPr>
        <w:spacing w:after="0"/>
        <w:rPr>
          <w:sz w:val="20"/>
          <w:szCs w:val="20"/>
          <w:color w:val="auto"/>
        </w:rPr>
      </w:pPr>
      <w:r>
        <w:rPr>
          <w:rFonts w:ascii="Arial" w:cs="Arial" w:eastAsia="Arial" w:hAnsi="Arial"/>
          <w:sz w:val="16"/>
          <w:szCs w:val="16"/>
          <w:i w:val="1"/>
          <w:iCs w:val="1"/>
          <w:u w:val="single" w:color="auto"/>
          <w:color w:val="auto"/>
        </w:rPr>
        <w:t>(8Q)=2&gt;;WR&lt;$LTS8"SN1/CIC&gt;+K&amp;&lt;;P0=S0X*$18##[I0+8)[ M/)KDB'(&amp;&gt;X=D_77E9#OMZY^O/,$(0VM8(;!M;J6M;=:W_`)WWJJE*4I2E*4I2</w:t>
      </w:r>
    </w:p>
    <w:p>
      <w:pPr>
        <w:spacing w:after="0" w:line="232" w:lineRule="auto"/>
        <w:rPr>
          <w:sz w:val="20"/>
          <w:szCs w:val="20"/>
          <w:color w:val="auto"/>
        </w:rPr>
      </w:pPr>
      <w:r>
        <w:rPr>
          <w:rFonts w:ascii="Arial" w:cs="Arial" w:eastAsia="Arial" w:hAnsi="Arial"/>
          <w:sz w:val="16"/>
          <w:szCs w:val="16"/>
          <w:i w:val="1"/>
          <w:iCs w:val="1"/>
          <w:u w:val="single" w:color="auto"/>
          <w:color w:val="auto"/>
        </w:rPr>
        <w:t>ME*4I2E*4I2E*4I2E*4I2E*4I2E*5'#_;4U_H!]^U(Y4CJ,C]MR?Z.K/M9#4F MI2E*4K1-ZI?_`*D+79]&amp;,0?ZB,25LIT'?T(='7]U73M_D_#:RPI2E*4I46?8</w:t>
      </w:r>
    </w:p>
    <w:p>
      <w:pPr>
        <w:spacing w:after="0"/>
        <w:rPr>
          <w:sz w:val="20"/>
          <w:szCs w:val="20"/>
          <w:color w:val="auto"/>
        </w:rPr>
      </w:pPr>
      <w:r>
        <w:rPr>
          <w:rFonts w:ascii="Arial" w:cs="Arial" w:eastAsia="Arial" w:hAnsi="Arial"/>
          <w:sz w:val="15"/>
          <w:szCs w:val="15"/>
          <w:i w:val="1"/>
          <w:iCs w:val="1"/>
          <w:u w:val="single" w:color="auto"/>
          <w:color w:val="auto"/>
        </w:rPr>
        <w:t>M1#9.ZQ1]DD4C;^]01Y42*$NSTQM;JYQ!_5L[A'E3Y%UZY*&gt;KC[PH87=U9#W- MI-2+CFAS7MHSQ(U9Y(Y1:UK6M:UMUK?^?_2W4M;HMT5S2E*4I2E*4I2E*4I2</w:t>
      </w:r>
    </w:p>
    <w:p>
      <w:pPr>
        <w:spacing w:after="0"/>
        <w:rPr>
          <w:sz w:val="20"/>
          <w:szCs w:val="20"/>
          <w:color w:val="auto"/>
        </w:rPr>
      </w:pPr>
      <w:r>
        <w:rPr>
          <w:rFonts w:ascii="Arial" w:cs="Arial" w:eastAsia="Arial" w:hAnsi="Arial"/>
          <w:sz w:val="16"/>
          <w:szCs w:val="16"/>
          <w:i w:val="1"/>
          <w:iCs w:val="1"/>
          <w:u w:val="single" w:color="auto"/>
          <w:color w:val="auto"/>
        </w:rPr>
        <w:t>ME*4I2E*4I2E*4I2E*4I2E*4I4B%:T*&lt;*-J1KU9EP%0I;K1C8Q2W*$9?6:-FR%KDJ$+A!&amp;O(G&amp;_@J]GIRSB M!,YCMV\0:W&lt;-9JF\RJ]D]]^&amp;@Y MW:K:(-'%</w:t>
      </w:r>
    </w:p>
    <w:p>
      <w:pPr>
        <w:spacing w:after="0"/>
        <w:rPr>
          <w:sz w:val="20"/>
          <w:szCs w:val="20"/>
          <w:color w:val="auto"/>
        </w:rPr>
      </w:pPr>
      <w:r>
        <w:rPr>
          <w:rFonts w:ascii="Arial" w:cs="Arial" w:eastAsia="Arial" w:hAnsi="Arial"/>
          <w:sz w:val="15"/>
          <w:szCs w:val="15"/>
          <w:i w:val="1"/>
          <w:iCs w:val="1"/>
          <w:u w:val="single" w:color="auto"/>
          <w:color w:val="auto"/>
        </w:rPr>
        <w:t>[N*&amp;UAZ4].8P\)6G!&gt;X!X6ISPT_*;?W\D\M3GAI^4V_OY)Y:G/#3\IM_?R3RU.&gt;&amp;GY3;^_D MGEJ&lt;\-/RFW]_)/+4YX:?E-O[^2&gt;6ISPT_*;?W\D\M3GAI^4V_OY)Y:G/#3\I</w:t>
      </w:r>
    </w:p>
    <w:p>
      <w:pPr>
        <w:spacing w:after="0"/>
        <w:rPr>
          <w:sz w:val="20"/>
          <w:szCs w:val="20"/>
          <w:color w:val="auto"/>
        </w:rPr>
      </w:pPr>
      <w:r>
        <w:rPr>
          <w:rFonts w:ascii="Arial" w:cs="Arial" w:eastAsia="Arial" w:hAnsi="Arial"/>
          <w:sz w:val="16"/>
          <w:szCs w:val="16"/>
          <w:i w:val="1"/>
          <w:iCs w:val="1"/>
          <w:u w:val="single" w:color="auto"/>
          <w:color w:val="auto"/>
        </w:rPr>
        <w:t>MM_?R3RU.&gt;&amp;GY3;^_DGEJ&lt;\-/RFW]_)/+4YX:?E-O[^2&gt;6ISPT_*;?W\D\M3G MAI^4V_OY)Y:G/#3\IM_?R3RU.&gt;&amp;GY3;^_DGEJ&lt;\-/RFW]_)/+4YX:?E-O[^2</w:t>
      </w:r>
    </w:p>
    <w:p>
      <w:pPr>
        <w:spacing w:after="0" w:line="232" w:lineRule="auto"/>
        <w:rPr>
          <w:sz w:val="20"/>
          <w:szCs w:val="20"/>
          <w:color w:val="auto"/>
        </w:rPr>
      </w:pPr>
      <w:r>
        <w:rPr>
          <w:rFonts w:ascii="Arial" w:cs="Arial" w:eastAsia="Arial" w:hAnsi="Arial"/>
          <w:sz w:val="16"/>
          <w:szCs w:val="16"/>
          <w:i w:val="1"/>
          <w:iCs w:val="1"/>
          <w:u w:val="single" w:color="auto"/>
          <w:color w:val="auto"/>
        </w:rPr>
        <w:t>M&gt;6ISPT_*;?W\D\M3GAI^4V_OY)Y:G/#3\IM_?R3RU.&gt;&amp;GY3;^_DGEJ&lt;\-/RF MW]_)/+4YX:?E-O[^2&gt;6ISPT_*;?W\D\M3GAI^4V_OY)Y:G/#3\IM_?R3RU.&gt;</w:t>
      </w:r>
    </w:p>
    <w:p>
      <w:pPr>
        <w:spacing w:after="0" w:line="232" w:lineRule="auto"/>
        <w:rPr>
          <w:sz w:val="20"/>
          <w:szCs w:val="20"/>
          <w:color w:val="auto"/>
        </w:rPr>
      </w:pPr>
      <w:r>
        <w:rPr>
          <w:rFonts w:ascii="Arial" w:cs="Arial" w:eastAsia="Arial" w:hAnsi="Arial"/>
          <w:sz w:val="16"/>
          <w:szCs w:val="16"/>
          <w:i w:val="1"/>
          <w:iCs w:val="1"/>
          <w:u w:val="single" w:color="auto"/>
          <w:color w:val="auto"/>
        </w:rPr>
        <w:t>M&amp;GY3;^_DGEJ&lt;\-/RFW]_)/+4YX:?E-O[^2&gt;6ISPT_*;?W\D\M3GAI^4V_OY) MY:G/#3\IM_?R3RU.&gt;&amp;GY3;^_DGEJ&lt;\-/RFW]_)/+4YX:?E-O[^2&gt;6ISPT_*; M?</w:t>
      </w:r>
    </w:p>
    <w:p>
      <w:pPr>
        <w:spacing w:after="0" w:line="232" w:lineRule="auto"/>
        <w:rPr>
          <w:sz w:val="20"/>
          <w:szCs w:val="20"/>
          <w:color w:val="auto"/>
        </w:rPr>
      </w:pPr>
      <w:r>
        <w:rPr>
          <w:rFonts w:ascii="Arial" w:cs="Arial" w:eastAsia="Arial" w:hAnsi="Arial"/>
          <w:sz w:val="16"/>
          <w:szCs w:val="16"/>
          <w:i w:val="1"/>
          <w:iCs w:val="1"/>
          <w:u w:val="single" w:color="auto"/>
          <w:color w:val="auto"/>
        </w:rPr>
        <w:t>W\D\M3GAI^4V_OY)Y:G/#3\IM_?R3RU.&gt;&amp;GY3;^_DGEJ&lt;\-/RFW]_)/+4YX M:?E-O[^2&gt;6ISPT_*;?W\D\M3GAI^4V_OY)Y:G/#3\IM_?R3RU.&gt;&amp;GY3;^_DG</w:t>
      </w:r>
    </w:p>
    <w:p>
      <w:pPr>
        <w:spacing w:after="0"/>
        <w:rPr>
          <w:sz w:val="20"/>
          <w:szCs w:val="20"/>
          <w:color w:val="auto"/>
        </w:rPr>
      </w:pPr>
      <w:r>
        <w:rPr>
          <w:rFonts w:ascii="Arial" w:cs="Arial" w:eastAsia="Arial" w:hAnsi="Arial"/>
          <w:sz w:val="15"/>
          <w:szCs w:val="15"/>
          <w:i w:val="1"/>
          <w:iCs w:val="1"/>
          <w:u w:val="single" w:color="auto"/>
          <w:color w:val="auto"/>
        </w:rPr>
        <w:t>MEJK+=&amp;TT8"BG!$888*P0%EJTPQC%?J!"`)MQ"O?W@VO?YJ[_`%:4I2E*4I2H MX?[:FO\`0#[]J1RI'49'[;D_T=6?:R&amp;I-2E*P`VB^$R]0V#2\7.V`%N&gt;(ZX2 M-K?</w:t>
      </w:r>
    </w:p>
    <w:p>
      <w:pPr>
        <w:spacing w:after="0"/>
        <w:rPr>
          <w:sz w:val="20"/>
          <w:szCs w:val="20"/>
          <w:color w:val="auto"/>
        </w:rPr>
      </w:pPr>
      <w:r>
        <w:rPr>
          <w:rFonts w:ascii="Arial" w:cs="Arial" w:eastAsia="Arial" w:hAnsi="Arial"/>
          <w:sz w:val="16"/>
          <w:szCs w:val="16"/>
          <w:i w:val="1"/>
          <w:iCs w:val="1"/>
          <w:u w:val="single" w:color="auto"/>
          <w:color w:val="auto"/>
        </w:rPr>
        <w:t>[#B,Q881EK%$SBRU`[P;*V()$^O,3-CLYCRTIR2-\MC4RCLLBHG$MT;KN MS?=V:S\7(]I'S/D;^"L@U&amp;8CC\CU(Z:Y!@#(#9M"2Y3CH&amp;1E#9"IJK?LB8P.</w:t>
      </w:r>
    </w:p>
    <w:p>
      <w:pPr>
        <w:spacing w:after="0"/>
        <w:rPr>
          <w:sz w:val="20"/>
          <w:szCs w:val="20"/>
          <w:color w:val="auto"/>
        </w:rPr>
      </w:pPr>
      <w:r>
        <w:rPr>
          <w:rFonts w:ascii="Arial" w:cs="Arial" w:eastAsia="Arial" w:hAnsi="Arial"/>
          <w:sz w:val="15"/>
          <w:szCs w:val="15"/>
          <w:i w:val="1"/>
          <w:iCs w:val="1"/>
          <w:u w:val="single" w:color="auto"/>
          <w:color w:val="auto"/>
        </w:rPr>
        <w:t>M7Q5KC^2G=XEV-"AX8R.D/8&amp;S#N40324STY(TC3(8X;3I&amp;T"Y1Q%,-$,?F8&amp;Q M!!MGQC;5[CN)2M"\-ZX_,P\]36+MN-79(RIC#G)@31W$&lt;=5JLAADUFY&gt;+)+J</w:t>
      </w:r>
    </w:p>
    <w:p>
      <w:pPr>
        <w:spacing w:after="0"/>
        <w:rPr>
          <w:sz w:val="20"/>
          <w:szCs w:val="20"/>
          <w:color w:val="auto"/>
        </w:rPr>
      </w:pPr>
      <w:r>
        <w:rPr>
          <w:rFonts w:ascii="Arial" w:cs="Arial" w:eastAsia="Arial" w:hAnsi="Arial"/>
          <w:sz w:val="16"/>
          <w:szCs w:val="16"/>
          <w:i w:val="1"/>
          <w:iCs w:val="1"/>
          <w:u w:val="single" w:color="auto"/>
          <w:color w:val="auto"/>
        </w:rPr>
        <w:t>MG;8X1(&amp;!"?)E6*7JF/2UIG-V5.NK4:;IYP@;J"!',.'`SD9BJ#CR^`TK,V)8 MB48')`F2\P"87%;_`(-`'9XM&lt;##O:`[D'\16YW0:47;1!HX"$L`0ATJ:=0A"</w:t>
      </w:r>
    </w:p>
    <w:p>
      <w:pPr>
        <w:spacing w:after="0"/>
        <w:rPr>
          <w:sz w:val="20"/>
          <w:szCs w:val="20"/>
          <w:color w:val="auto"/>
        </w:rPr>
      </w:pPr>
      <w:r>
        <w:rPr>
          <w:rFonts w:ascii="Arial" w:cs="Arial" w:eastAsia="Arial" w:hAnsi="Arial"/>
          <w:sz w:val="15"/>
          <w:szCs w:val="15"/>
          <w:i w:val="1"/>
          <w:iCs w:val="1"/>
          <w:u w:val="single" w:color="auto"/>
          <w:color w:val="auto"/>
        </w:rPr>
        <w:t>M$`;!"$.'H;8(0VW;K!#:UK6M;HM:UK&gt;Y66'%`^"'Z@/%IQ0/@A^H#Q:&lt;4#X( M?J`\6G%`^"'Z@/%IQ0/@A^H#Q:&lt;4#X(?J`\6G%`^"'Z@/%IQ0/@A^H#Q:&lt;4# MX(?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J`\6G%`^"'Z@/%IQ0/@A^H#Q:&lt;4#X(?J`\6G%`^"'Z@/%IQ0/@A^H#Q:&lt; M4#X(?J`\6G%`^"'Z@/%IQ0/@A^H#Q:&lt;4#X(?J`\6G%`^"'Z@/%IQ0/@A^H#Q M:&lt;4#X(?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J`\6G%`^"'Z@/%IQ0/@A^H#Q:&lt;4#X(?J`\6G%`^"'Z@/%IQ0/@A^H M#Q:&lt;4#X(?J`\6G%`^"'Z@/%IQ0/@A^H#Q:&lt;4#X(?J`\6G%`^"'Z@/%IQ0/@A M^H#Q:&lt;4#X(?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J`\6G%`^"'Z@/%IQ0/@A^H#Q:&lt;4#X(?J`\6G%`^"'Z@/%IQ0/ M@A^H#Q:&lt;4#X(?J`\6G%`^"'Z@/%IQ0/@A^H#Q:&lt;4#X(?J`\6G%`^"'Z@/%IQ M0/@A^H#Q:&lt;4#X(?</w:t>
      </w:r>
    </w:p>
    <w:p>
      <w:pPr>
        <w:spacing w:after="0"/>
        <w:rPr>
          <w:sz w:val="20"/>
          <w:szCs w:val="20"/>
          <w:color w:val="auto"/>
        </w:rPr>
      </w:pPr>
      <w:r>
        <w:rPr>
          <w:rFonts w:ascii="Arial" w:cs="Arial" w:eastAsia="Arial" w:hAnsi="Arial"/>
          <w:sz w:val="16"/>
          <w:szCs w:val="16"/>
          <w:i w:val="1"/>
          <w:iCs w:val="1"/>
          <w:u w:val="single" w:color="auto"/>
          <w:color w:val="auto"/>
        </w:rPr>
        <w:t>J`\6G%`^"'Z@/%IQ0/@A^H#Q:YL6"U[7L$-KV_P"R&amp;W_( M.^JZ4I2E*4I2HX?[:FO]`/OVI'*D=1D?MN3_`$=6?:R&amp;I-2E*;J;J5HF]4O_ M`-2%KL^C&amp;</w:t>
      </w:r>
    </w:p>
    <w:p>
      <w:pPr>
        <w:spacing w:after="0" w:line="232" w:lineRule="auto"/>
        <w:rPr>
          <w:sz w:val="20"/>
          <w:szCs w:val="20"/>
          <w:color w:val="auto"/>
        </w:rPr>
      </w:pPr>
      <w:r>
        <w:rPr>
          <w:rFonts w:ascii="Arial" w:cs="Arial" w:eastAsia="Arial" w:hAnsi="Arial"/>
          <w:sz w:val="16"/>
          <w:szCs w:val="16"/>
          <w:i w:val="1"/>
          <w:iCs w:val="1"/>
          <w:u w:val="single" w:color="auto"/>
          <w:color w:val="auto"/>
        </w:rPr>
        <w:t>(/]1&amp;)*V4Z#OZ$.CK^ZKIV_R?AM984I2E*4I2E*4I2E*4I2E*4I M2E*4I2E*4I2E*4I2E*4I2E*4I2E1P_VU-?Z`??M2.5(ZC(_;J7_ZD+79]&amp;,0?ZB,25LIT'?</w:t>
      </w:r>
    </w:p>
    <w:p>
      <w:pPr>
        <w:spacing w:after="0" w:line="232" w:lineRule="auto"/>
        <w:rPr>
          <w:sz w:val="20"/>
          <w:szCs w:val="20"/>
          <w:color w:val="auto"/>
        </w:rPr>
      </w:pPr>
      <w:r>
        <w:rPr>
          <w:rFonts w:ascii="Arial" w:cs="Arial" w:eastAsia="Arial" w:hAnsi="Arial"/>
          <w:sz w:val="16"/>
          <w:szCs w:val="16"/>
          <w:i w:val="1"/>
          <w:iCs w:val="1"/>
          <w:u w:val="single" w:color="auto"/>
          <w:color w:val="auto"/>
        </w:rPr>
        <w:t>T(='7]U73M_D_#:RPI2E*4I2E*4I2 ME*4I2E*4I2E*4I2E*4I2E*4I2E*4I2E*4I2E*CA_MJ:_T`^_:DFJ-YR9,XR73K.W!4V&amp;L^8F#3I/&amp;N`9,&lt;$#&gt; MF-</w:t>
      </w:r>
    </w:p>
    <w:p>
      <w:pPr>
        <w:spacing w:after="0" w:line="232" w:lineRule="auto"/>
        <w:rPr>
          <w:sz w:val="20"/>
          <w:szCs w:val="20"/>
          <w:color w:val="auto"/>
        </w:rPr>
      </w:pPr>
      <w:r>
        <w:rPr>
          <w:rFonts w:ascii="Arial" w:cs="Arial" w:eastAsia="Arial" w:hAnsi="Arial"/>
          <w:sz w:val="16"/>
          <w:szCs w:val="16"/>
          <w:i w:val="1"/>
          <w:iCs w:val="1"/>
          <w:u w:val="single" w:color="auto"/>
          <w:color w:val="auto"/>
        </w:rPr>
        <w:t>NZ1WC5+VU2^#IW0!YDOQXJ,DEKLZU$O8TWYYO5-.UMT/HM(&amp;N;9DJ8R`7GH6:\.#84"$%TN.[M8(5/^R[[G#^(M&lt;72</w:t>
      </w:r>
    </w:p>
    <w:p>
      <w:pPr>
        <w:spacing w:after="0" w:line="232" w:lineRule="auto"/>
        <w:rPr>
          <w:sz w:val="20"/>
          <w:szCs w:val="20"/>
          <w:color w:val="auto"/>
        </w:rPr>
      </w:pPr>
      <w:r>
        <w:rPr>
          <w:rFonts w:ascii="Arial" w:cs="Arial" w:eastAsia="Arial" w:hAnsi="Arial"/>
          <w:sz w:val="16"/>
          <w:szCs w:val="16"/>
          <w:i w:val="1"/>
          <w:iCs w:val="1"/>
          <w:u w:val="single" w:color="auto"/>
          <w:color w:val="auto"/>
        </w:rPr>
        <w:t>MKZJ#V.F*],.G'&amp;4QU!3A!+L=X$PW!94A3X`S.XD(9+$&lt;&lt;1J/OR(E&gt;CB0TBTM M([-ZQ.!6D,.2*0E6.3''$#+-'?S\;`V*/YQL^_9SS?\`NA3\;`V*/YQL^_9S MS?</w:t>
      </w:r>
    </w:p>
    <w:p>
      <w:pPr>
        <w:spacing w:after="0" w:line="232" w:lineRule="auto"/>
        <w:rPr>
          <w:sz w:val="20"/>
          <w:szCs w:val="20"/>
          <w:color w:val="auto"/>
        </w:rPr>
      </w:pPr>
      <w:r>
        <w:rPr>
          <w:rFonts w:ascii="Arial" w:cs="Arial" w:eastAsia="Arial" w:hAnsi="Arial"/>
          <w:sz w:val="16"/>
          <w:szCs w:val="16"/>
          <w:i w:val="1"/>
          <w:iCs w:val="1"/>
          <w:u w:val="single" w:color="auto"/>
          <w:color w:val="auto"/>
        </w:rPr>
        <w:t>\`NA3\;`V*/YQL^_9SS?\`NA3\;`V*/YQL^_9SS?\`NA3\;`V*/YQL^_9S MS?\`NA3\;`V*/YQL^_9SS?\`NA3\;`V*/YQL^_9SS?\`NA3\;`V*/YQL^_9S MS?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\`NA7/XV!L4;__`#&amp;S_HZO_LYYOZ/_`*0KC\;`V*/YQL^_9SS?^Z%/QL#8 MH_G&amp;S[]G/-_[H4_&amp;P-BC^&lt;;/OV&lt;\W_NA3\;`V*/YQL^_9SS?^Z%/QL#8H_G&amp; MS[]G/-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_[H4_&amp;P-BC^&lt;;/OV&lt;\W_NA3\;`V*/YQL^_9SS?^Z%/QL#8H_G&amp;S[]G M/-_[H4_&amp;P-BC^&lt;;/OV&lt;\W_NA7/XV!L4=V_\`A&amp;S_`'&gt;__!SS?N__`,A7'XV! ML4?SC9]^SGF_]T*?</w:t>
      </w:r>
    </w:p>
    <w:p>
      <w:pPr>
        <w:spacing w:after="0"/>
        <w:rPr>
          <w:sz w:val="20"/>
          <w:szCs w:val="20"/>
          <w:color w:val="auto"/>
        </w:rPr>
      </w:pPr>
      <w:r>
        <w:rPr>
          <w:rFonts w:ascii="Arial" w:cs="Arial" w:eastAsia="Arial" w:hAnsi="Arial"/>
          <w:sz w:val="16"/>
          <w:szCs w:val="16"/>
          <w:i w:val="1"/>
          <w:iCs w:val="1"/>
          <w:u w:val="single" w:color="auto"/>
          <w:color w:val="auto"/>
        </w:rPr>
        <w:t>C8&amp;Q1_.-GW[.&gt;;_W0I^-@;%'\XV??LYYO_="GXV!L4?S MC9]^SGF_]T*?C8&amp;Q1_.-GW[.&gt;;_W0I^-@;%'\XV??LYYO_="GXV!L4?SC9]^ MSGF_]T*?C8&amp;Q1_.-</w:t>
      </w:r>
    </w:p>
    <w:p>
      <w:pPr>
        <w:spacing w:after="0"/>
        <w:rPr>
          <w:sz w:val="20"/>
          <w:szCs w:val="20"/>
          <w:color w:val="auto"/>
        </w:rPr>
      </w:pPr>
      <w:r>
        <w:rPr>
          <w:rFonts w:ascii="Arial" w:cs="Arial" w:eastAsia="Arial" w:hAnsi="Arial"/>
          <w:sz w:val="15"/>
          <w:szCs w:val="15"/>
          <w:i w:val="1"/>
          <w:iCs w:val="1"/>
          <w:u w:val="single" w:color="auto"/>
          <w:color w:val="auto"/>
        </w:rPr>
        <w:t>GW[.&gt;;_W0I^-@;%'\XV??LYYO_="N?QL#8HV_P#F-G_3 MU/\`V&lt;\W]/\`](5Q^-@;%'\XV??LYYO_`'0I^-@;%'\XV??LYYO_`'0I^-@; M%'\XV??LYYO_`'0I^-@;%'\XV??</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LYYO_`'0I^-@;%'\XV??LYYO_`'0I^-@; M%'\XV??LYYO_`'0I^-@;%'\XV??LYYO_`'0I^-@;%'\XV??LYYO_`'0I^-@; M%'\XV??LYYO_`'0I^-@;%&amp;W1?4;/K7_NYYO_`'0I^-</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@;%'\XV??LYYO_`'0I M^-@;%'\XV??LYYO_`'0I^-@;%'\XV??LYYO_`'0I^-@;%'\XV??LYYO_`'0I M^-@;%'\XV??LYYO_`'0I^-@;%'\XV??LYYO_`'0I^-@;%'\XV??</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LYYO_`'0I M^-@;%'\XV??LYYO_`'0KL)/56^Q76JDZ-/J+GPSU1Y*8D'\'7-P&gt;$:H-`26&amp; MXA1&amp;P0VN,8;7O&gt;^ZUNFOT&lt;%&amp;!.+`:"^\!@`&amp;`O&gt;UP[PC"$8;[K]-M]A6Z+[K</w:t>
      </w:r>
    </w:p>
    <w:p>
      <w:pPr>
        <w:spacing w:after="0"/>
        <w:rPr>
          <w:sz w:val="20"/>
          <w:szCs w:val="20"/>
          <w:color w:val="auto"/>
        </w:rPr>
      </w:pPr>
      <w:r>
        <w:rPr>
          <w:rFonts w:ascii="Arial" w:cs="Arial" w:eastAsia="Arial" w:hAnsi="Arial"/>
          <w:sz w:val="16"/>
          <w:szCs w:val="16"/>
          <w:i w:val="1"/>
          <w:iCs w:val="1"/>
          <w:u w:val="single" w:color="auto"/>
          <w:color w:val="auto"/>
        </w:rPr>
        <w:t>MVZE^I7TI2E*4I2E1P_VU-?Z`??M2.5(ZC(_;_IYHWR:2IHE*X@UNKAX6ES9[3/#,XTCH9.\1TS&amp;N@B":K&lt;&gt; M867,SFX*Y'D5MU"S2-</w:t>
      </w:r>
    </w:p>
    <w:p>
      <w:pPr>
        <w:spacing w:after="0" w:line="232" w:lineRule="auto"/>
        <w:rPr>
          <w:sz w:val="20"/>
          <w:szCs w:val="20"/>
          <w:color w:val="auto"/>
        </w:rPr>
      </w:pPr>
      <w:r>
        <w:rPr>
          <w:rFonts w:ascii="Arial" w:cs="Arial" w:eastAsia="Arial" w:hAnsi="Arial"/>
          <w:sz w:val="16"/>
          <w:szCs w:val="16"/>
          <w:i w:val="1"/>
          <w:iCs w:val="1"/>
          <w:u w:val="single" w:color="auto"/>
          <w:color w:val="auto"/>
        </w:rPr>
        <w:t>_@8Y2QL4M*-/&amp;C&lt;&lt;8DCOX+/Z4MR&gt;QRN&lt;.BA^0*$#.W M$@7W&amp;VJNSV;-H3HLU"Z&lt;8H;CO'N4,S-,*0-F6I)"$SVI9#HI/H=*S#EBMJ2D</w:t>
      </w:r>
    </w:p>
    <w:p>
      <w:pPr>
        <w:spacing w:after="0"/>
        <w:rPr>
          <w:sz w:val="20"/>
          <w:szCs w:val="20"/>
          <w:color w:val="auto"/>
        </w:rPr>
      </w:pPr>
      <w:r>
        <w:rPr>
          <w:rFonts w:ascii="Arial" w:cs="Arial" w:eastAsia="Arial" w:hAnsi="Arial"/>
          <w:sz w:val="15"/>
          <w:szCs w:val="15"/>
          <w:i w:val="1"/>
          <w:iCs w:val="1"/>
          <w:u w:val="single" w:color="auto"/>
          <w:color w:val="auto"/>
        </w:rPr>
        <w:t>MR5192T1@YC($F&lt;.&amp;06K*"*PTA8R!Y#8%TE8MQ/@[#.+'^`8ND[YC3$V-L&gt;O$ MC+QY&amp;0%O[I"86R1A&gt;]%EN#4H6EENJIK-7%EJSSE)8#[`/-&amp;8$5ZNSZQ6%OR2</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M8Q_5[#?0E/6*PM^23&amp;/ZO8;Z$IZQ6%OR28Q_5[#?0E/6*PM^23&amp;/ZO8;Z$IZ MQ6%OR28Q_5[#?0E/6*PM^23&amp;/ZO8;Z$IZQ6%OR28Q_5[#?0E/6*PM^23&amp;/ZO</w:t>
      </w:r>
    </w:p>
    <w:p>
      <w:pPr>
        <w:spacing w:after="0"/>
        <w:rPr>
          <w:sz w:val="20"/>
          <w:szCs w:val="20"/>
          <w:color w:val="auto"/>
        </w:rPr>
      </w:pPr>
      <w:r>
        <w:rPr>
          <w:rFonts w:ascii="Arial" w:cs="Arial" w:eastAsia="Arial" w:hAnsi="Arial"/>
          <w:sz w:val="16"/>
          <w:szCs w:val="16"/>
          <w:i w:val="1"/>
          <w:iCs w:val="1"/>
          <w:u w:val="single" w:color="auto"/>
          <w:color w:val="auto"/>
        </w:rPr>
        <w:t>M8;Z$K5KKSV33/JQU-;-O.,#58EQG&amp;]%.H)XR]D:(J,;IC#LL,+BH@"@B,I3&amp; M)*B;B#4_X'K07$_D*T-^=;#`#^*-+-VD`P3A&gt;P0VOB3&amp;.^UK6_\`N^AW_BR;</w:t>
      </w:r>
    </w:p>
    <w:p>
      <w:pPr>
        <w:spacing w:after="0" w:line="232" w:lineRule="auto"/>
        <w:rPr>
          <w:sz w:val="20"/>
          <w:szCs w:val="20"/>
          <w:color w:val="auto"/>
        </w:rPr>
      </w:pPr>
      <w:r>
        <w:rPr>
          <w:rFonts w:ascii="Arial" w:cs="Arial" w:eastAsia="Arial" w:hAnsi="Arial"/>
          <w:sz w:val="16"/>
          <w:szCs w:val="16"/>
          <w:i w:val="1"/>
          <w:iCs w:val="1"/>
          <w:u w:val="single" w:color="auto"/>
          <w:color w:val="auto"/>
        </w:rPr>
        <w:t>M^W57K%86_))C']7L-]"4]8K"WY),8_J]AOH2GK%86_))C']7L-]"4]8K"WY) M,8_J]AOH2GK%86_))C']7L-]"4]8K"WY),8_J]AOH2GK%86_))C']7L-]"4O</w:t>
      </w:r>
    </w:p>
    <w:p>
      <w:pPr>
        <w:spacing w:after="0" w:line="232" w:lineRule="auto"/>
        <w:rPr>
          <w:sz w:val="20"/>
          <w:szCs w:val="20"/>
          <w:color w:val="auto"/>
        </w:rPr>
      </w:pPr>
      <w:r>
        <w:rPr>
          <w:rFonts w:ascii="Arial" w:cs="Arial" w:eastAsia="Arial" w:hAnsi="Arial"/>
          <w:sz w:val="16"/>
          <w:szCs w:val="16"/>
          <w:i w:val="1"/>
          <w:iCs w:val="1"/>
          <w:u w:val="single" w:color="auto"/>
          <w:color w:val="auto"/>
        </w:rPr>
        <w:t>M@K"WY),8_J^AWH2M6&gt;+-DTSP+:R:G-H*[*L2O&gt;*X7C.$@XW366P^11 M#UM;+Y4:H5)3(P,IR#!U]@%MS&gt;2N_P!L!L&lt;9:Q)USMIGK%86_))C']7L-]"4</w:t>
      </w:r>
    </w:p>
    <w:p>
      <w:pPr>
        <w:spacing w:after="0" w:line="232" w:lineRule="auto"/>
        <w:rPr>
          <w:sz w:val="20"/>
          <w:szCs w:val="20"/>
          <w:color w:val="auto"/>
        </w:rPr>
      </w:pPr>
      <w:r>
        <w:rPr>
          <w:rFonts w:ascii="Arial" w:cs="Arial" w:eastAsia="Arial" w:hAnsi="Arial"/>
          <w:sz w:val="16"/>
          <w:szCs w:val="16"/>
          <w:i w:val="1"/>
          <w:iCs w:val="1"/>
          <w:u w:val="single" w:color="auto"/>
          <w:color w:val="auto"/>
        </w:rPr>
        <w:t>M]8K"WY),8_J]AOH2GK%86_))C']7L-]"4]8K"WY),8_J]AOH2GK%86_))C'] M7L-]"4]8K"WY),8_J]AOH2GK%86_))C']7L-]"4]8K"WY),8_J]AOH2N!8*P</w:t>
      </w:r>
    </w:p>
    <w:p>
      <w:pPr>
        <w:spacing w:after="0" w:line="232" w:lineRule="auto"/>
        <w:rPr>
          <w:sz w:val="20"/>
          <w:szCs w:val="20"/>
          <w:color w:val="auto"/>
        </w:rPr>
      </w:pPr>
      <w:r>
        <w:rPr>
          <w:rFonts w:ascii="Arial" w:cs="Arial" w:eastAsia="Arial" w:hAnsi="Arial"/>
          <w:sz w:val="16"/>
          <w:szCs w:val="16"/>
          <w:i w:val="1"/>
          <w:iCs w:val="1"/>
          <w:u w:val="single" w:color="auto"/>
          <w:color w:val="auto"/>
        </w:rPr>
        <w:t>MMNO_`/9)C']7L._\&amp;3?6K70-LFF?23J.VC^9YXJQ+DR.:TM1Z;-&amp;.HFFQNF) M,Q1'2%&lt;^4WBJH3ZE6-QQUPR](58QA(2(+\V"%G4%ER-O7/(;(D,A2M=</w:t>
      </w:r>
    </w:p>
    <w:p>
      <w:pPr>
        <w:spacing w:after="0" w:line="232" w:lineRule="auto"/>
        <w:rPr>
          <w:sz w:val="20"/>
          <w:szCs w:val="20"/>
          <w:color w:val="auto"/>
        </w:rPr>
      </w:pPr>
      <w:r>
        <w:rPr>
          <w:rFonts w:ascii="Arial" w:cs="Arial" w:eastAsia="Arial" w:hAnsi="Arial"/>
          <w:sz w:val="16"/>
          <w:szCs w:val="16"/>
          <w:i w:val="1"/>
          <w:iCs w:val="1"/>
          <w:u w:val="single" w:color="auto"/>
          <w:color w:val="auto"/>
        </w:rPr>
        <w:t>[KE(S!B0W,+"62(LL.=GK%86_))C'] M7L-]"4]8K"WY),8_J]AOH2GK%86_))C']7L-]"4]8K"WY),8_J]AOH2GK%86</w:t>
      </w:r>
    </w:p>
    <w:p>
      <w:pPr>
        <w:spacing w:after="0" w:line="232" w:lineRule="auto"/>
        <w:rPr>
          <w:sz w:val="20"/>
          <w:szCs w:val="20"/>
          <w:color w:val="auto"/>
        </w:rPr>
      </w:pPr>
      <w:r>
        <w:rPr>
          <w:rFonts w:ascii="Arial" w:cs="Arial" w:eastAsia="Arial" w:hAnsi="Arial"/>
          <w:sz w:val="16"/>
          <w:szCs w:val="16"/>
          <w:i w:val="1"/>
          <w:iCs w:val="1"/>
          <w:u w:val="single" w:color="auto"/>
          <w:color w:val="auto"/>
        </w:rPr>
        <w:t>M_))C']7L-]"4]8K"WY),8_J]AOH2GK%86_))C']7L-]"4]8K"WY),8_J]AOH M2M6NUVV3C3M$-+3%@;$2S$^"I0U9QQAE,^9K,</w:t>
      </w:r>
    </w:p>
    <w:p>
      <w:pPr>
        <w:spacing w:after="0" w:line="233" w:lineRule="auto"/>
        <w:rPr>
          <w:sz w:val="20"/>
          <w:szCs w:val="20"/>
          <w:color w:val="auto"/>
        </w:rPr>
      </w:pPr>
      <w:r>
        <w:rPr>
          <w:rFonts w:ascii="Arial" w:cs="Arial" w:eastAsia="Arial" w:hAnsi="Arial"/>
          <w:sz w:val="16"/>
          <w:szCs w:val="16"/>
          <w:i w:val="1"/>
          <w:iCs w:val="1"/>
          <w:u w:val="single" w:color="auto"/>
          <w:color w:val="auto"/>
        </w:rPr>
        <w:t>&lt;)CRE#-!K2(+BP!+B25L_3T6W]%KWOT&gt;]:W M3&gt;_S51&lt;8+7M:]K[[_P#8O?=[E^%&gt;UO8_/O\`&gt;O[UZ"-`&amp;_!O&gt;]Q;K"X(;7$+ M@WO&gt;UA;@[[\&amp;]</w:t>
      </w:r>
    </w:p>
    <w:p>
      <w:pPr>
        <w:spacing w:after="0" w:line="232" w:lineRule="auto"/>
        <w:rPr>
          <w:sz w:val="20"/>
          <w:szCs w:val="20"/>
          <w:color w:val="auto"/>
        </w:rPr>
      </w:pPr>
      <w:r>
        <w:rPr>
          <w:rFonts w:ascii="Arial" w:cs="Arial" w:eastAsia="Arial" w:hAnsi="Arial"/>
          <w:sz w:val="16"/>
          <w:szCs w:val="16"/>
          <w:i w:val="1"/>
          <w:iCs w:val="1"/>
          <w:u w:val="single" w:color="auto"/>
          <w:color w:val="auto"/>
        </w:rPr>
        <w:t>[7MPMV[?;=OW]%5&lt;*V_=T]3?OW7W6M\]^I:_O6ZOS53QH-] MP[[WO:]K"L&amp;UQ&lt;'?;A6X7!W\'HOOWBW;[=-M]NFJN&amp;'?NW^_T_\`5Z+6O?IZ</w:t>
      </w:r>
    </w:p>
    <w:p>
      <w:pPr>
        <w:spacing w:after="0"/>
        <w:rPr>
          <w:sz w:val="20"/>
          <w:szCs w:val="20"/>
          <w:color w:val="auto"/>
        </w:rPr>
      </w:pPr>
      <w:r>
        <w:rPr>
          <w:rFonts w:ascii="Arial" w:cs="Arial" w:eastAsia="Arial" w:hAnsi="Arial"/>
          <w:sz w:val="15"/>
          <w:szCs w:val="15"/>
          <w:i w:val="1"/>
          <w:iCs w:val="1"/>
          <w:u w:val="single" w:color="auto"/>
          <w:color w:val="auto"/>
        </w:rPr>
        <w:t>MG1:__"_O7KCC`[KW]ET;NC@WX73NW;@VMOOOW^Y;J]6JZ4KB][6ZN_J[NBU[ M_P"-]UNBWOWOT53Q@&gt;%N+&amp;@$+@VO&gt;]^% M&lt;.^UKW#80&gt;B]KBM:]K"M?</w:t>
      </w:r>
    </w:p>
    <w:p>
      <w:pPr>
        <w:spacing w:after="0"/>
        <w:rPr>
          <w:sz w:val="20"/>
          <w:szCs w:val="20"/>
          <w:color w:val="auto"/>
        </w:rPr>
      </w:pPr>
      <w:r>
        <w:rPr>
          <w:rFonts w:ascii="Arial" w:cs="Arial" w:eastAsia="Arial" w:hAnsi="Arial"/>
          <w:sz w:val="16"/>
          <w:szCs w:val="16"/>
          <w:i w:val="1"/>
          <w:iCs w:val="1"/>
          <w:u w:val="single" w:color="auto"/>
          <w:color w:val="auto"/>
        </w:rPr>
        <w:t>HN&amp;][7M?JVMOM57"MT]7HO:V_=&gt;UK[[;^B_N_X; M_&gt;ZO15(30#W&lt;&amp;^^U[;["W7X%_P"P?\V_^%[]2_NVONYXP/S^YNM&gt;U[7OOZE[ M6OTW_P##=??</w:t>
      </w:r>
    </w:p>
    <w:p>
      <w:pPr>
        <w:spacing w:after="0" w:line="232" w:lineRule="auto"/>
        <w:rPr>
          <w:sz w:val="20"/>
          <w:szCs w:val="20"/>
          <w:color w:val="auto"/>
        </w:rPr>
      </w:pPr>
      <w:r>
        <w:rPr>
          <w:rFonts w:ascii="Arial" w:cs="Arial" w:eastAsia="Arial" w:hAnsi="Arial"/>
          <w:sz w:val="16"/>
          <w:szCs w:val="16"/>
          <w:i w:val="1"/>
          <w:iCs w:val="1"/>
          <w:u w:val="single" w:color="auto"/>
          <w:color w:val="auto"/>
        </w:rPr>
        <w:t>NIQ@&gt;C^=T^[P1;K?]Z^[&lt;'_\`=NJOJTI5/"M:^Z^^W1OWWM?= MN_MW;M_S=7HOT538T'!N*][AL&amp;U[WX5K@W6M:][B]EN]C;=???J6W7W]2]V[?[$6[&lt;+HZ?</w:t>
      </w:r>
    </w:p>
    <w:p>
      <w:pPr>
        <w:spacing w:after="0" w:line="232" w:lineRule="auto"/>
        <w:rPr>
          <w:sz w:val="20"/>
          <w:szCs w:val="20"/>
          <w:color w:val="auto"/>
        </w:rPr>
      </w:pPr>
      <w:r>
        <w:rPr>
          <w:rFonts w:ascii="Arial" w:cs="Arial" w:eastAsia="Arial" w:hAnsi="Arial"/>
          <w:sz w:val="16"/>
          <w:szCs w:val="16"/>
          <w:i w:val="1"/>
          <w:iCs w:val="1"/>
          <w:u w:val="single" w:color="auto"/>
          <w:color w:val="auto"/>
        </w:rPr>
        <w:t>8WOT=-M]J7,"$/"%?@VZ/YWL=V^_!MOX M6[=OO?=;?[NZW5O;&gt;L8&amp;]KW]E;=?=NN$5KWOOW6W6O:U[]/1T?X[J&lt;8'HZOS M]%_8].</w:t>
      </w:r>
    </w:p>
    <w:p>
      <w:pPr>
        <w:spacing w:after="0" w:line="232" w:lineRule="auto"/>
        <w:rPr>
          <w:sz w:val="20"/>
          <w:szCs w:val="20"/>
          <w:color w:val="auto"/>
        </w:rPr>
      </w:pPr>
      <w:r>
        <w:rPr>
          <w:rFonts w:ascii="Arial" w:cs="Arial" w:eastAsia="Arial" w:hAnsi="Arial"/>
          <w:sz w:val="16"/>
          <w:szCs w:val="16"/>
          <w:i w:val="1"/>
          <w:iCs w:val="1"/>
          <w:u w:val="single" w:color="auto"/>
          <w:color w:val="auto"/>
        </w:rPr>
        <w:t>[V7O=/O^]&gt;_4M&gt;EAAO&gt;]NGH]VX16#?W]PKVW7W&gt;[NO\_4M5=*53&lt;=K M&lt;+?PO8_]F_3_`-WH]E[W1OZ&gt;CJU3QH+!X=[\&amp;W1:_"]CNO&gt;]K6WV%NW;[WMN</w:t>
      </w:r>
    </w:p>
    <w:p>
      <w:pPr>
        <w:spacing w:after="0"/>
        <w:rPr>
          <w:sz w:val="20"/>
          <w:szCs w:val="20"/>
          <w:color w:val="auto"/>
        </w:rPr>
      </w:pPr>
      <w:r>
        <w:rPr>
          <w:rFonts w:ascii="Arial" w:cs="Arial" w:eastAsia="Arial" w:hAnsi="Arial"/>
          <w:sz w:val="15"/>
          <w:szCs w:val="15"/>
          <w:i w:val="1"/>
          <w:iCs w:val="1"/>
          <w:u w:val="single" w:color="auto"/>
          <w:color w:val="auto"/>
        </w:rPr>
        <w:t>MW]7?;=U;;^;&amp;!O:][6%['W+@%85_=Z`WM:]_\+4$8`.[A7W&lt;*]K6M?JW%&gt;U[ MV#:W5N+=:]^#:U[WW7W6ONONXXP-[;_9&gt;[T&lt;&amp;]A=%M^^X;VWVMN]W=T[[;NK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M:N&gt;&amp;'?:WO[NG=T=.^]M]_PNF^ZUK`%&lt;71_V;6WV_QM[MO?KBYH`[K7OTWM&gt;X;6Z;BL'=OX(;&gt;R MONWVW[K7W;]]]UNFJN':_!Z!&gt;RONW&lt;&amp;^^W_&gt;MNWAW&gt;</w:t>
      </w:r>
    </w:p>
    <w:p>
      <w:pPr>
        <w:spacing w:after="0"/>
        <w:rPr>
          <w:sz w:val="20"/>
          <w:szCs w:val="20"/>
          <w:color w:val="auto"/>
        </w:rPr>
      </w:pPr>
      <w:r>
        <w:rPr>
          <w:rFonts w:ascii="Arial" w:cs="Arial" w:eastAsia="Arial" w:hAnsi="Arial"/>
          <w:sz w:val="16"/>
          <w:szCs w:val="16"/>
          <w:i w:val="1"/>
          <w:iCs w:val="1"/>
          <w:u w:val="single" w:color="auto"/>
          <w:color w:val="auto"/>
        </w:rPr>
        <w:t>[OW&gt;Y[]4W-!:_!WWN+ M=87!#:XA;KWO:U^"'??=&gt;]KVWWMNW]&amp;_A=%5&lt;,/1U&gt;G=TVM?=;?T6WWZEM__ M`*UQ88;[^KT6O?J7Z;6O&gt;V^WO]-</w:t>
      </w:r>
    </w:p>
    <w:p>
      <w:pPr>
        <w:spacing w:after="0"/>
        <w:rPr>
          <w:sz w:val="20"/>
          <w:szCs w:val="20"/>
          <w:color w:val="auto"/>
        </w:rPr>
      </w:pPr>
      <w:r>
        <w:rPr>
          <w:rFonts w:ascii="Arial" w:cs="Arial" w:eastAsia="Arial" w:hAnsi="Arial"/>
          <w:sz w:val="15"/>
          <w:szCs w:val="15"/>
          <w:i w:val="1"/>
          <w:iCs w:val="1"/>
          <w:u w:val="single" w:color="auto"/>
          <w:color w:val="auto"/>
        </w:rPr>
        <w:t>O]^U:U__`#U:IN8&amp;PN#T[_?X-[AMOZF\6[@VW]'5O[MO M?M7'&amp;@W\'?&gt;][;M]@VN*X&gt;%;?:XK!WW#:]NFUQ;M^Z^[?NONJX5M][=/1:U] M^Z^[IZEN%U-_S;^BW3?</w:t>
      </w:r>
    </w:p>
    <w:p>
      <w:pPr>
        <w:spacing w:after="0"/>
        <w:rPr>
          <w:sz w:val="20"/>
          <w:szCs w:val="20"/>
          <w:color w:val="auto"/>
        </w:rPr>
      </w:pPr>
      <w:r>
        <w:rPr>
          <w:rFonts w:ascii="Arial" w:cs="Arial" w:eastAsia="Arial" w:hAnsi="Arial"/>
          <w:sz w:val="16"/>
          <w:szCs w:val="16"/>
          <w:i w:val="1"/>
          <w:iCs w:val="1"/>
          <w:u w:val="single" w:color="auto"/>
          <w:color w:val="auto"/>
        </w:rPr>
        <w:t>HJFQH+WW6O&gt;_3&lt;-[VM&gt;X;7#?=&gt;PA6WV#&gt;U^B]A7M&gt; MU^K:V^U&lt;\8'IZO1O]R_3NONOP??OOZ.CJ^YOIQ@=V_IZM[;MU^%OM[EK6Z;W</w:t>
      </w:r>
    </w:p>
    <w:p>
      <w:pPr>
        <w:spacing w:after="0"/>
        <w:rPr>
          <w:sz w:val="20"/>
          <w:szCs w:val="20"/>
          <w:color w:val="auto"/>
        </w:rPr>
      </w:pPr>
      <w:r>
        <w:rPr>
          <w:rFonts w:ascii="Arial" w:cs="Arial" w:eastAsia="Arial" w:hAnsi="Arial"/>
          <w:sz w:val="15"/>
          <w:szCs w:val="15"/>
          <w:i w:val="1"/>
          <w:iCs w:val="1"/>
          <w:u w:val="single" w:color="auto"/>
          <w:color w:val="auto"/>
        </w:rPr>
        <w:t>M]WH]SIZF^]56O:_4_P#/_GW[=%FMQ,8,]#-5K4YW-U M18E0:L].6L"8H6*(Y*DSBU2RU M^:LHRE6=)PDDMFAA_:563D2=8GB;AD"/AE+[:12.48"36F\OD#1(&amp;/U"H-</w:t>
      </w:r>
    </w:p>
    <w:p>
      <w:pPr>
        <w:spacing w:after="0"/>
        <w:rPr>
          <w:sz w:val="20"/>
          <w:szCs w:val="20"/>
          <w:color w:val="auto"/>
        </w:rPr>
      </w:pPr>
      <w:r>
        <w:rPr>
          <w:rFonts w:ascii="Arial" w:cs="Arial" w:eastAsia="Arial" w:hAnsi="Arial"/>
          <w:sz w:val="16"/>
          <w:szCs w:val="16"/>
          <w:i w:val="1"/>
          <w:iCs w:val="1"/>
          <w:u w:val="single" w:color="auto"/>
          <w:color w:val="auto"/>
        </w:rPr>
        <w:t>W(DF[J#Q9@&lt;#G7+ MC?+&lt;2KD^+])RR$N$D4-C\Y-KLIC&amp;4X5&amp;$T,+J M\72O9W9H/B2R3Y1B&gt;J+$DHYE6.+=0Q\M9'A@C\"$V.L;G.(W_*V M7;R7-</w:t>
      </w:r>
    </w:p>
    <w:p>
      <w:pPr>
        <w:spacing w:after="0"/>
        <w:rPr>
          <w:sz w:val="20"/>
          <w:szCs w:val="20"/>
          <w:color w:val="auto"/>
        </w:rPr>
      </w:pPr>
      <w:r>
        <w:rPr>
          <w:rFonts w:ascii="Arial" w:cs="Arial" w:eastAsia="Arial" w:hAnsi="Arial"/>
          <w:sz w:val="16"/>
          <w:szCs w:val="16"/>
          <w:i w:val="1"/>
          <w:iCs w:val="1"/>
          <w:u w:val="single" w:color="auto"/>
          <w:color w:val="auto"/>
        </w:rPr>
        <w:t>4).LQRU1I7DC1INTL.F/E,C5-LL=F MJ8)H/FN.1=/&amp;KVQTB@[0-`0D5957"&gt;L04\KE[9JV%H1(GA\TC9[PGLV)Q MJK=#W=&gt;[LDQR9-</w:t>
      </w:r>
    </w:p>
    <w:p>
      <w:pPr>
        <w:sectPr>
          <w:pgSz w:w="11900" w:h="16896" w:orient="portrait"/>
          <w:cols w:equalWidth="0" w:num="1">
            <w:col w:w="11060"/>
          </w:cols>
          <w:pgMar w:left="620" w:top="124" w:right="219" w:bottom="0" w:gutter="0" w:footer="0" w:header="0"/>
        </w:sectPr>
      </w:pPr>
    </w:p>
    <w:bookmarkStart w:id="60" w:name="page61"/>
    <w:bookmarkEnd w:id="60"/>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8]JV&gt;H`X3M2J6*"5KOJ@E4`@:3*'.5S196M&amp;8LWRL#L4\" M*=;H0Z"PG.F'8&amp;=(,I+HUJ"QMK'S6ATP9J&gt;,Q.S*[X/T6Z=-?N0F]KR2BLKE MKX M@VZ.C=8-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[6MN]RU5TK5M,`G*]J^@8#Y-)65CD.S%RWSJ%LE;PTIVXU#J6Q@U MIY*UI^&lt;+-3#(6IN&gt;7&amp;R&gt;4HT29U3A$6)0O,*2)@DXYX3QCC",2/.L.TV2](V8</w:t>
      </w:r>
    </w:p>
    <w:p>
      <w:pPr>
        <w:spacing w:after="0" w:line="232" w:lineRule="auto"/>
        <w:rPr>
          <w:sz w:val="20"/>
          <w:szCs w:val="20"/>
          <w:color w:val="auto"/>
        </w:rPr>
      </w:pPr>
      <w:r>
        <w:rPr>
          <w:rFonts w:ascii="Arial" w:cs="Arial" w:eastAsia="Arial" w:hAnsi="Arial"/>
          <w:sz w:val="16"/>
          <w:szCs w:val="16"/>
          <w:i w:val="1"/>
          <w:iCs w:val="1"/>
          <w:u w:val="single" w:color="auto"/>
          <w:color w:val="auto"/>
        </w:rPr>
        <w:t>M0UCS;!$)QWBABRDLFJ2\:AK-,G+4_J996AVD4D&lt;(LT9U@:-5#0.J% M,&amp;1W(2QVR`0X.5Z(7C]LQKM3'17&amp;(,M;8'J2TCY#=5,X@V8I')VJ;3W'&amp;:82</w:t>
      </w:r>
    </w:p>
    <w:p>
      <w:pPr>
        <w:spacing w:after="0" w:line="232" w:lineRule="auto"/>
        <w:rPr>
          <w:sz w:val="20"/>
          <w:szCs w:val="20"/>
          <w:color w:val="auto"/>
        </w:rPr>
      </w:pPr>
      <w:r>
        <w:rPr>
          <w:rFonts w:ascii="Arial" w:cs="Arial" w:eastAsia="Arial" w:hAnsi="Arial"/>
          <w:sz w:val="16"/>
          <w:szCs w:val="16"/>
          <w:i w:val="1"/>
          <w:iCs w:val="1"/>
          <w:u w:val="single" w:color="auto"/>
          <w:color w:val="auto"/>
        </w:rPr>
        <w:t>MHF;MG/'SB@+)CDH96_)35#L%Y"C"]UR5H9V&gt; M&amp;*UX*U"A4 M1''&lt;1AJH253&lt;&amp;+\L@T*QIE*,':8)@!MTDZG-9&gt;@C%&gt;38(S97=L@-4]9HO(,V MFY-</w:t>
      </w:r>
    </w:p>
    <w:p>
      <w:pPr>
        <w:spacing w:after="0" w:line="232" w:lineRule="auto"/>
        <w:rPr>
          <w:sz w:val="20"/>
          <w:szCs w:val="20"/>
          <w:color w:val="auto"/>
        </w:rPr>
      </w:pPr>
      <w:r>
        <w:rPr>
          <w:rFonts w:ascii="Arial" w:cs="Arial" w:eastAsia="Arial" w:hAnsi="Arial"/>
          <w:sz w:val="16"/>
          <w:szCs w:val="16"/>
          <w:i w:val="1"/>
          <w:iCs w:val="1"/>
          <w:u w:val="single" w:color="auto"/>
          <w:color w:val="auto"/>
        </w:rPr>
        <w:t>SVK;W:1R)8U174CEETT\Z=9H_6/1(LXACJQ?*02)#-VMP?L5UF4,M+6K: MHI93*Y.V1725IRUFR?9JKRGUTL:GD$)UFZB(^Q2G'JVZPTUV?\;S_'V&amp;\$PQ</w:t>
      </w:r>
    </w:p>
    <w:p>
      <w:pPr>
        <w:spacing w:after="0" w:line="232" w:lineRule="auto"/>
        <w:rPr>
          <w:sz w:val="20"/>
          <w:szCs w:val="20"/>
          <w:color w:val="auto"/>
        </w:rPr>
      </w:pPr>
      <w:r>
        <w:rPr>
          <w:rFonts w:ascii="Arial" w:cs="Arial" w:eastAsia="Arial" w:hAnsi="Arial"/>
          <w:sz w:val="16"/>
          <w:szCs w:val="16"/>
          <w:i w:val="1"/>
          <w:iCs w:val="1"/>
          <w:u w:val="single" w:color="auto"/>
          <w:color w:val="auto"/>
        </w:rPr>
        <w:t>M2F$J5MT#&amp;T0%$(&lt;&gt;FC@A?-Q4*B*W&amp;NTRQ1-@XV4-"?4II+S,AG4%V9K2X_*&lt;%D&amp;P;-XQ)WLR*"&gt;IKC-Y;(\TN4,;R]P5*X M%U+_`-E:&gt;,&gt;)X:\:F]L3',N3-</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V8\0)GK2HYS%6YY$D$;9X[%%FE^.OTL8VCD4;@8)ALG,:\.334ODK5 M0R8E39'4/AFG+39#(_"#H-CDQ48^.3ICE'-,U7C^;&amp;N#@=6])`T4KD&lt;39DK: M&amp;+JDZ&amp;S8X/?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#&gt;,]N1B)CB+SC&amp;*(\$*,VXQ_`/-O5(7(]Y@TW:Y"^JI"\O;CEC'OP-ROB'`DB@SOJ6U4PO'1ZU*5BMWE9ZJ,H&amp;EQQ@B4,6*.$=0FI5^TP.6H[+# MAD&amp;1ZQ&lt;&lt;90V*</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[%AZ.)%2Y5D"5XMRICS30[Y':8\PJ'!,%U7:D460]3)N1V\P M:5')I&amp;TJ"9":FOC=I%&amp;-H&amp;@'.TNR;M$]8Y,WA^I2-/LOTN:0YVH8LOXSF4%B M&amp;-S4&gt;0]5+&lt;7!XNB?S&gt;0-</w:t>
      </w:r>
    </w:p>
    <w:p>
      <w:pPr>
        <w:spacing w:after="0"/>
        <w:rPr>
          <w:sz w:val="20"/>
          <w:szCs w:val="20"/>
          <w:color w:val="auto"/>
        </w:rPr>
      </w:pPr>
      <w:r>
        <w:rPr>
          <w:rFonts w:ascii="Arial" w:cs="Arial" w:eastAsia="Arial" w:hAnsi="Arial"/>
          <w:sz w:val="16"/>
          <w:szCs w:val="16"/>
          <w:i w:val="1"/>
          <w:iCs w:val="1"/>
          <w:u w:val="single" w:color="auto"/>
          <w:color w:val="auto"/>
        </w:rPr>
        <w:t>2,#$Y1YL0.Z=*E4Y6DL2R-+Q"$!#=&amp;W;R:5\3PV&amp; M7&lt;%[BM8=PEBX(A`%P3!6+'P1@N$0+W"*]K#"*P@WW"#&gt;PK6O;\\&gt;%(-A?+6R</w:t>
      </w:r>
    </w:p>
    <w:p>
      <w:pPr>
        <w:spacing w:after="0"/>
        <w:rPr>
          <w:sz w:val="20"/>
          <w:szCs w:val="20"/>
          <w:color w:val="auto"/>
        </w:rPr>
      </w:pPr>
      <w:r>
        <w:rPr>
          <w:rFonts w:ascii="Arial" w:cs="Arial" w:eastAsia="Arial" w:hAnsi="Arial"/>
          <w:sz w:val="15"/>
          <w:szCs w:val="15"/>
          <w:i w:val="1"/>
          <w:iCs w:val="1"/>
          <w:u w:val="single" w:color="auto"/>
          <w:color w:val="auto"/>
        </w:rPr>
        <w:t>MEQ+'M0%W7)#BOG&amp;KV&amp;8=@LAS%*(LKF^5%&amp;H?/C'!#BY.;+6MV4R6!M308[-$ MW='E8IQ8QM[[.TYR):RIW))FQB;&amp;2#*\#)@F6)NT:EF3#&gt;GS#FF%5,)!.51$</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M2U!9F!'(E.,P/L@D;,!Q4O;3/W5DQ2V2(H:&amp;3"6FD2QK=61\.NXM!^!$#42R M/:2]D[%WM/.H5*L8;4LC!$G9U^6)%D!H4?@-+-5L+&gt;6.*3X[F15E#"!(V!&amp;W MXA/F#2-</w:t>
      </w:r>
    </w:p>
    <w:p>
      <w:pPr>
        <w:spacing w:after="0"/>
        <w:rPr>
          <w:sz w:val="20"/>
          <w:szCs w:val="20"/>
          <w:color w:val="auto"/>
        </w:rPr>
      </w:pPr>
      <w:r>
        <w:rPr>
          <w:rFonts w:ascii="Arial" w:cs="Arial" w:eastAsia="Arial" w:hAnsi="Arial"/>
          <w:sz w:val="16"/>
          <w:szCs w:val="16"/>
          <w:i w:val="1"/>
          <w:iCs w:val="1"/>
          <w:u w:val="single" w:color="auto"/>
          <w:color w:val="auto"/>
        </w:rPr>
        <w:t>T201EBJ![0$2AC6'@R[U*0+!V?(%FF8YS0"G*&gt;=S&gt;185TTX[4Y/&lt;&lt; M&gt;)9C)\7QV0PN.N+.X,\BC=RGIJR&gt;;F"&gt;L\W,6F@QU&amp;`GY%0&amp;I%;(E=D^NV;2</w:t>
      </w:r>
    </w:p>
    <w:p>
      <w:pPr>
        <w:spacing w:after="0" w:line="232" w:lineRule="auto"/>
        <w:rPr>
          <w:sz w:val="20"/>
          <w:szCs w:val="20"/>
          <w:color w:val="auto"/>
        </w:rPr>
      </w:pPr>
      <w:r>
        <w:rPr>
          <w:rFonts w:ascii="Arial" w:cs="Arial" w:eastAsia="Arial" w:hAnsi="Arial"/>
          <w:sz w:val="16"/>
          <w:szCs w:val="16"/>
          <w:i w:val="1"/>
          <w:iCs w:val="1"/>
          <w:u w:val="single" w:color="auto"/>
          <w:color w:val="auto"/>
        </w:rPr>
        <w:t>M//D)C.IE4/*KGF_43I:#L5\9Z2LBE/JM&gt;+*A\S&gt;\8QC(DRCBLE;8M_2ZI,NN M.H(AZ2S3Z&gt;GHW,.4XUI"B$)S&gt;KQOE#6+LXM63]JWR M=</w:t>
      </w:r>
    </w:p>
    <w:p>
      <w:pPr>
        <w:spacing w:after="0" w:line="232" w:lineRule="auto"/>
        <w:rPr>
          <w:sz w:val="20"/>
          <w:szCs w:val="20"/>
          <w:color w:val="auto"/>
        </w:rPr>
      </w:pPr>
      <w:r>
        <w:rPr>
          <w:rFonts w:ascii="Arial" w:cs="Arial" w:eastAsia="Arial" w:hAnsi="Arial"/>
          <w:sz w:val="16"/>
          <w:szCs w:val="16"/>
          <w:i w:val="1"/>
          <w:iCs w:val="1"/>
          <w:u w:val="single" w:color="auto"/>
          <w:color w:val="auto"/>
        </w:rPr>
        <w:t>(D*R;`8,\7U`Z&gt;V")RB80\Z9P@Q=.&amp;N?9&amp;SM@&gt;'H@2J-/Z)D.50J-.#&lt;""Q M],P[&lt;]F.QK(9IQM4[3IYQ//WJ)S`Y&amp;JR;C8[)&lt;</w:t>
      </w:r>
    </w:p>
    <w:p>
      <w:pPr>
        <w:spacing w:after="0" w:line="232" w:lineRule="auto"/>
        <w:rPr>
          <w:sz w:val="20"/>
          <w:szCs w:val="20"/>
          <w:color w:val="auto"/>
        </w:rPr>
      </w:pPr>
      <w:r>
        <w:rPr>
          <w:rFonts w:ascii="Arial" w:cs="Arial" w:eastAsia="Arial" w:hAnsi="Arial"/>
          <w:sz w:val="16"/>
          <w:szCs w:val="16"/>
          <w:i w:val="1"/>
          <w:iCs w:val="1"/>
          <w:u w:val="single" w:color="auto"/>
          <w:color w:val="auto"/>
        </w:rPr>
        <w:t>MHFLY:XY+BC$XE41D4MDRZ!2AOD&lt;%M(GTB.E.Z[8E2M:.V$5K6_9N:K'-M='9 ME&lt;6J`M;LWN;(].K`XHUS=.(FH2G$N;,M;UH`6':X%"?E/)5J&lt;9B1&gt;2I2'&amp;D#</w:t>
      </w:r>
    </w:p>
    <w:p>
      <w:pPr>
        <w:spacing w:after="0"/>
        <w:rPr>
          <w:sz w:val="20"/>
          <w:szCs w:val="20"/>
          <w:color w:val="auto"/>
        </w:rPr>
      </w:pPr>
      <w:r>
        <w:rPr>
          <w:rFonts w:ascii="Arial" w:cs="Arial" w:eastAsia="Arial" w:hAnsi="Arial"/>
          <w:sz w:val="15"/>
          <w:szCs w:val="15"/>
          <w:i w:val="1"/>
          <w:iCs w:val="1"/>
          <w:u w:val="single" w:color="auto"/>
          <w:color w:val="auto"/>
        </w:rPr>
        <w:t>M@^KK$6'9AJ@P-+V6?%PC4M`.!2T&gt;.4*MHL%KAQV7D[1%FC4PEB"B9Y-3O[MJ M=@A"3,#[A?(&lt;"P_CV114N/SC![BWMSZVI\V^LQC-J5XXO(&amp;MH9G&gt;73=PBS_)</w:t>
      </w:r>
    </w:p>
    <w:p>
      <w:pPr>
        <w:spacing w:after="0"/>
        <w:rPr>
          <w:sz w:val="20"/>
          <w:szCs w:val="20"/>
          <w:color w:val="auto"/>
        </w:rPr>
      </w:pPr>
      <w:r>
        <w:rPr>
          <w:rFonts w:ascii="Arial" w:cs="Arial" w:eastAsia="Arial" w:hAnsi="Arial"/>
          <w:sz w:val="16"/>
          <w:szCs w:val="16"/>
          <w:i w:val="1"/>
          <w:iCs w:val="1"/>
          <w:u w:val="single" w:color="auto"/>
          <w:color w:val="auto"/>
        </w:rPr>
        <w:t>MTD&gt;D;VVO5\'_`"8F@&gt;TRRMD!X625-%&amp;C970[*#E%%[FZ$V"K9]0^2#RR2(JL M6FM;3*EK&gt;0FCRBZ%O)&lt;%JP*5O5FKC"$I8+?9DTYXV&amp;^:5.?</w:t>
      </w:r>
    </w:p>
    <w:p>
      <w:pPr>
        <w:spacing w:after="0" w:line="232" w:lineRule="auto"/>
        <w:rPr>
          <w:sz w:val="20"/>
          <w:szCs w:val="20"/>
          <w:color w:val="auto"/>
        </w:rPr>
      </w:pPr>
      <w:r>
        <w:rPr>
          <w:rFonts w:ascii="Arial" w:cs="Arial" w:eastAsia="Arial" w:hAnsi="Arial"/>
          <w:sz w:val="16"/>
          <w:szCs w:val="16"/>
          <w:i w:val="1"/>
          <w:iCs w:val="1"/>
          <w:u w:val="single" w:color="auto"/>
          <w:color w:val="auto"/>
        </w:rPr>
        <w:t>IV3%M9T1GV#&gt;V]X=VU^C,$3:_=-D!R?(9( M8G6)U4:68),FT\PC#7RUD*W'L"=I%&amp;F0YM:68!35DW(\D9V4ZSM1&amp;D'&amp;2B&amp;H</w:t>
      </w:r>
    </w:p>
    <w:p>
      <w:pPr>
        <w:spacing w:after="0" w:line="232" w:lineRule="auto"/>
        <w:rPr>
          <w:sz w:val="20"/>
          <w:szCs w:val="20"/>
          <w:color w:val="auto"/>
        </w:rPr>
      </w:pPr>
      <w:r>
        <w:rPr>
          <w:rFonts w:ascii="Arial" w:cs="Arial" w:eastAsia="Arial" w:hAnsi="Arial"/>
          <w:sz w:val="16"/>
          <w:szCs w:val="16"/>
          <w:i w:val="1"/>
          <w:iCs w:val="1"/>
          <w:u w:val="single" w:color="auto"/>
          <w:color w:val="auto"/>
        </w:rPr>
        <w:t>M]+&gt;,\H:GL[P&amp;+3^32&gt;*XMR0_82TM:*I0X:4;/D4.+6-&amp;)8YF[.&gt;1,H3*%-5O MP?2C0*6IWC\A@\:D4$,$YF1PQ?CE)EG#&gt;,5CB45:SQ*FR-</w:t>
      </w:r>
    </w:p>
    <w:p>
      <w:pPr>
        <w:spacing w:after="0" w:line="232" w:lineRule="auto"/>
        <w:rPr>
          <w:sz w:val="20"/>
          <w:szCs w:val="20"/>
          <w:color w:val="auto"/>
        </w:rPr>
      </w:pPr>
      <w:r>
        <w:rPr>
          <w:rFonts w:ascii="Arial" w:cs="Arial" w:eastAsia="Arial" w:hAnsi="Arial"/>
          <w:sz w:val="16"/>
          <w:szCs w:val="16"/>
          <w:i w:val="1"/>
          <w:iCs w:val="1"/>
          <w:u w:val="single" w:color="auto"/>
          <w:color w:val="auto"/>
        </w:rPr>
        <w:t>1D;_`!MP$PQ]N4C&amp;H0LK5=(VI#A"-(3% MCOOJ7R+`6#YQ?)4F-CEJC'J9_@,6&gt;"8,&gt;YIKHG(V(%N#6H#'!N** M_(W'FFR4*]+N3K`G$VL"O??,78WDTB:I?</w:t>
      </w:r>
    </w:p>
    <w:p>
      <w:pPr>
        <w:spacing w:after="0" w:line="232" w:lineRule="auto"/>
        <w:rPr>
          <w:sz w:val="20"/>
          <w:szCs w:val="20"/>
          <w:color w:val="auto"/>
        </w:rPr>
      </w:pPr>
      <w:r>
        <w:rPr>
          <w:rFonts w:ascii="Arial" w:cs="Arial" w:eastAsia="Arial" w:hAnsi="Arial"/>
          <w:sz w:val="16"/>
          <w:szCs w:val="16"/>
          <w:i w:val="1"/>
          <w:iCs w:val="1"/>
          <w:u w:val="single" w:color="auto"/>
          <w:color w:val="auto"/>
        </w:rPr>
        <w:t>(X##'Z6,+$^Q=DD[S%V5SD+-&amp;Y. MG"DDL?:7M8B.S.N7M.6 M!LJ.D&lt;9"(W'W+)&amp;'\&gt;SIP8H\E4#5IF)G6RF/.JEL9DZLTU40UH3"$)2@P9X" M+&amp;BN.]QT.-L?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MDO7Y`;H3$D$Z=&amp;XEH!\)DPF18T+Q%C*V.Y&gt;88;*X'&gt;!Q&lt;4,DHS MBTQ)MW^+B:[LCR$9*)$10R*31-'9`V2R/IY9'FF1$,4I93+G,TE9BG=(K`V2!H.O402')N-O&lt;</w:t>
      </w:r>
    </w:p>
    <w:p>
      <w:pPr>
        <w:spacing w:after="0"/>
        <w:rPr>
          <w:sz w:val="20"/>
          <w:szCs w:val="20"/>
          <w:color w:val="auto"/>
        </w:rPr>
      </w:pPr>
      <w:r>
        <w:rPr>
          <w:rFonts w:ascii="Arial" w:cs="Arial" w:eastAsia="Arial" w:hAnsi="Arial"/>
          <w:sz w:val="16"/>
          <w:szCs w:val="16"/>
          <w:i w:val="1"/>
          <w:iCs w:val="1"/>
          <w:u w:val="single" w:color="auto"/>
          <w:color w:val="auto"/>
        </w:rPr>
        <w:t>MU&amp;I(,O&lt;5[37TB:4[Y`698_@SZ?K92&lt;7A=(%^2@X8QP'("Y^N*)J1*&amp;UK2+Y&lt;2/L),3XP025\F2' M'&lt;'1RV3O#)</w:t>
      </w:r>
    </w:p>
    <w:p>
      <w:pPr>
        <w:spacing w:after="0" w:line="232" w:lineRule="auto"/>
        <w:rPr>
          <w:sz w:val="20"/>
          <w:szCs w:val="20"/>
          <w:color w:val="auto"/>
        </w:rPr>
      </w:pPr>
      <w:r>
        <w:rPr>
          <w:rFonts w:ascii="Arial" w:cs="Arial" w:eastAsia="Arial" w:hAnsi="Arial"/>
          <w:sz w:val="16"/>
          <w:szCs w:val="16"/>
          <w:i w:val="1"/>
          <w:iCs w:val="1"/>
          <w:u w:val="single" w:color="auto"/>
          <w:color w:val="auto"/>
        </w:rPr>
        <w:t>(9+*$L38D\AD3]&amp;4*ILCCT^O1*$#B\.L?;5JQN8W!Q4*5;0A5* M$;&lt;:F3&amp;C*%!VS2SIF9D:U8D=G$;O=8XIE2A.L..).,`*2I&lt;&amp;X90QJ0PU%BG'*.)2QP)=9/</w:t>
      </w:r>
    </w:p>
    <w:p>
      <w:pPr>
        <w:spacing w:after="0" w:line="232" w:lineRule="auto"/>
        <w:rPr>
          <w:sz w:val="20"/>
          <w:szCs w:val="20"/>
          <w:color w:val="auto"/>
        </w:rPr>
      </w:pPr>
      <w:r>
        <w:rPr>
          <w:rFonts w:ascii="Arial" w:cs="Arial" w:eastAsia="Arial" w:hAnsi="Arial"/>
          <w:sz w:val="16"/>
          <w:szCs w:val="16"/>
          <w:i w:val="1"/>
          <w:iCs w:val="1"/>
          <w:u w:val="single" w:color="auto"/>
          <w:color w:val="auto"/>
        </w:rPr>
        <w:t>M&amp;DL*CB9BD#FG4)U:9P&gt;&amp;HAN+0N"U(J2)%*-4I(,/1*$J4Y&amp;,@Q.2($'E&amp;D#2 M?-WJ/R2::9-/4OD&lt;3:XZQQ&gt;02G"N-9"]QMFB!HCXFTL+L[QE8O9FR,'C&amp;='D</w:t>
      </w:r>
    </w:p>
    <w:p>
      <w:pPr>
        <w:spacing w:after="0" w:line="232" w:lineRule="auto"/>
        <w:rPr>
          <w:sz w:val="20"/>
          <w:szCs w:val="20"/>
          <w:color w:val="auto"/>
        </w:rPr>
      </w:pPr>
      <w:r>
        <w:rPr>
          <w:rFonts w:ascii="Arial" w:cs="Arial" w:eastAsia="Arial" w:hAnsi="Arial"/>
          <w:sz w:val="16"/>
          <w:szCs w:val="16"/>
          <w:i w:val="1"/>
          <w:iCs w:val="1"/>
          <w:u w:val="single" w:color="auto"/>
          <w:color w:val="auto"/>
        </w:rPr>
        <w:t>M#:&gt;F2,IHQ&amp;MI28P5QWR+M:UNI[][_P"-_P#S_CU;]-$')4\X8T^80Q&amp;[+B@D+G+&amp;&amp;)X%C]&gt;M)`4(@LI8KB3`T'JBRR M1C)*`&gt;,P)10S"R[``8.PI/",*8?</w:t>
      </w:r>
    </w:p>
    <w:p>
      <w:pPr>
        <w:spacing w:after="0"/>
        <w:rPr>
          <w:sz w:val="20"/>
          <w:szCs w:val="20"/>
          <w:color w:val="auto"/>
        </w:rPr>
      </w:pPr>
      <w:r>
        <w:rPr>
          <w:rFonts w:ascii="Arial" w:cs="Arial" w:eastAsia="Arial" w:hAnsi="Arial"/>
          <w:sz w:val="15"/>
          <w:szCs w:val="15"/>
          <w:i w:val="1"/>
          <w:iCs w:val="1"/>
          <w:u w:val="single" w:color="auto"/>
          <w:color w:val="auto"/>
        </w:rPr>
        <w:t>QF&amp;0@QSBW'5R MUT=UKT%D;D-G)2YN;DXN2\Y7QHU;BXN"\^XUBU2&gt;;]HYAS$L/8/P3BF,#%W=Z9M/T":YPW-K1,V^$89QQ$DC*^3/3TXG/#R[ORMF;T1[LY.</w:t>
      </w:r>
    </w:p>
    <w:p>
      <w:pPr>
        <w:spacing w:after="0"/>
        <w:rPr>
          <w:sz w:val="20"/>
          <w:szCs w:val="20"/>
          <w:color w:val="auto"/>
        </w:rPr>
      </w:pPr>
      <w:r>
        <w:rPr>
          <w:rFonts w:ascii="Arial" w:cs="Arial" w:eastAsia="Arial" w:hAnsi="Arial"/>
          <w:sz w:val="16"/>
          <w:szCs w:val="16"/>
          <w:i w:val="1"/>
          <w:iCs w:val="1"/>
          <w:u w:val="single" w:color="auto"/>
          <w:color w:val="auto"/>
        </w:rPr>
        <w:t>[NH4.SHM6C./&lt;'50I0G+2D!+BK%I5TR1:'*,&gt;1?3Q@V M,0%7)OPT50F-XE@+#$E,ONVA9A2E1'&amp;E@1M!TB,9PA:37HU&amp;)Q.:M[8/'NJEA M:G-W*</w:t>
      </w:r>
    </w:p>
    <w:p>
      <w:pPr>
        <w:spacing w:after="0"/>
        <w:rPr>
          <w:sz w:val="20"/>
          <w:szCs w:val="20"/>
          <w:color w:val="auto"/>
        </w:rPr>
      </w:pPr>
      <w:r>
        <w:rPr>
          <w:rFonts w:ascii="Arial" w:cs="Arial" w:eastAsia="Arial" w:hAnsi="Arial"/>
          <w:sz w:val="15"/>
          <w:szCs w:val="15"/>
          <w:i w:val="1"/>
          <w:iCs w:val="1"/>
          <w:u w:val="single" w:color="auto"/>
          <w:color w:val="auto"/>
        </w:rPr>
        <w:t>("X+VQD4/KX&gt;T(%:@U(V'/+J:A)(,&lt;%@CO]KV]VU[UCO(M(&amp;E"7QB/0F6:9-/%\ M;OL9C+G*SPJI0XQY@=8VK:F1?)%0`J7]8V)$JAY46L&gt;XF*3=X[RE9IYP,XX^</w:t>
      </w:r>
    </w:p>
    <w:p>
      <w:pPr>
        <w:spacing w:after="0"/>
        <w:rPr>
          <w:sz w:val="20"/>
          <w:szCs w:val="20"/>
          <w:color w:val="auto"/>
        </w:rPr>
      </w:pPr>
      <w:r>
        <w:rPr>
          <w:rFonts w:ascii="Arial" w:cs="Arial" w:eastAsia="Arial" w:hAnsi="Arial"/>
          <w:sz w:val="16"/>
          <w:szCs w:val="16"/>
          <w:i w:val="1"/>
          <w:iCs w:val="1"/>
          <w:u w:val="single" w:color="auto"/>
          <w:color w:val="auto"/>
        </w:rPr>
        <w:t>M08F7X6Q0LQ.5&amp;/(D;!6MV8%*=:PNC9$Q-/,36R18]0.$28%B*"2!E`,MG?(:E M/0#(B[PTEF&amp;%M;HQEH5S&gt;4886C/)"898&lt;0R#IFTYY:9HU'A21J&lt;</w:t>
      </w:r>
    </w:p>
    <w:p>
      <w:pPr>
        <w:spacing w:after="0" w:line="232" w:lineRule="auto"/>
        <w:rPr>
          <w:sz w:val="20"/>
          <w:szCs w:val="20"/>
          <w:color w:val="auto"/>
        </w:rPr>
      </w:pPr>
      <w:r>
        <w:rPr>
          <w:rFonts w:ascii="Arial" w:cs="Arial" w:eastAsia="Arial" w:hAnsi="Arial"/>
          <w:sz w:val="16"/>
          <w:szCs w:val="16"/>
          <w:i w:val="1"/>
          <w:iCs w:val="1"/>
          <w:u w:val="single" w:color="auto"/>
          <w:color w:val="auto"/>
        </w:rPr>
        <w:t>MY8A7-)Z:0.#9(QCD+&gt;L="E*A$_C-&gt;TQA3J::K'=!D8F6--3&gt;Q1YI;&amp;)D:4I2 M%K9V9`E:VIM1$VX)*1`W(2B$:-*5;H*3IB2RB[=`06WWO?U:5%9K!85DF-.4 M-</w:t>
      </w:r>
    </w:p>
    <w:p>
      <w:pPr>
        <w:spacing w:after="0" w:line="232" w:lineRule="auto"/>
        <w:rPr>
          <w:sz w:val="20"/>
          <w:szCs w:val="20"/>
          <w:color w:val="auto"/>
        </w:rPr>
      </w:pPr>
      <w:r>
        <w:rPr>
          <w:rFonts w:ascii="Arial" w:cs="Arial" w:eastAsia="Arial" w:hAnsi="Arial"/>
          <w:sz w:val="16"/>
          <w:szCs w:val="16"/>
          <w:i w:val="1"/>
          <w:iCs w:val="1"/>
          <w:u w:val="single" w:color="auto"/>
          <w:color w:val="auto"/>
        </w:rPr>
        <w:t>R%$8Q.X@\@)+&gt;(K,F%KD\;=BTZ@M6G+`A422I*`K2G`+4%%'!# M8PL`@VEDFDO2U,IRER=+M-N`Y3DI"-B-19#D&gt;'&lt;=OL[1FQ=,0CC1R68.D=5R</w:t>
      </w:r>
    </w:p>
    <w:p>
      <w:pPr>
        <w:spacing w:after="0" w:line="232" w:lineRule="auto"/>
        <w:rPr>
          <w:sz w:val="20"/>
          <w:szCs w:val="20"/>
          <w:color w:val="auto"/>
        </w:rPr>
      </w:pPr>
      <w:r>
        <w:rPr>
          <w:rFonts w:ascii="Arial" w:cs="Arial" w:eastAsia="Arial" w:hAnsi="Arial"/>
          <w:sz w:val="16"/>
          <w:szCs w:val="16"/>
          <w:i w:val="1"/>
          <w:iCs w:val="1"/>
          <w:u w:val="single" w:color="auto"/>
          <w:color w:val="auto"/>
        </w:rPr>
        <w:t>M).;'DB5,F8S27(!C00G(*;Q)PE`L&amp;8/.#,,2)_ATK?\`$V-7J48\:;L,"DCM M!HRX/T+8[GMZJ[-%7=6V'+V!IY4TM2NS:V'ID05;6W*[$64H4II7IN&gt;)\8O,</w:t>
      </w:r>
    </w:p>
    <w:p>
      <w:pPr>
        <w:spacing w:after="0" w:line="232" w:lineRule="auto"/>
        <w:rPr>
          <w:sz w:val="20"/>
          <w:szCs w:val="20"/>
          <w:color w:val="auto"/>
        </w:rPr>
      </w:pPr>
      <w:r>
        <w:rPr>
          <w:rFonts w:ascii="Arial" w:cs="Arial" w:eastAsia="Arial" w:hAnsi="Arial"/>
          <w:sz w:val="16"/>
          <w:szCs w:val="16"/>
          <w:i w:val="1"/>
          <w:iCs w:val="1"/>
          <w:u w:val="single" w:color="auto"/>
          <w:color w:val="auto"/>
        </w:rPr>
        <w:t>MH6S=WQW!W.9N3`CBCC+7")L2R3+XNW.Y$@01I8_*$)CJJCZ)^2IGI(RGJS&amp;Q M.[D%.124*X`3[069Z5M,F1IXDRGD#3K@F%5&amp; MCT&amp;QS?</w:t>
      </w:r>
    </w:p>
    <w:p>
      <w:pPr>
        <w:spacing w:after="0" w:line="232" w:lineRule="auto"/>
        <w:rPr>
          <w:sz w:val="20"/>
          <w:szCs w:val="20"/>
          <w:color w:val="auto"/>
        </w:rPr>
      </w:pPr>
      <w:r>
        <w:rPr>
          <w:rFonts w:ascii="Arial" w:cs="Arial" w:eastAsia="Arial" w:hAnsi="Arial"/>
          <w:sz w:val="16"/>
          <w:szCs w:val="16"/>
          <w:i w:val="1"/>
          <w:iCs w:val="1"/>
          <w:u w:val="single" w:color="auto"/>
          <w:color w:val="auto"/>
        </w:rPr>
        <w:t>=.9:PZFR;$6+$:R:N"7',%3KLD)E2/ M(*LJ),`%$W2+PJ`+DDM-L@L.1)5UE:KEJ=WNK)675*1J@'&amp;*#AC\U3@K"ZV+ MLL)68HQRJA\</w:t>
      </w:r>
    </w:p>
    <w:p>
      <w:pPr>
        <w:spacing w:after="0" w:line="232" w:lineRule="auto"/>
        <w:rPr>
          <w:sz w:val="20"/>
          <w:szCs w:val="20"/>
          <w:color w:val="auto"/>
        </w:rPr>
      </w:pPr>
      <w:r>
        <w:rPr>
          <w:rFonts w:ascii="Arial" w:cs="Arial" w:eastAsia="Arial" w:hAnsi="Arial"/>
          <w:sz w:val="16"/>
          <w:szCs w:val="16"/>
          <w:i w:val="1"/>
          <w:iCs w:val="1"/>
          <w:u w:val="single" w:color="auto"/>
          <w:color w:val="auto"/>
        </w:rPr>
        <w:t>&lt;&lt;%CJP1=3"HX&gt;P,KFXEN!+BX-C2:W"1(EKD0[.I#DJ()`&gt;Y$. MCF0O,4DN"L!UU"RP%``66$("RPA````V"```6L$(0A#:P0A"&amp;UK6M:UK6M:U</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MK6M:UK6KI2E*4J.'^VIK_0#[]J1RI'49'[;D_P!'5GVLAJ34I2E*4I2E*4I2 ME*4I2E*4I2E*4I2E*4I2E*4I2E*4I2E*4I2E*4I2E*4J.'^VIK_0#[]J1RI' M49'[;D_T=6?:R&amp;I-</w:t>
      </w:r>
    </w:p>
    <w:p>
      <w:pPr>
        <w:spacing w:after="0"/>
        <w:rPr>
          <w:sz w:val="20"/>
          <w:szCs w:val="20"/>
          <w:color w:val="auto"/>
        </w:rPr>
      </w:pPr>
      <w:r>
        <w:rPr>
          <w:rFonts w:ascii="Arial" w:cs="Arial" w:eastAsia="Arial" w:hAnsi="Arial"/>
          <w:sz w:val="16"/>
          <w:szCs w:val="16"/>
          <w:i w:val="1"/>
          <w:iCs w:val="1"/>
          <w:u w:val="single" w:color="auto"/>
          <w:color w:val="auto"/>
        </w:rPr>
        <w:t>2E*4I2E*4I2E*4I2E*4I2E*4I2E*4I2E*4I2E*4I2E*4 MI2E*4I2E*4I2HX?[:FO]`/OVI'*D=1D?MN3_`$=6?:R&amp;I-2E*4I2E*4I2E*4</w:t>
      </w:r>
    </w:p>
    <w:p>
      <w:pPr>
        <w:spacing w:after="0" w:line="232" w:lineRule="auto"/>
        <w:rPr>
          <w:sz w:val="20"/>
          <w:szCs w:val="20"/>
          <w:color w:val="auto"/>
        </w:rPr>
      </w:pPr>
      <w:r>
        <w:rPr>
          <w:rFonts w:ascii="Arial" w:cs="Arial" w:eastAsia="Arial" w:hAnsi="Arial"/>
          <w:sz w:val="16"/>
          <w:szCs w:val="16"/>
          <w:i w:val="1"/>
          <w:iCs w:val="1"/>
          <w:u w:val="single" w:color="auto"/>
          <w:color w:val="auto"/>
        </w:rPr>
        <w:t>MI2E*4I2E*4I2E*4I2E*4I2E*4I2E*4I2E*4I2E*4I2HX?[:FO]`/OVI'*D=1 MD?MN3_1U9]K(:DU*4I2E*4I2E*4I2E*4I2E*4I2E*4I2E*4I2E*4I2E*4I2E</w:t>
      </w:r>
    </w:p>
    <w:p>
      <w:pPr>
        <w:spacing w:after="0" w:line="232" w:lineRule="auto"/>
        <w:rPr>
          <w:sz w:val="20"/>
          <w:szCs w:val="20"/>
          <w:color w:val="auto"/>
        </w:rPr>
      </w:pPr>
      <w:r>
        <w:rPr>
          <w:rFonts w:ascii="Arial" w:cs="Arial" w:eastAsia="Arial" w:hAnsi="Arial"/>
          <w:sz w:val="16"/>
          <w:szCs w:val="16"/>
          <w:i w:val="1"/>
          <w:iCs w:val="1"/>
          <w:u w:val="single" w:color="auto"/>
          <w:color w:val="auto"/>
        </w:rPr>
        <w:t>M*4I2E*4I2E*CA_MJ:_T`^_:D]]][WOP;6MU;U[7!?/C6ON"_SBG!?/C6ON"_SBG!?/C6ON"_S</w:t>
      </w:r>
    </w:p>
    <w:p>
      <w:pPr>
        <w:spacing w:after="0"/>
        <w:rPr>
          <w:sz w:val="20"/>
          <w:szCs w:val="20"/>
          <w:color w:val="auto"/>
        </w:rPr>
      </w:pPr>
      <w:r>
        <w:rPr>
          <w:rFonts w:ascii="Arial" w:cs="Arial" w:eastAsia="Arial" w:hAnsi="Arial"/>
          <w:sz w:val="15"/>
          <w:szCs w:val="15"/>
          <w:i w:val="1"/>
          <w:iCs w:val="1"/>
          <w:u w:val="single" w:color="auto"/>
          <w:color w:val="auto"/>
        </w:rPr>
        <w:t>MBG!?/C6ON"_SBG!?/C6ON"_SBG!?/C6ON"_SBG!?/C6ON"_SBG!?/C6ON"_S MBG!?/C6ON"_SBG!?/C6ON"_SBG!?/C6ON"_SBG!?/C6ON"_SBG!?/C6ON"_S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MBG!?/C6ON"_SBG!?/C6ON"_SBG!?/C6ON"_SBG!?/C6ON"_SBG!?/C6ON"_S MBG!?/C6ON"_SBG!?/C6ON"_SBG!?/C6ON"_SBG!?/C6ON"_SBG!?/C6ON"_S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MBG!?/C6ON"_SBG!?/C6ON"_SBG!?/C6ON"_SBG!?/C6ON"_SBG!?/C6ON"_S MBG!?/C6ON"_SBG!?/C6ON"_SBG!?/C6ON"_SBG!?/C6ON"_SBG!?/C6ON"_S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MBG!?/C6ON"_SBG!?/C6ON"_SBG!?/C6ON"_SBG!?/C6ON"_SBG!?/C6ON"_S MBG!?/C6ON"_SBG!?/C6ON"_SBG!?/C6ON"_SBG!?/C6ON"_SBG!?/C6ON"_S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MBG!?/C6ON"_SBG!?/C6ON"_SBG!?/C6ON"_SBG!?/C6ON"_SBG!?/C6ON"_S MBG!?/C6ON"_SBG!?/C6ON"_SBG!?/C6ON"_SBG!?/C6ON"_SBFY[^-:^X+O. M*</w:t>
      </w:r>
    </w:p>
    <w:p>
      <w:pPr>
        <w:spacing w:after="0"/>
        <w:rPr>
          <w:sz w:val="20"/>
          <w:szCs w:val="20"/>
          <w:color w:val="auto"/>
        </w:rPr>
      </w:pPr>
      <w:r>
        <w:rPr>
          <w:rFonts w:ascii="Arial" w:cs="Arial" w:eastAsia="Arial" w:hAnsi="Arial"/>
          <w:sz w:val="16"/>
          <w:szCs w:val="16"/>
          <w:i w:val="1"/>
          <w:iCs w:val="1"/>
          <w:u w:val="single" w:color="auto"/>
          <w:color w:val="auto"/>
        </w:rPr>
        <w:t>&lt;%\^-:^X+_.*&lt;%\^-:^X+_.*&lt;%\^-:^X+_.*&lt;%\^-:^X+_.*&lt;%\^-:^X+_. M*&lt;%\^-:^X+_.*&lt;%\^-:^X+_.*&lt;%\^-:^X+_.*&lt;%\^-:^X+_.*&lt;%\^-:^X+_. M*</w:t>
      </w:r>
    </w:p>
    <w:p>
      <w:pPr>
        <w:spacing w:after="0"/>
        <w:rPr>
          <w:sz w:val="20"/>
          <w:szCs w:val="20"/>
          <w:color w:val="auto"/>
        </w:rPr>
      </w:pPr>
      <w:r>
        <w:rPr>
          <w:rFonts w:ascii="Arial" w:cs="Arial" w:eastAsia="Arial" w:hAnsi="Arial"/>
          <w:sz w:val="15"/>
          <w:szCs w:val="15"/>
          <w:i w:val="1"/>
          <w:iCs w:val="1"/>
          <w:u w:val="single" w:color="auto"/>
          <w:color w:val="auto"/>
        </w:rPr>
        <w:t>&lt;%\^-:^X+_.*^)RAV2!+./NWF%E4KEIM@)DA!IYA98M/ MX?5%&gt;RZ'8L5LBZ@!!'8L=KAT3:PA6N`=K""*P@X5':]KAO:]KAX6_?OMOK\K M&amp;G[U8KK7ENJ7$D%S-</w:t>
      </w:r>
    </w:p>
    <w:p>
      <w:pPr>
        <w:spacing w:after="0"/>
        <w:rPr>
          <w:sz w:val="20"/>
          <w:szCs w:val="20"/>
          <w:color w:val="auto"/>
        </w:rPr>
      </w:pPr>
      <w:r>
        <w:rPr>
          <w:rFonts w:ascii="Arial" w:cs="Arial" w:eastAsia="Arial" w:hAnsi="Arial"/>
          <w:sz w:val="16"/>
          <w:szCs w:val="16"/>
          <w:i w:val="1"/>
          <w:iCs w:val="1"/>
          <w:u w:val="single" w:color="auto"/>
          <w:color w:val="auto"/>
        </w:rPr>
        <w:t>BS2VQZ?)!FV,QK)$F@^&amp;\^.V1VS%*^7%M[^ZQAA0Y9D MSDOF"2-",5-[4F#LAM^JBWJBG9=[]ULB:@=][WM:W\"36)</w:t>
      </w:r>
    </w:p>
    <w:p>
      <w:pPr>
        <w:spacing w:after="0" w:line="232" w:lineRule="auto"/>
        <w:rPr>
          <w:sz w:val="20"/>
          <w:szCs w:val="20"/>
          <w:color w:val="auto"/>
        </w:rPr>
      </w:pPr>
      <w:r>
        <w:rPr>
          <w:rFonts w:ascii="Arial" w:cs="Arial" w:eastAsia="Arial" w:hAnsi="Arial"/>
          <w:sz w:val="16"/>
          <w:szCs w:val="16"/>
          <w:i w:val="1"/>
          <w:iCs w:val="1"/>
          <w:u w:val="single" w:color="auto"/>
          <w:color w:val="auto"/>
        </w:rPr>
        <w:t>M[M^C_P#)6W_'=\]9ISS7E#VF`:*\HXVB3OD2#ZW,RXTQ)`'%V,=\7ND?!E2$ MS6=QR6R.+S")"D:1N(:8*ZDNS$K;FR3H5JIN)LW'6,5W16[@&amp;TMB^0(1JD"E</w:t>
      </w:r>
    </w:p>
    <w:p>
      <w:pPr>
        <w:spacing w:after="0"/>
        <w:rPr>
          <w:sz w:val="20"/>
          <w:szCs w:val="20"/>
          <w:color w:val="auto"/>
        </w:rPr>
      </w:pPr>
      <w:r>
        <w:rPr>
          <w:rFonts w:ascii="Arial" w:cs="Arial" w:eastAsia="Arial" w:hAnsi="Arial"/>
          <w:sz w:val="15"/>
          <w:szCs w:val="15"/>
          <w:i w:val="1"/>
          <w:iCs w:val="1"/>
          <w:u w:val="single" w:color="auto"/>
          <w:color w:val="auto"/>
        </w:rPr>
        <w:t>MQH[Q_/&gt;DN8/\&gt;R#@&gt;4REN:%DCBZ&amp;?O,#C&amp;7,4P:1HV:1L2HH4@R;K/S3`,Z0+!"72Z2\23+R+4J\8G/5YR862TF8M-+ M=#EKNX.J:V/7?Y`R!J#@[%@- M"4/3?</w:t>
      </w:r>
    </w:p>
    <w:p>
      <w:pPr>
        <w:spacing w:after="0"/>
        <w:rPr>
          <w:sz w:val="20"/>
          <w:szCs w:val="20"/>
          <w:color w:val="auto"/>
        </w:rPr>
      </w:pPr>
      <w:r>
        <w:rPr>
          <w:rFonts w:ascii="Arial" w:cs="Arial" w:eastAsia="Arial" w:hAnsi="Arial"/>
          <w:sz w:val="16"/>
          <w:szCs w:val="16"/>
          <w:i w:val="1"/>
          <w:iCs w:val="1"/>
          <w:u w:val="single" w:color="auto"/>
          <w:color w:val="auto"/>
        </w:rPr>
        <w:t>G+&amp;.#YI=XS5'6E\&gt;WG)&amp;,L09:`JA[,JA]FUS6,D2R\@).8'"3-*UXD4 M&gt;&gt;V=C4K0#;%RRUD92 MW2!SA',L?</w:t>
      </w:r>
    </w:p>
    <w:p>
      <w:pPr>
        <w:spacing w:after="0" w:line="232" w:lineRule="auto"/>
        <w:rPr>
          <w:sz w:val="20"/>
          <w:szCs w:val="20"/>
          <w:color w:val="auto"/>
        </w:rPr>
      </w:pPr>
      <w:r>
        <w:rPr>
          <w:rFonts w:ascii="Arial" w:cs="Arial" w:eastAsia="Arial" w:hAnsi="Arial"/>
          <w:sz w:val="16"/>
          <w:szCs w:val="16"/>
          <w:i w:val="1"/>
          <w:iCs w:val="1"/>
          <w:u w:val="single" w:color="auto"/>
          <w:color w:val="auto"/>
        </w:rPr>
        <w:t>&gt;BL:2MMC[L27(&amp;98_O,45)P*Y?'&amp;J.W4/R6=Q':-1B3.NM'&amp;ZW' M;G&amp;,\Z.&amp;^?2Q5C!^DR1(WYJQ=#$`E)&amp;5!7G*32[`MFW*N-\7J&gt;8#2G-NQP5/G!JCZK</w:t>
      </w:r>
    </w:p>
    <w:p>
      <w:pPr>
        <w:spacing w:after="0" w:line="232" w:lineRule="auto"/>
        <w:rPr>
          <w:sz w:val="20"/>
          <w:szCs w:val="20"/>
          <w:color w:val="auto"/>
        </w:rPr>
      </w:pPr>
      <w:r>
        <w:rPr>
          <w:rFonts w:ascii="Arial" w:cs="Arial" w:eastAsia="Arial" w:hAnsi="Arial"/>
          <w:sz w:val="16"/>
          <w:szCs w:val="16"/>
          <w:i w:val="1"/>
          <w:iCs w:val="1"/>
          <w:u w:val="single" w:color="auto"/>
          <w:color w:val="auto"/>
        </w:rPr>
        <w:t>M(DS=#B4`$6,HE+9+#8O()6&gt;F1IT[K-HN482G$YE@M'M4VK3(&gt;F]TBYB;`HII M"Y?E33CA%DEQ^46B)C79(U'Y/+Q:RI$S$*</w:t>
      </w:r>
    </w:p>
    <w:p>
      <w:pPr>
        <w:spacing w:after="0" w:line="232" w:lineRule="auto"/>
        <w:rPr>
          <w:sz w:val="20"/>
          <w:szCs w:val="20"/>
          <w:color w:val="auto"/>
        </w:rPr>
      </w:pPr>
      <w:r>
        <w:rPr>
          <w:rFonts w:ascii="Arial" w:cs="Arial" w:eastAsia="Arial" w:hAnsi="Arial"/>
          <w:sz w:val="16"/>
          <w:szCs w:val="16"/>
          <w:i w:val="1"/>
          <w:iCs w:val="1"/>
          <w:u w:val="single" w:color="auto"/>
          <w:color w:val="auto"/>
        </w:rPr>
        <w:t>(251&gt;.PQW@0LL71.4F7OB:S;,8X8D`@.7,CF4V'-J:4`"S'3(&gt;MAXB:G36IS)AI=B2. M:N)"AQ]AYU=YPA?'&amp;/9:E41&gt;IWC?&amp;&amp;4X=' MF-</w:t>
      </w:r>
    </w:p>
    <w:p>
      <w:pPr>
        <w:spacing w:after="0" w:line="232" w:lineRule="auto"/>
        <w:rPr>
          <w:sz w:val="20"/>
          <w:szCs w:val="20"/>
          <w:color w:val="auto"/>
        </w:rPr>
      </w:pPr>
      <w:r>
        <w:rPr>
          <w:rFonts w:ascii="Arial" w:cs="Arial" w:eastAsia="Arial" w:hAnsi="Arial"/>
          <w:sz w:val="16"/>
          <w:szCs w:val="16"/>
          <w:i w:val="1"/>
          <w:iCs w:val="1"/>
          <w:u w:val="single" w:color="auto"/>
          <w:color w:val="auto"/>
        </w:rPr>
        <w:t>%&amp;"V4"Y*YMSIB"5'.ZA6[71!0GLIR(:L]8K3-_SU;ZFU&amp;E^-8F?4T#'/U. M6=1&amp;%-.K:W@E:2)`:I%G.8)H-%WY&gt;N5L;Z$UE;GQ:D$^%)DMW$IO,,4MZ=&gt;&gt;</w:t>
      </w:r>
    </w:p>
    <w:p>
      <w:pPr>
        <w:spacing w:after="0" w:line="232" w:lineRule="auto"/>
        <w:rPr>
          <w:sz w:val="20"/>
          <w:szCs w:val="20"/>
          <w:color w:val="auto"/>
        </w:rPr>
      </w:pPr>
      <w:r>
        <w:rPr>
          <w:rFonts w:ascii="Arial" w:cs="Arial" w:eastAsia="Arial" w:hAnsi="Arial"/>
          <w:sz w:val="16"/>
          <w:szCs w:val="16"/>
          <w:i w:val="1"/>
          <w:iCs w:val="1"/>
          <w:u w:val="single" w:color="auto"/>
          <w:color w:val="auto"/>
        </w:rPr>
        <w:t>M59(9:L_6I,&amp;3.^F_`\MPDA;'74;.]0$3898PYAC\MBCQ\]Y,8G-UQ0]O"*S.Z&amp;O&lt;=R4[MZ2#1E MP;5R8H:-H/;3O MZ_D:RYBGFS)V'M).4-:42C49GQ;</w:t>
      </w:r>
    </w:p>
    <w:p>
      <w:pPr>
        <w:spacing w:after="0" w:line="232" w:lineRule="auto"/>
        <w:rPr>
          <w:sz w:val="20"/>
          <w:szCs w:val="20"/>
          <w:color w:val="auto"/>
        </w:rPr>
      </w:pPr>
      <w:r>
        <w:rPr>
          <w:rFonts w:ascii="Arial" w:cs="Arial" w:eastAsia="Arial" w:hAnsi="Arial"/>
          <w:sz w:val="16"/>
          <w:szCs w:val="16"/>
          <w:i w:val="1"/>
          <w:iCs w:val="1"/>
          <w:u w:val="single" w:color="auto"/>
          <w:color w:val="auto"/>
        </w:rPr>
        <w:t>[$LT8&gt;PF00'+2.$3MWAD84-L]@3BOCZ)\ MC$EAZ!(:1,X&gt;\,SVZ-2Q_/C70BVTIBXE&amp;I9DR3BB8Q*4Z9])./=:T@;(:Z-F</w:t>
      </w:r>
    </w:p>
    <w:p>
      <w:pPr>
        <w:spacing w:after="0" w:line="233" w:lineRule="auto"/>
        <w:rPr>
          <w:sz w:val="20"/>
          <w:szCs w:val="20"/>
          <w:color w:val="auto"/>
        </w:rPr>
      </w:pPr>
      <w:r>
        <w:rPr>
          <w:rFonts w:ascii="Arial" w:cs="Arial" w:eastAsia="Arial" w:hAnsi="Arial"/>
          <w:sz w:val="16"/>
          <w:szCs w:val="16"/>
          <w:i w:val="1"/>
          <w:iCs w:val="1"/>
          <w:u w:val="single" w:color="auto"/>
          <w:color w:val="auto"/>
        </w:rPr>
        <w:t>M5$$KPMDF+9!D#*CC;@T(F%&gt;CR4A78PEC$YP64,3"8J,`TOT:=I#&amp;G$QT1Y&amp;: M:M0T@SZW$20Z"QI#`9'CK'N2\&lt;95QMEMBS-BS(S-.</w:t>
      </w:r>
    </w:p>
    <w:p>
      <w:pPr>
        <w:spacing w:after="0" w:line="232" w:lineRule="auto"/>
        <w:rPr>
          <w:sz w:val="20"/>
          <w:szCs w:val="20"/>
          <w:color w:val="auto"/>
        </w:rPr>
      </w:pPr>
      <w:r>
        <w:rPr>
          <w:rFonts w:ascii="Arial" w:cs="Arial" w:eastAsia="Arial" w:hAnsi="Arial"/>
          <w:sz w:val="16"/>
          <w:szCs w:val="16"/>
          <w:i w:val="1"/>
          <w:iCs w:val="1"/>
          <w:u w:val="single" w:color="auto"/>
          <w:color w:val="auto"/>
        </w:rPr>
        <w:t>[O]E+9'9:RL$'HH3BI0P9'R&lt;\26--,9ETFCL9;$.8:Q/),Q*V)CD#(+$M3$'$0%L;G5'*&lt;=/+'8[+&lt;8RD MRY#48?6X+&lt;(H4&gt;5&lt;.7#9"&amp;(9C99.;&amp;[X$&lt;"ZB/Y')FF?0Y[Q</w:t>
      </w:r>
    </w:p>
    <w:p>
      <w:pPr>
        <w:spacing w:after="0"/>
        <w:rPr>
          <w:sz w:val="20"/>
          <w:szCs w:val="20"/>
          <w:color w:val="auto"/>
        </w:rPr>
      </w:pPr>
      <w:r>
        <w:rPr>
          <w:rFonts w:ascii="Arial" w:cs="Arial" w:eastAsia="Arial" w:hAnsi="Arial"/>
          <w:sz w:val="15"/>
          <w:szCs w:val="15"/>
          <w:i w:val="1"/>
          <w:iCs w:val="1"/>
          <w:u w:val="single" w:color="auto"/>
          <w:color w:val="auto"/>
        </w:rPr>
        <w:t>MCJ%!+DT0N1)&amp;I`RKF29L[Y!),TR.(2&gt;.LYXR"6Z0Q9PD\&gt;\)YCIBG3'#W,N2EB:FF=-4GC0UD=R+$'$E,O,68Z03UGUE2 MK)K7GN9:?,%.N8&lt;&gt;X$GF0&lt;4JWD$Z;</w:t>
      </w:r>
    </w:p>
    <w:p>
      <w:pPr>
        <w:spacing w:after="0"/>
        <w:rPr>
          <w:sz w:val="20"/>
          <w:szCs w:val="20"/>
          <w:color w:val="auto"/>
        </w:rPr>
      </w:pPr>
      <w:r>
        <w:rPr>
          <w:rFonts w:ascii="Arial" w:cs="Arial" w:eastAsia="Arial" w:hAnsi="Arial"/>
          <w:sz w:val="16"/>
          <w:szCs w:val="16"/>
          <w:i w:val="1"/>
          <w:iCs w:val="1"/>
          <w:u w:val="single" w:color="auto"/>
          <w:color w:val="auto"/>
        </w:rPr>
        <w:t>(A(\KY)Q$O5,65&amp;'"L:7QYS;I,W0R8( MG2`FO\OE&lt;#3O\SC\C;XPE=&amp;U`WO+OYK?K3FTES'JAQ+#,(-KR=I,QLT3638[-6/(5DZ-F0QI&gt;839+9U)CTT2-QC!</w:t>
      </w:r>
    </w:p>
    <w:p>
      <w:pPr>
        <w:spacing w:after="0" w:line="232" w:lineRule="auto"/>
        <w:rPr>
          <w:sz w:val="20"/>
          <w:szCs w:val="20"/>
          <w:color w:val="auto"/>
        </w:rPr>
      </w:pPr>
      <w:r>
        <w:rPr>
          <w:rFonts w:ascii="Arial" w:cs="Arial" w:eastAsia="Arial" w:hAnsi="Arial"/>
          <w:sz w:val="16"/>
          <w:szCs w:val="16"/>
          <w:i w:val="1"/>
          <w:iCs w:val="1"/>
          <w:u w:val="single" w:color="auto"/>
          <w:color w:val="auto"/>
        </w:rPr>
        <w:t>(Y`QGKY0E,9FQ:J+4$+[^G MA_6N;G+)TMBV.\:II#"&lt;&gt;:CLHZ9LER)NR4QJ,@XHF6+T4EXV193P]=D+=(A" MIR[QL*7'2V\F&lt;9!</w:t>
      </w:r>
    </w:p>
    <w:p>
      <w:pPr>
        <w:spacing w:after="0" w:line="232" w:lineRule="auto"/>
        <w:rPr>
          <w:sz w:val="20"/>
          <w:szCs w:val="20"/>
          <w:color w:val="auto"/>
        </w:rPr>
      </w:pPr>
      <w:r>
        <w:rPr>
          <w:rFonts w:ascii="Arial" w:cs="Arial" w:eastAsia="Arial" w:hAnsi="Arial"/>
          <w:sz w:val="16"/>
          <w:szCs w:val="16"/>
          <w:i w:val="1"/>
          <w:iCs w:val="1"/>
          <w:u w:val="single" w:color="auto"/>
          <w:color w:val="auto"/>
        </w:rPr>
        <w:t>(6"3PR;JHZUQ&gt;1%+4\.U&lt;[6'1CH&gt;R6U8DU"2O*;'-GF&amp;M MD\0I(7ISS[EEJ'''=U&gt;V9$&gt;=),7X\E9HO+&amp;TVZ%[0LF1&lt;98SD&lt;3D[&amp;8L*&amp;J95Y*]*[\V'I2I"RL</w:t>
      </w:r>
    </w:p>
    <w:p>
      <w:pPr>
        <w:spacing w:after="0" w:line="232" w:lineRule="auto"/>
        <w:rPr>
          <w:sz w:val="20"/>
          <w:szCs w:val="20"/>
          <w:color w:val="auto"/>
        </w:rPr>
      </w:pPr>
      <w:r>
        <w:rPr>
          <w:rFonts w:ascii="Arial" w:cs="Arial" w:eastAsia="Arial" w:hAnsi="Arial"/>
          <w:sz w:val="16"/>
          <w:szCs w:val="16"/>
          <w:i w:val="1"/>
          <w:iCs w:val="1"/>
          <w:u w:val="single" w:color="auto"/>
          <w:color w:val="auto"/>
        </w:rPr>
        <w:t>MCR!6WD[-]'^U-T&gt;ZZ9M*L&gt;Z=I3DU^E$-B/XC=LH MP"*-CJNNXN24H#0V*E3J:4(U04D$G3J#2I#I&amp;UJFZNVB!9#A6-T=L*Y-BLWD</w:t>
      </w:r>
    </w:p>
    <w:p>
      <w:pPr>
        <w:spacing w:after="0" w:line="232" w:lineRule="auto"/>
        <w:rPr>
          <w:sz w:val="20"/>
          <w:szCs w:val="20"/>
          <w:color w:val="auto"/>
        </w:rPr>
      </w:pPr>
      <w:r>
        <w:rPr>
          <w:rFonts w:ascii="Arial" w:cs="Arial" w:eastAsia="Arial" w:hAnsi="Arial"/>
          <w:sz w:val="16"/>
          <w:szCs w:val="16"/>
          <w:i w:val="1"/>
          <w:iCs w:val="1"/>
          <w:u w:val="single" w:color="auto"/>
          <w:color w:val="auto"/>
        </w:rPr>
        <w:t>M$;R0Q9,89DJB;_#),RL!V*GDI&gt;Y*&amp;]+;?%FT\;9GE_'F,IIA9_A#3EK5 M?JKT80&amp;:MDW8)LE-S;I/M/5TG(DT=3M$&gt;?F.(39BQC-G*%RAL*DQ:50U)VZ&lt;</w:t>
      </w:r>
    </w:p>
    <w:p>
      <w:pPr>
        <w:spacing w:after="0" w:line="232" w:lineRule="auto"/>
        <w:rPr>
          <w:sz w:val="20"/>
          <w:szCs w:val="20"/>
          <w:color w:val="auto"/>
        </w:rPr>
      </w:pPr>
      <w:r>
        <w:rPr>
          <w:rFonts w:ascii="Arial" w:cs="Arial" w:eastAsia="Arial" w:hAnsi="Arial"/>
          <w:sz w:val="16"/>
          <w:szCs w:val="16"/>
          <w:i w:val="1"/>
          <w:iCs w:val="1"/>
          <w:u w:val="single" w:color="auto"/>
          <w:color w:val="auto"/>
        </w:rPr>
        <w:t>M(8B)V;%2F\FJS6^T:&gt;,HX#P3&amp;H]#9_FS4&amp;ZN@89`)9F_'V##W*/,:YE:W5;&amp; M'/(8#")Y+&gt;&lt;']$%GQI$R%TR?D"*0.K&gt;D&amp;D85&gt;^T.1-JYA3$R&gt;;3V?QN1,^`H</w:t>
      </w:r>
    </w:p>
    <w:p>
      <w:pPr>
        <w:spacing w:after="0" w:line="232" w:lineRule="auto"/>
        <w:rPr>
          <w:sz w:val="20"/>
          <w:szCs w:val="20"/>
          <w:color w:val="auto"/>
        </w:rPr>
      </w:pPr>
      <w:r>
        <w:rPr>
          <w:rFonts w:ascii="Arial" w:cs="Arial" w:eastAsia="Arial" w:hAnsi="Arial"/>
          <w:sz w:val="16"/>
          <w:szCs w:val="16"/>
          <w:i w:val="1"/>
          <w:iCs w:val="1"/>
          <w:u w:val="single" w:color="auto"/>
          <w:color w:val="auto"/>
        </w:rPr>
        <w:t>MIE34G@A%EU,M;EQL@S%I6QW+\@Y-BZ2&amp;F!1')VQQOC+*D&amp;@3Y^$"E5*,A0!Q M8U3$R-SW%GMZRDP'J;MEZ;Y0Q+*8*OQGE[$L=Q!-</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I3#%;ZDDZ2T)SI'7MYQ^ M^(I"C;VLI0?9UB$[A2S-D&gt;8-G["^'"[@R89B_(Q;2C.132#.9K.T2&gt;'SJ%1A MP1F2V(O#&gt;:[1IT7/31YM)\G9@([N!E.E?6RSZOTN/97B" M&amp;W=</w:t>
      </w:r>
    </w:p>
    <w:p>
      <w:pPr>
        <w:spacing w:after="0"/>
        <w:rPr>
          <w:sz w:val="20"/>
          <w:szCs w:val="20"/>
          <w:color w:val="auto"/>
        </w:rPr>
      </w:pPr>
      <w:r>
        <w:rPr>
          <w:rFonts w:ascii="Arial" w:cs="Arial" w:eastAsia="Arial" w:hAnsi="Arial"/>
          <w:sz w:val="16"/>
          <w:szCs w:val="16"/>
          <w:i w:val="1"/>
          <w:iCs w:val="1"/>
          <w:u w:val="single" w:color="auto"/>
          <w:color w:val="auto"/>
        </w:rPr>
        <w:t>&lt;7R'#K//LA3TZ4EDWQ9DMZ/NGMI\&gt;8THC:5V&lt;&amp;M( M44H1(G-ZCJ%VQZS[MN-G]IHR].\&amp;98FV9FW(N.'-.SRE!&amp;]*&gt;IF&gt;,J9&gt;J:6Y MZ)+02Z$XL?</w:t>
      </w:r>
    </w:p>
    <w:p>
      <w:pPr>
        <w:spacing w:after="0" w:line="232" w:lineRule="auto"/>
        <w:rPr>
          <w:sz w:val="20"/>
          <w:szCs w:val="20"/>
          <w:color w:val="auto"/>
        </w:rPr>
      </w:pPr>
      <w:r>
        <w:rPr>
          <w:rFonts w:ascii="Arial" w:cs="Arial" w:eastAsia="Arial" w:hAnsi="Arial"/>
          <w:sz w:val="16"/>
          <w:szCs w:val="16"/>
          <w:i w:val="1"/>
          <w:iCs w:val="1"/>
          <w:u w:val="single" w:color="auto"/>
          <w:color w:val="auto"/>
        </w:rPr>
        <w:t>8L\EB0.B,P2EI=5B9PCNH2-_A9&amp;HD-^EIC",QV\-U.2*=Q?4'CZ13?&amp;.8VS$&amp;F35%E#% M9V0L73B1X[DKYCF;Q7&amp;4H9'B$REPC!LGC11$E?</w:t>
      </w:r>
    </w:p>
    <w:p>
      <w:pPr>
        <w:spacing w:after="0"/>
        <w:rPr>
          <w:sz w:val="20"/>
          <w:szCs w:val="20"/>
          <w:color w:val="auto"/>
        </w:rPr>
      </w:pPr>
      <w:r>
        <w:rPr>
          <w:rFonts w:ascii="Arial" w:cs="Arial" w:eastAsia="Arial" w:hAnsi="Arial"/>
          <w:sz w:val="15"/>
          <w:szCs w:val="15"/>
          <w:i w:val="1"/>
          <w:iCs w:val="1"/>
          <w:u w:val="single" w:color="auto"/>
          <w:color w:val="auto"/>
        </w:rPr>
        <w:t>UK*TNZ://3LM&gt;VEQ.%FSC/ M:CZ;M0.FW4GJ2TZCG&gt;18_IFB$JD\O8ICC+*&amp;"G-S41&gt;!NF1#65GOEN#,*A2&gt; MX,+2H`EO/.NR:Z=,#95SW.\#MKG'\:0C%,WYMAF;</w:t>
      </w:r>
    </w:p>
    <w:p>
      <w:pPr>
        <w:spacing w:after="0"/>
        <w:rPr>
          <w:sz w:val="20"/>
          <w:szCs w:val="20"/>
          <w:color w:val="auto"/>
        </w:rPr>
      </w:pPr>
      <w:r>
        <w:rPr>
          <w:rFonts w:ascii="Arial" w:cs="Arial" w:eastAsia="Arial" w:hAnsi="Arial"/>
          <w:sz w:val="16"/>
          <w:szCs w:val="16"/>
          <w:i w:val="1"/>
          <w:iCs w:val="1"/>
          <w:u w:val="single" w:color="auto"/>
          <w:color w:val="auto"/>
        </w:rPr>
        <w:t>(^]+7(C)LW00\#(O"X0ID5 MQMW:R'=LD20U:V+&amp;.1-?.A+:\%N#6-.H]C/&amp;L_(&gt;GN'NDFF&amp;"&amp;=W/(SAIEP&lt; MTI8GF]D=$3@_ZE\GM&amp;)F@]P5K(&amp;VNT=-</w:t>
      </w:r>
    </w:p>
    <w:p>
      <w:pPr>
        <w:spacing w:after="0" w:line="232" w:lineRule="auto"/>
        <w:rPr>
          <w:sz w:val="20"/>
          <w:szCs w:val="20"/>
          <w:color w:val="auto"/>
        </w:rPr>
      </w:pPr>
      <w:r>
        <w:rPr>
          <w:rFonts w:ascii="Arial" w:cs="Arial" w:eastAsia="Arial" w:hAnsi="Arial"/>
          <w:sz w:val="16"/>
          <w:szCs w:val="16"/>
          <w:i w:val="1"/>
          <w:iCs w:val="1"/>
          <w:u w:val="single" w:color="auto"/>
          <w:color w:val="auto"/>
        </w:rPr>
        <w:t>ATBE$1&gt;)`V.D;XY?$)"F&gt;8^J&lt;5A! MS/5V-*^JIIU,%YY:+0YW@TWTUZ@99IPRBQJW5ID["*&lt;1B.0^9%N&lt;+F3)Q2"2 M1QVBL\C*X%UK?'I,PNISG&amp;I7&amp;&amp;-</w:t>
      </w:r>
    </w:p>
    <w:p>
      <w:pPr>
        <w:spacing w:after="0" w:line="232" w:lineRule="auto"/>
        <w:rPr>
          <w:sz w:val="20"/>
          <w:szCs w:val="20"/>
          <w:color w:val="auto"/>
        </w:rPr>
      </w:pPr>
      <w:r>
        <w:rPr>
          <w:rFonts w:ascii="Arial" w:cs="Arial" w:eastAsia="Arial" w:hAnsi="Arial"/>
          <w:sz w:val="16"/>
          <w:szCs w:val="16"/>
          <w:i w:val="1"/>
          <w:iCs w:val="1"/>
          <w:u w:val="single" w:color="auto"/>
          <w:color w:val="auto"/>
        </w:rPr>
        <w:t>Y:SB!VZCVLF7Y6B&amp;6,IZ&gt;L#N&amp;8L3XQFL_ MQZT/Y&amp;0VF+2G-$FQ))72%9.'A.++(ZYL\CC\&gt;FK%(X#QB&lt;0F3#@9K</w:t>
      </w:r>
    </w:p>
    <w:p>
      <w:pPr>
        <w:spacing w:after="0" w:line="232" w:lineRule="auto"/>
        <w:rPr>
          <w:sz w:val="20"/>
          <w:szCs w:val="20"/>
          <w:color w:val="auto"/>
        </w:rPr>
      </w:pPr>
      <w:r>
        <w:rPr>
          <w:rFonts w:ascii="Arial" w:cs="Arial" w:eastAsia="Arial" w:hAnsi="Arial"/>
          <w:sz w:val="16"/>
          <w:szCs w:val="16"/>
          <w:i w:val="1"/>
          <w:iCs w:val="1"/>
          <w:u w:val="single" w:color="auto"/>
          <w:color w:val="auto"/>
        </w:rPr>
        <w:t>M.P.AN.7I++&amp;MM&gt;'!I=WB3Q$\#F\N\7'$F=TD*2Z3OKQLOCFIS)F*&lt;0O&gt;5,0: M19E.8#E64-TI0L4KE,IPXC+&lt;,ZM&gt;$8,N951&amp;0C\47Y='G.\DE&gt;.BI1-V"116</w:t>
      </w:r>
    </w:p>
    <w:p>
      <w:pPr>
        <w:spacing w:after="0" w:line="232" w:lineRule="auto"/>
        <w:rPr>
          <w:sz w:val="20"/>
          <w:szCs w:val="20"/>
          <w:color w:val="auto"/>
        </w:rPr>
      </w:pPr>
      <w:r>
        <w:rPr>
          <w:rFonts w:ascii="Arial" w:cs="Arial" w:eastAsia="Arial" w:hAnsi="Arial"/>
          <w:sz w:val="16"/>
          <w:szCs w:val="16"/>
          <w:i w:val="1"/>
          <w:iCs w:val="1"/>
          <w:u w:val="single" w:color="auto"/>
          <w:color w:val="auto"/>
        </w:rPr>
        <w:t>M'#=S&amp;].XKYAAW6K%\YZAWC#&gt;/6`I]@X=*6G[5S#,RI)("['.L=ZDGS(C+CLI MLC"A@3/2!0:#&amp;;Z\+E2Y7=.4TKF,1)9R]4N0MUFG_:$S5`[Z9XG'].P9'-=3</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M16J\R,,7KRL+*D:#=*5UQ[XB&lt;7YRA'(#5B_"-Z+VOTC-OU/FO?=V]_]E:FL=["[908G MRM#\X8]T88[C&amp;5H#.6O)41FB*0Y/.=8&gt;/-1L MR#,7I]:E#M&amp;(3!LFQ!0P1@+-</w:t>
      </w:r>
    </w:p>
    <w:p>
      <w:pPr>
        <w:spacing w:after="0"/>
        <w:rPr>
          <w:sz w:val="20"/>
          <w:szCs w:val="20"/>
          <w:color w:val="auto"/>
        </w:rPr>
      </w:pPr>
      <w:r>
        <w:rPr>
          <w:rFonts w:ascii="Arial" w:cs="Arial" w:eastAsia="Arial" w:hAnsi="Arial"/>
          <w:sz w:val="16"/>
          <w:szCs w:val="16"/>
          <w:i w:val="1"/>
          <w:iCs w:val="1"/>
          <w:u w:val="single" w:color="auto"/>
          <w:color w:val="auto"/>
        </w:rPr>
        <w:t>%I&amp;!5(%YN0BUZJ+'68</w:t>
      </w:r>
      <w:r>
        <w:rPr>
          <w:rFonts w:ascii="Arial" w:cs="Arial" w:eastAsia="Arial" w:hAnsi="Arial"/>
          <w:sz w:val="16"/>
          <w:szCs w:val="16"/>
          <w:i w:val="1"/>
          <w:iCs w:val="1"/>
          <w:u w:val="single" w:color="auto"/>
          <w:color w:val="auto"/>
          <w:strike w:val="1"/>
        </w:rPr>
        <w:t>GC*A#C&amp;(VJ MD,&amp;G\61-1RL+N6!`5&lt;2(R MZC&amp;V.Z*HF&amp;&amp;T&lt;"PAAC"J5&lt;&gt;B389 M-</w:t>
      </w:r>
    </w:p>
    <w:p>
      <w:pPr>
        <w:ind w:right="60"/>
        <w:spacing w:after="0" w:line="268" w:lineRule="auto"/>
        <w:rPr>
          <w:sz w:val="20"/>
          <w:szCs w:val="20"/>
          <w:color w:val="auto"/>
        </w:rPr>
      </w:pPr>
      <w:r>
        <w:rPr>
          <w:rFonts w:ascii="Arial" w:cs="Arial" w:eastAsia="Arial" w:hAnsi="Arial"/>
          <w:sz w:val="14"/>
          <w:szCs w:val="14"/>
          <w:i w:val="1"/>
          <w:iCs w:val="1"/>
          <w:u w:val="single" w:color="auto"/>
          <w:color w:val="auto"/>
          <w:strike w:val="1"/>
        </w:rPr>
        <w:t>6.4B;K8WD$S:F%BG;*R+CI):+.;XE1'NSLHM%CK9HYRQ1FV4ZKX2Z853:@? MX;&gt;HS,#6B6KH1D?2EJD7P\K(6'IXZ^MZ)\@N5HL3$&amp;:6XZR3#V&gt;2E,\C: M# (BO$XX^FDP0'W2S]LY)GJ&amp;Q7DD)DLC6&amp;-2+1FG.64]-.:(:L(LF:F1' M'9KC?(J!UC&lt;:L^XYRO%25,-R[`RD[NT+$Y&lt;;F;$OO,X7%5[7=C4-H;,U8J-1 M4? S:=NQW,=/PM/F'&amp;F$90GC`M2QV2-*MVGSQ.4B1D0-K=(7'(B&gt;%+VA&gt;B',B MD[5CF*K1IDZX3JUK8YD735J[S!I+T?X[R;(,,2#47AC.VC3+V;I@GE$W1P6? M*=,.587D26O,44CQT:_D/V3_`,#KFIFMWCZ!MCSN^J@GNK@@0$F+/!U9;.]\ MU&lt;:@\OO,W=HXTX$S3LY,MZ'I`8TO+Q?*;'(,H9':IX5/65E/BXHHH0QKFHD" M).ND]E*MU`2&gt;H;[MP3DYTOD^EC/&gt;H"^CA@U&amp;J\8I8_I+ROC_`%!2%]QT]RA: MZYVS)AN'OT?QD:C8WJ+,Z;$L&amp;'*W_P!SA+'"VJ M[9LRI^:])V0TTQC^*]1N`I5#X_DE[AJASE$)SMIH;,_H#% MZ#`$E$Z0IV=K3IE#I9$@EVM32]E#5#B33C!PVQ6_O.- M]3FE?.^54LU-&gt;FJ&amp;2YGP7.V:=S2.LC6FBLS$&lt;.7J&amp;Y4VLJ%]2@;42=04:[+# MN+&amp;6;&amp;,P:.ILAU`Z&amp;,EZ9X7A&amp;.8VTEK=3KDY8U&gt;9)(\9HEQ^H:$*(X--"T\0 MQA/&amp;=I3-K^OU9K2JW##V]L3QU M:58W'V@+);ILSI3L^LYRZ-KC8S'Y3C?3[DJ*R.4R%ZB$$@XQ M%W`&amp;4&lt;"DLF,4JYP;B7%$\.^/4L@2+[&amp;.AZ)-,9F8R\H MY;R).2("S.:L1'X%0-IBL2CT)5W0,K1)%[@]*W:6HD40];`6B[4+I/&lt;,O%:? M7/![/$&lt;\8?8I+((M)AR5:'%FLV(X\:H;.^88K$L&gt;:=\:9GA\&amp;(?]-6$I9)9-B) M[S:S2&amp;2NDSU#((\ [Q"!1C&amp;DFEL?,+H(Q1AMQKD27M5;4=9F!LO:H]`^H+3@C68Y:,Q9YT M]S7%"AR5+Y.BQG'I+D&amp;,*F%Q7%KR6%ZE*Z/1\QP.$D'&gt;/IW)\)2%B,0,8E@D MZ*PFI'9ZI2OK.H:4"%Z=66,%&amp;I(^B.&lt;3"%0BKI^EC71-G?'F`X]HC/?&lt;=2;2M",R, MZ")RQ/+YI"LV':06A=&gt;;L&gt;)Y8D8(*-H&gt;,FQN7IVB`NF14$Q;#LIXK0*7N6GM M&gt;27E\7.MM9KLMYW+6/7Y@MMR2W1'3_J@R!A?5%A"3F/DIGF5,.ZR&lt;;.T%F4G MG&lt;@CDB:$;/)&lt;&gt;37)F)&lt;:9`&lt;8RGR`4M4N9604F]M+FZ13'N-8^AG51K2(;GJ3 MH=/N.9S']%&amp;N+39=2TSF?R2/2S(&gt;KW&amp;4/QRTRT@X[%S2]Q2#XW&amp;T262)T3@5 M*Y.=^$JF.MP4PA.$C7SS"&gt;C'4II+,S"HP2ECV&gt;&lt;0QV0O&lt;.EKU*6XK%&gt;LF M,0)EQL=/8+*6W&amp;#\X2O",X961ED#SC^1MC.LADQCJERA24&gt;9YS-G3&amp;$ND\BEC%/\1_P@I\\Y8R!`Y#`T$,</w:t>
      </w:r>
    </w:p>
    <w:p>
      <w:pPr>
        <w:sectPr>
          <w:pgSz w:w="11900" w:h="16915" w:orient="portrait"/>
          <w:cols w:equalWidth="0" w:num="1">
            <w:col w:w="10980"/>
          </w:cols>
          <w:pgMar w:left="620" w:top="124" w:right="299" w:bottom="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u w:val="single" w:color="auto"/>
          <w:color w:val="auto"/>
          <w:strike w:val="1"/>
        </w:rPr>
        <w:t>M&gt;6?)S;&amp;182M&lt;8VYML7DR%$L8390_6S)T4Y=:=3.L[4!;%VE;( MSIGG*VGO(^%)%D&gt;2RX$IQ*Y8'P_`&lt;:M4A&lt;4Z#"KHJ,=")##CYXV,&lt;3F30E.$</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strike w:val="1"/>
        </w:rPr>
        <w:t>MKM'%C^D+5KG:NV_:&amp;LD3;5WAC5&amp;XL&gt;',7Y:Q9ER8K9AJ3P_(9:QY(S]I@-23 MEJANG',N-4T-8XK-"CVYT@)KP^3*7R]!!G:$"?\`&amp;*9`YNUB4&amp;V"Q=KV#PA&amp;</w:t>
      </w:r>
    </w:p>
    <w:p>
      <w:pPr>
        <w:spacing w:after="0"/>
        <w:rPr>
          <w:sz w:val="20"/>
          <w:szCs w:val="20"/>
          <w:color w:val="auto"/>
        </w:rPr>
      </w:pPr>
      <w:r>
        <w:rPr>
          <w:rFonts w:ascii="Arial" w:cs="Arial" w:eastAsia="Arial" w:hAnsi="Arial"/>
          <w:sz w:val="16"/>
          <w:szCs w:val="16"/>
          <w:i w:val="1"/>
          <w:iCs w:val="1"/>
          <w:u w:val="single" w:color="auto"/>
          <w:color w:val="auto"/>
          <w:strike w:val="1"/>
        </w:rPr>
        <w:t>M[[!"&amp;][",#OO:VZ]]P;VMOO?IO6,.K_1OIXUV8+E.G74UC]%D3&amp;V^U:$,I[-'5/,GK(F8,*2#!FCS4UD[3=,\;9VR!@V69-1P#5QE1]&gt;L=N M+!,]3@</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M\JQ**:5F#`D]D\FGX]/!4KR&amp;^I]&amp;F2\A)XNWYQFNF*1`Q'&amp;4&amp;04FH=!'3%$D</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MA#ZR869&lt;829TD#W#W)\03F=LKYDMHET3$X$&lt;)%2&gt;3PV-/3(Z)&amp;M:W1J5@8`6:I`!H2FW4FI`EI";A:N</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M\$9!U01]\P&amp;Y1/$BK`LXC&lt;:/=\@O\EE/KM8YR'')PGD*&amp;40&amp;"IH,LC3B\,*- ML9WO'LRODB(O&lt;+GR,IY,;W5"A3IU.O[.^R$?M0RLQ@ MG]RK/_3GIYR-</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#LVYXU+YB'"*L,4T\L\_5)%Q3R^-C M(X+7293[+F0GTU,-E(*8([^"[)=6[+T;DX'XW8#T/9=@S=&amp;XQE1HPA,(@IU&gt; M:^L[9!9`R*32-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strike w:val="1"/>
        </w:rPr>
        <w:t>J=\:ZQY%FE];84)AD.,6]ODS@U),N7C\T;'D;9'W5O;%QB% M8L`Y@0$6EDFRXRW%=*^&gt;=+^)Y9/\R21$_%CY!&lt;7R%Q1+7E%`7B(M4F&lt;5YL,$&lt;[W&amp;U,:#LZ:IG_45</w:t>
      </w:r>
    </w:p>
    <w:p>
      <w:pPr>
        <w:spacing w:after="0"/>
        <w:rPr>
          <w:sz w:val="20"/>
          <w:szCs w:val="20"/>
          <w:color w:val="auto"/>
        </w:rPr>
      </w:pPr>
      <w:r>
        <w:rPr>
          <w:rFonts w:ascii="Arial" w:cs="Arial" w:eastAsia="Arial" w:hAnsi="Arial"/>
          <w:sz w:val="16"/>
          <w:szCs w:val="16"/>
          <w:i w:val="1"/>
          <w:iCs w:val="1"/>
          <w:u w:val="single" w:color="auto"/>
          <w:color w:val="auto"/>
          <w:strike w:val="1"/>
        </w:rPr>
        <w:t>ME*;/V*V"^L/C[':J4MDJ MFG$37(4%);X]'I;+B6?!,&gt;#:/P:/KYR\M#4-&amp;^/LR&gt;WMJCKF]1"/MJIR5]K3 M1H^R=I*U+Y36XKD;$]:0\[L#;D?</w:t>
      </w:r>
    </w:p>
    <w:p>
      <w:pPr>
        <w:spacing w:after="0"/>
        <w:rPr>
          <w:sz w:val="20"/>
          <w:szCs w:val="20"/>
          <w:color w:val="auto"/>
        </w:rPr>
      </w:pPr>
      <w:r>
        <w:rPr>
          <w:rFonts w:ascii="Arial" w:cs="Arial" w:eastAsia="Arial" w:hAnsi="Arial"/>
          <w:sz w:val="15"/>
          <w:szCs w:val="15"/>
          <w:i w:val="1"/>
          <w:iCs w:val="1"/>
          <w:u w:val="single" w:color="auto"/>
          <w:color w:val="auto"/>
          <w:strike w:val="1"/>
        </w:rPr>
        <w:t>(L4G\MQY4^LX0Y1;54[B:%L)?7QE7[([@"+IN(W??JVL,RUNU:]K=JU87Y M=T)8BROD1^RDEEN&gt;,/3*=-S(RY6&lt;=/V&lt;\C86+R\SQM`)HCY61$D+=D:=S?65 MD%^#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strike w:val="1"/>
        </w:rPr>
        <w:t>[3/V@##DQNC8$T&lt;234IE;VU"DR:QQC2"8B@&lt;1QAC2,-D*@$"C[9%8A%&amp; M`@Q$T,3`S)@)&amp;YO1D6$(7`)(+#QAQQARI6&gt;(U8M4*5B@\\R`:H&lt;:R7,6FW/V</w:t>
      </w:r>
    </w:p>
    <w:p>
      <w:pPr>
        <w:spacing w:after="0"/>
        <w:rPr>
          <w:sz w:val="20"/>
          <w:szCs w:val="20"/>
          <w:color w:val="auto"/>
        </w:rPr>
      </w:pPr>
      <w:r>
        <w:rPr>
          <w:rFonts w:ascii="Arial" w:cs="Arial" w:eastAsia="Arial" w:hAnsi="Arial"/>
          <w:sz w:val="16"/>
          <w:szCs w:val="16"/>
          <w:i w:val="1"/>
          <w:iCs w:val="1"/>
          <w:u w:val="single" w:color="auto"/>
          <w:color w:val="auto"/>
          <w:strike w:val="1"/>
        </w:rPr>
        <w:t>M(88&gt;SII5E7#.3L:Q]9)EKBA84#M/84]Q)(XNZQM;'IR);FTUX"O5!0M:U4&gt;6 MGN003QA@1@P9ENSV5BV9.8-(^-XCA"$Z@,VZ-6[33.\A("7!KC$BE3?A@.'F</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MV62B6MD)'.9*Q1M(8LD7"5\S8TQ#&amp;7EP8)',E*::R_'D\B+J-XFHV;"&lt;93H61FA$;=&amp;!F3I8_)WF1 MK)*20\K&amp;-GC*0MQD^HW1)EG,N-7W&amp;L'Q%I/Q%&amp;W?</w:t>
      </w:r>
    </w:p>
    <w:p>
      <w:pPr>
        <w:spacing w:after="0"/>
        <w:rPr>
          <w:sz w:val="20"/>
          <w:szCs w:val="20"/>
          <w:color w:val="auto"/>
        </w:rPr>
      </w:pPr>
      <w:r>
        <w:rPr>
          <w:rFonts w:ascii="Arial" w:cs="Arial" w:eastAsia="Arial" w:hAnsi="Arial"/>
          <w:sz w:val="15"/>
          <w:szCs w:val="15"/>
          <w:i w:val="1"/>
          <w:iCs w:val="1"/>
          <w:u w:val="single" w:color="auto"/>
          <w:color w:val="auto"/>
          <w:strike w:val="1"/>
        </w:rPr>
        <w:t>4MHYU`.D:893,#FF;N&amp;` MLX07)F25DO&amp;UX3CS62YRN#XOAF-HRVH8PO+4BNM?Y5(P)TB)E,R)T5:9I]I% M09*PYKIJ"F5/0&amp;S)R?;X^R8H MEB^:.\*6,\:G*!&lt;]1N\M?</w:t>
      </w:r>
    </w:p>
    <w:p>
      <w:pPr>
        <w:spacing w:after="0"/>
        <w:rPr>
          <w:sz w:val="20"/>
          <w:szCs w:val="20"/>
          <w:color w:val="auto"/>
        </w:rPr>
      </w:pPr>
      <w:r>
        <w:rPr>
          <w:rFonts w:ascii="Arial" w:cs="Arial" w:eastAsia="Arial" w:hAnsi="Arial"/>
          <w:sz w:val="16"/>
          <w:szCs w:val="16"/>
          <w:i w:val="1"/>
          <w:iCs w:val="1"/>
          <w:u w:val="single" w:color="auto"/>
          <w:color w:val="auto"/>
          <w:strike w:val="1"/>
        </w:rPr>
        <w:t>L)97LW&lt;[M&gt;A_4YLY\2]6./EN$674$EUPSG/F)BG%RE:Z#2_3=E_%^%\/Y0P%E00,?V M6PJ3V8\4%S+'&gt;1H,T2Y7!9&gt;4T-</w:t>
      </w:r>
    </w:p>
    <w:p>
      <w:pPr>
        <w:spacing w:after="0"/>
        <w:rPr>
          <w:sz w:val="20"/>
          <w:szCs w:val="20"/>
          <w:color w:val="auto"/>
        </w:rPr>
      </w:pPr>
      <w:r>
        <w:rPr>
          <w:rFonts w:ascii="Arial" w:cs="Arial" w:eastAsia="Arial" w:hAnsi="Arial"/>
          <w:sz w:val="15"/>
          <w:szCs w:val="15"/>
          <w:i w:val="1"/>
          <w:iCs w:val="1"/>
          <w:u w:val="single" w:color="auto"/>
          <w:color w:val="auto"/>
          <w:strike w:val="1"/>
        </w:rPr>
        <w:t>1%E\*=\@L[22\AT]O^JH2MZS,UCA[=%#4&amp;76N,Y`?I?.,8F`E./#7`A]1 MPN5%M21AM*'CU,!+]GK)YEDO0* MXRXC$N0\::&lt;&amp;/585G)CE07PJTX?-448`W/!&lt;,B)T;?</w:t>
      </w:r>
    </w:p>
    <w:p>
      <w:pPr>
        <w:spacing w:after="0"/>
        <w:rPr>
          <w:sz w:val="20"/>
          <w:szCs w:val="20"/>
          <w:color w:val="auto"/>
        </w:rPr>
      </w:pPr>
      <w:r>
        <w:rPr>
          <w:rFonts w:ascii="Arial" w:cs="Arial" w:eastAsia="Arial" w:hAnsi="Arial"/>
          <w:sz w:val="16"/>
          <w:szCs w:val="16"/>
          <w:i w:val="1"/>
          <w:iCs w:val="1"/>
          <w:u w:val="single" w:color="auto"/>
          <w:color w:val="auto"/>
          <w:strike w:val="1"/>
        </w:rPr>
        <w:t>VE5'&amp;=[5/0QM\LD2(] M9'EA#&gt;,9ZH"DPW:`0Q,D6B[)&amp;8TS-&lt;=CD=3QIB8(^QMR-G9&amp;-D:5;8@:F=G:</w:t>
      </w:r>
    </w:p>
    <w:p>
      <w:pPr>
        <w:spacing w:after="0" w:line="232" w:lineRule="auto"/>
        <w:rPr>
          <w:sz w:val="20"/>
          <w:szCs w:val="20"/>
          <w:color w:val="auto"/>
        </w:rPr>
      </w:pPr>
      <w:r>
        <w:rPr>
          <w:rFonts w:ascii="Arial" w:cs="Arial" w:eastAsia="Arial" w:hAnsi="Arial"/>
          <w:sz w:val="16"/>
          <w:szCs w:val="16"/>
          <w:i w:val="1"/>
          <w:iCs w:val="1"/>
          <w:u w:val="single" w:color="auto"/>
          <w:color w:val="auto"/>
          <w:strike w:val="1"/>
        </w:rPr>
        <w:t>MF\E,WMC6VH2"$3&gt;WH4Y"-$D))3)B2B2@`M++=3_&amp;_P#SO7-*CA_MJ:_T`^_: MDESC) M.QU+X?)]'4YQDG8ZE\/D^C:C#8M</w:t>
      </w:r>
    </w:p>
    <w:p>
      <w:pPr>
        <w:spacing w:after="0"/>
        <w:rPr>
          <w:sz w:val="20"/>
          <w:szCs w:val="20"/>
          <w:color w:val="auto"/>
        </w:rPr>
      </w:pPr>
      <w:r>
        <w:rPr>
          <w:rFonts w:ascii="Arial" w:cs="Arial" w:eastAsia="Arial" w:hAnsi="Arial"/>
          <w:sz w:val="16"/>
          <w:szCs w:val="16"/>
          <w:i w:val="1"/>
          <w:iCs w:val="1"/>
          <w:u w:val="single" w:color="auto"/>
          <w:color w:val="auto"/>
          <w:strike w:val="1"/>
        </w:rPr>
        <w:t>MR"M-./6KFM0&amp;]@`2D!`666@'PQ"'&gt;]Q&amp;`"$&amp;[A7M*J4I2E*4I2E*4I2E*4I2 AE*4I2E*4I2E*4I2E*4I2E*4I2E*4I2E*4I2E*4I2E?_9 ` end</w:t>
      </w:r>
    </w:p>
    <w:sectPr>
      <w:pgSz w:w="11900" w:h="16838" w:orient="portrait"/>
      <w:cols w:equalWidth="0" w:num="1">
        <w:col w:w="10940"/>
      </w:cols>
      <w:pgMar w:left="6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3"/>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endash "/>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3"/>
    </w:lvl>
  </w:abstractNum>
  <w:abstractNum w:abstractNumId="17">
    <w:nsid w:val="2901D82"/>
    <w:multiLevelType w:val="hybridMultilevel"/>
    <w:lvl w:ilvl="0">
      <w:lvlJc w:val="left"/>
      <w:lvlText w:val="\endash "/>
      <w:numFmt w:val="bullet"/>
      <w:start w:val="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4"/>
      <w:numFmt w:val="bullet"/>
      <w:start w:val="1"/>
    </w:lvl>
  </w:abstractNum>
  <w:abstractNum w:abstractNumId="20">
    <w:nsid w:val="1E7FF521"/>
    <w:multiLevelType w:val="hybridMultilevel"/>
    <w:lvl w:ilvl="0">
      <w:lvlJc w:val="left"/>
      <w:lvlText w:val="*"/>
      <w:numFmt w:val="bullet"/>
      <w:start w:val="1"/>
    </w:lvl>
    <w:lvl w:ilvl="1">
      <w:lvlJc w:val="left"/>
      <w:lvlText w:val="%2"/>
      <w:numFmt w:val="decimal"/>
      <w:start w:val="32"/>
    </w:lvl>
  </w:abstractNum>
  <w:abstractNum w:abstractNumId="21">
    <w:nsid w:val="7C3DBD3D"/>
    <w:multiLevelType w:val="hybridMultilevel"/>
    <w:lvl w:ilvl="0">
      <w:lvlJc w:val="left"/>
      <w:lvlText w:val="%1."/>
      <w:numFmt w:val="upperLetter"/>
      <w:start w:val="35"/>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decimal"/>
      <w:start w:val="4"/>
    </w:lvl>
  </w:abstractNum>
  <w:abstractNum w:abstractNumId="27">
    <w:nsid w:val="614FD4A1"/>
    <w:multiLevelType w:val="hybridMultilevel"/>
    <w:lvl w:ilvl="0">
      <w:lvlJc w:val="left"/>
      <w:lvlText w:val="%1."/>
      <w:numFmt w:val="decimal"/>
      <w:start w:val="5"/>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decimal"/>
      <w:start w:val="18"/>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6"/>
    </w:lvl>
  </w:abstractNum>
  <w:abstractNum w:abstractNumId="34">
    <w:nsid w:val="7724C67E"/>
    <w:multiLevelType w:val="hybridMultilevel"/>
    <w:lvl w:ilvl="0">
      <w:lvlJc w:val="left"/>
      <w:lvlText w:val="(%1)"/>
      <w:numFmt w:val="decimal"/>
      <w:start w:val="21"/>
    </w:lvl>
  </w:abstractNum>
  <w:abstractNum w:abstractNumId="35">
    <w:nsid w:val="5C482A97"/>
    <w:multiLevelType w:val="hybridMultilevel"/>
    <w:lvl w:ilvl="0">
      <w:lvlJc w:val="left"/>
      <w:lvlText w:val="o"/>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jpe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jpe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jpe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jpe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jpe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jpe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jpe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jpe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jpe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jpe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jpe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jpe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pn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png"/><Relationship Id="rId938" Type="http://schemas.openxmlformats.org/officeDocument/2006/relationships/image" Target="media/image931.jpe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pn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pn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pn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pn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pn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pn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png"/><Relationship Id="rId1180" Type="http://schemas.openxmlformats.org/officeDocument/2006/relationships/image" Target="media/image1173.jpeg"/><Relationship Id="rId1181" Type="http://schemas.openxmlformats.org/officeDocument/2006/relationships/image" Target="media/image1174.pn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jpe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2019-12-11T18:04:44Z</dcterms:created>
  <dcterms:modified xsi:type="dcterms:W3CDTF">2019-12-11T18:04:44Z</dcterms:modified>
</cp:coreProperties>
</file>