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481901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20" w:type="dxa"/>
            <w:vAlign w:val="bottom"/>
            <w:gridSpan w:val="4"/>
            <w:vMerge w:val="restart"/>
          </w:tcPr>
          <w:p>
            <w:pPr>
              <w:spacing w:after="0" w:line="250" w:lineRule="exact"/>
              <w:rPr>
                <w:rFonts w:ascii="Arial" w:cs="Arial" w:eastAsia="Arial" w:hAnsi="Arial"/>
                <w:sz w:val="22"/>
                <w:szCs w:val="22"/>
                <w:color w:val="0000EE"/>
                <w:w w:val="93"/>
              </w:rPr>
            </w:pPr>
            <w:hyperlink r:id="rId12">
              <w:r>
                <w:rPr>
                  <w:rFonts w:ascii="Arial" w:cs="Arial" w:eastAsia="Arial" w:hAnsi="Arial"/>
                  <w:sz w:val="22"/>
                  <w:szCs w:val="22"/>
                  <w:color w:val="0000EE"/>
                  <w:w w:val="93"/>
                </w:rPr>
                <w:t>WETMORE DOUGLAS J</w:t>
              </w:r>
            </w:hyperlink>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INTERNATIONAL FLAVORS &amp;</w:t>
              </w:r>
            </w:hyperlink>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gridSpan w:val="6"/>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20" w:type="dxa"/>
            <w:vAlign w:val="bottom"/>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gridSpan w:val="6"/>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gridSpan w:val="4"/>
            <w:vMerge w:val="continue"/>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20" w:type="dxa"/>
            <w:vAlign w:val="bottom"/>
            <w:tcBorders>
              <w:bottom w:val="single" w:sz="8" w:color="0000EE"/>
            </w:tcBorders>
            <w:gridSpan w:val="4"/>
            <w:vMerge w:val="continue"/>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restart"/>
          </w:tcPr>
          <w:p>
            <w:pPr>
              <w:spacing w:after="0" w:line="223" w:lineRule="exact"/>
              <w:rPr>
                <w:rFonts w:ascii="Arial" w:cs="Arial" w:eastAsia="Arial" w:hAnsi="Arial"/>
                <w:sz w:val="22"/>
                <w:szCs w:val="22"/>
                <w:color w:val="0000EE"/>
                <w:w w:val="94"/>
              </w:rPr>
            </w:pPr>
            <w:hyperlink r:id="rId13">
              <w:r>
                <w:rPr>
                  <w:rFonts w:ascii="Arial" w:cs="Arial" w:eastAsia="Arial" w:hAnsi="Arial"/>
                  <w:sz w:val="22"/>
                  <w:szCs w:val="22"/>
                  <w:color w:val="0000EE"/>
                  <w:w w:val="94"/>
                </w:rPr>
                <w:t xml:space="preserve">FRAGRANCES INC </w:t>
              </w:r>
              <w:r>
                <w:rPr>
                  <w:rFonts w:ascii="Arial" w:cs="Arial" w:eastAsia="Arial" w:hAnsi="Arial"/>
                  <w:sz w:val="22"/>
                  <w:szCs w:val="22"/>
                  <w:color w:val="000000"/>
                  <w:w w:val="94"/>
                </w:rPr>
                <w:t>[</w:t>
              </w:r>
              <w:r>
                <w:rPr>
                  <w:rFonts w:ascii="Arial" w:cs="Arial" w:eastAsia="Arial" w:hAnsi="Arial"/>
                  <w:sz w:val="22"/>
                  <w:szCs w:val="22"/>
                  <w:color w:val="0000EE"/>
                  <w:w w:val="94"/>
                </w:rPr>
                <w:t xml:space="preserve"> </w:t>
              </w:r>
              <w:r>
                <w:rPr>
                  <w:rFonts w:ascii="Arial" w:cs="Arial" w:eastAsia="Arial" w:hAnsi="Arial"/>
                  <w:sz w:val="17"/>
                  <w:szCs w:val="17"/>
                  <w:color w:val="0000FF"/>
                  <w:w w:val="94"/>
                </w:rPr>
                <w:t>IFF</w:t>
              </w:r>
              <w:r>
                <w:rPr>
                  <w:rFonts w:ascii="Arial" w:cs="Arial" w:eastAsia="Arial" w:hAnsi="Arial"/>
                  <w:sz w:val="22"/>
                  <w:szCs w:val="22"/>
                  <w:color w:val="0000EE"/>
                  <w:w w:val="94"/>
                </w:rPr>
                <w:t xml:space="preserve"> </w:t>
              </w:r>
              <w:r>
                <w:rPr>
                  <w:rFonts w:ascii="Arial" w:cs="Arial" w:eastAsia="Arial" w:hAnsi="Arial"/>
                  <w:sz w:val="22"/>
                  <w:szCs w:val="22"/>
                  <w:color w:val="000000"/>
                  <w:w w:val="94"/>
                </w:rPr>
                <w:t>]</w:t>
              </w:r>
            </w:hyperlink>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20" w:type="dxa"/>
            <w:vAlign w:val="bottom"/>
            <w:gridSpan w:val="4"/>
          </w:tcPr>
          <w:p>
            <w:pPr>
              <w:spacing w:after="0"/>
              <w:rPr>
                <w:sz w:val="4"/>
                <w:szCs w:val="4"/>
                <w:color w:val="auto"/>
              </w:rPr>
            </w:pPr>
          </w:p>
        </w:tc>
        <w:tc>
          <w:tcPr>
            <w:tcW w:w="20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6"/>
            <w:vMerge w:val="continue"/>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9"/>
              </w:rPr>
              <w:t>X</w:t>
            </w:r>
          </w:p>
        </w:tc>
        <w:tc>
          <w:tcPr>
            <w:tcW w:w="40" w:type="dxa"/>
            <w:vAlign w:val="bottom"/>
          </w:tcPr>
          <w:p>
            <w:pPr>
              <w:spacing w:after="0"/>
              <w:rPr>
                <w:sz w:val="8"/>
                <w:szCs w:val="8"/>
                <w:color w:val="auto"/>
              </w:rPr>
            </w:pPr>
          </w:p>
        </w:tc>
        <w:tc>
          <w:tcPr>
            <w:tcW w:w="1260" w:type="dxa"/>
            <w:vAlign w:val="bottom"/>
            <w:gridSpan w:val="2"/>
            <w:vMerge w:val="restart"/>
          </w:tcPr>
          <w:p>
            <w:pPr>
              <w:ind w:left="160"/>
              <w:spacing w:after="0" w:line="155" w:lineRule="exact"/>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line="155" w:lineRule="exact"/>
              <w:rPr>
                <w:sz w:val="20"/>
                <w:szCs w:val="20"/>
                <w:color w:val="auto"/>
              </w:rPr>
            </w:pPr>
            <w:r>
              <w:rPr>
                <w:rFonts w:ascii="Arial" w:cs="Arial" w:eastAsia="Arial" w:hAnsi="Arial"/>
                <w:sz w:val="14"/>
                <w:szCs w:val="14"/>
                <w:color w:val="auto"/>
              </w:rPr>
              <w:t>Other (specify</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Borders>
              <w:top w:val="single" w:sz="8" w:color="0000EE"/>
            </w:tcBorders>
          </w:tcPr>
          <w:p>
            <w:pPr>
              <w:spacing w:after="0"/>
              <w:rPr>
                <w:sz w:val="3"/>
                <w:szCs w:val="3"/>
                <w:color w:val="auto"/>
              </w:rPr>
            </w:pPr>
          </w:p>
        </w:tc>
        <w:tc>
          <w:tcPr>
            <w:tcW w:w="86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660" w:type="dxa"/>
            <w:vAlign w:val="bottom"/>
            <w:tcBorders>
              <w:top w:val="single" w:sz="8" w:color="EEEEEE"/>
            </w:tcBorders>
          </w:tcPr>
          <w:p>
            <w:pPr>
              <w:spacing w:after="0"/>
              <w:rPr>
                <w:sz w:val="8"/>
                <w:szCs w:val="8"/>
                <w:color w:val="auto"/>
              </w:rPr>
            </w:pPr>
          </w:p>
        </w:tc>
        <w:tc>
          <w:tcPr>
            <w:tcW w:w="160" w:type="dxa"/>
            <w:vAlign w:val="bottom"/>
            <w:tcBorders>
              <w:top w:val="single" w:sz="8" w:color="EEEEEE"/>
            </w:tcBorders>
          </w:tcPr>
          <w:p>
            <w:pPr>
              <w:spacing w:after="0"/>
              <w:rPr>
                <w:sz w:val="8"/>
                <w:szCs w:val="8"/>
                <w:color w:val="auto"/>
              </w:rPr>
            </w:pPr>
          </w:p>
        </w:tc>
        <w:tc>
          <w:tcPr>
            <w:tcW w:w="880" w:type="dxa"/>
            <w:vAlign w:val="bottom"/>
            <w:tcBorders>
              <w:top w:val="single" w:sz="8" w:color="EEEEEE"/>
            </w:tcBorders>
          </w:tcPr>
          <w:p>
            <w:pPr>
              <w:spacing w:after="0"/>
              <w:rPr>
                <w:sz w:val="8"/>
                <w:szCs w:val="8"/>
                <w:color w:val="auto"/>
              </w:rPr>
            </w:pPr>
          </w:p>
        </w:tc>
        <w:tc>
          <w:tcPr>
            <w:tcW w:w="200" w:type="dxa"/>
            <w:vAlign w:val="bottom"/>
            <w:tcBorders>
              <w:top w:val="single" w:sz="8" w:color="EEEEEE"/>
            </w:tcBorders>
          </w:tcPr>
          <w:p>
            <w:pPr>
              <w:spacing w:after="0"/>
              <w:rPr>
                <w:sz w:val="8"/>
                <w:szCs w:val="8"/>
                <w:color w:val="auto"/>
              </w:rPr>
            </w:pPr>
          </w:p>
        </w:tc>
        <w:tc>
          <w:tcPr>
            <w:tcW w:w="1200" w:type="dxa"/>
            <w:vAlign w:val="bottom"/>
            <w:tcBorders>
              <w:top w:val="single" w:sz="8" w:color="EEEEEE"/>
            </w:tcBorders>
          </w:tcPr>
          <w:p>
            <w:pPr>
              <w:spacing w:after="0"/>
              <w:rPr>
                <w:sz w:val="8"/>
                <w:szCs w:val="8"/>
                <w:color w:val="auto"/>
              </w:rPr>
            </w:pPr>
          </w:p>
        </w:tc>
        <w:tc>
          <w:tcPr>
            <w:tcW w:w="8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auto"/>
                <w:w w:val="96"/>
              </w:rPr>
              <w:t>below)</w:t>
            </w:r>
          </w:p>
        </w:tc>
        <w:tc>
          <w:tcPr>
            <w:tcW w:w="680" w:type="dxa"/>
            <w:vAlign w:val="bottom"/>
          </w:tcPr>
          <w:p>
            <w:pPr>
              <w:spacing w:after="0"/>
              <w:rPr>
                <w:sz w:val="8"/>
                <w:szCs w:val="8"/>
                <w:color w:val="auto"/>
              </w:rPr>
            </w:pP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4"/>
                <w:szCs w:val="4"/>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5"/>
            <w:vMerge w:val="restart"/>
          </w:tcPr>
          <w:p>
            <w:pPr>
              <w:jc w:val="right"/>
              <w:ind w:right="640"/>
              <w:spacing w:after="0"/>
              <w:rPr>
                <w:sz w:val="20"/>
                <w:szCs w:val="20"/>
                <w:color w:val="auto"/>
              </w:rPr>
            </w:pPr>
            <w:r>
              <w:rPr>
                <w:rFonts w:ascii="Arial" w:cs="Arial" w:eastAsia="Arial" w:hAnsi="Arial"/>
                <w:sz w:val="18"/>
                <w:szCs w:val="18"/>
                <w:color w:val="0000FF"/>
                <w:w w:val="93"/>
              </w:rPr>
              <w:t>Senior VP, CFO and Treasurer</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980" w:type="dxa"/>
            <w:vAlign w:val="bottom"/>
            <w:gridSpan w:val="5"/>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521 WEST 57TH STREET</w:t>
            </w:r>
          </w:p>
        </w:tc>
        <w:tc>
          <w:tcPr>
            <w:tcW w:w="1200" w:type="dxa"/>
            <w:vAlign w:val="bottom"/>
          </w:tcPr>
          <w:p>
            <w:pPr>
              <w:spacing w:after="0"/>
              <w:rPr>
                <w:sz w:val="9"/>
                <w:szCs w:val="9"/>
                <w:color w:val="auto"/>
              </w:rPr>
            </w:pPr>
          </w:p>
        </w:tc>
        <w:tc>
          <w:tcPr>
            <w:tcW w:w="1580" w:type="dxa"/>
            <w:vAlign w:val="bottom"/>
            <w:gridSpan w:val="5"/>
            <w:vMerge w:val="restart"/>
          </w:tcPr>
          <w:p>
            <w:pPr>
              <w:ind w:left="240"/>
              <w:spacing w:after="0"/>
              <w:rPr>
                <w:sz w:val="20"/>
                <w:szCs w:val="20"/>
                <w:color w:val="auto"/>
              </w:rPr>
            </w:pPr>
            <w:r>
              <w:rPr>
                <w:rFonts w:ascii="Arial" w:cs="Arial" w:eastAsia="Arial" w:hAnsi="Arial"/>
                <w:sz w:val="18"/>
                <w:szCs w:val="18"/>
                <w:color w:val="0000FF"/>
              </w:rPr>
              <w:t>06/12/2008</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1580" w:type="dxa"/>
            <w:vAlign w:val="bottom"/>
            <w:gridSpan w:val="5"/>
            <w:vMerge w:val="continue"/>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gridSpan w:val="4"/>
          </w:tcPr>
          <w:p>
            <w:pPr>
              <w:spacing w:after="0"/>
              <w:rPr>
                <w:sz w:val="9"/>
                <w:szCs w:val="9"/>
                <w:color w:val="auto"/>
              </w:rPr>
            </w:pPr>
          </w:p>
        </w:tc>
        <w:tc>
          <w:tcPr>
            <w:tcW w:w="1780" w:type="dxa"/>
            <w:vAlign w:val="bottom"/>
            <w:tcBorders>
              <w:bottom w:val="single" w:sz="8" w:color="2C2C2C"/>
            </w:tcBorders>
            <w:gridSpan w:val="4"/>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gridSpan w:val="3"/>
          </w:tcPr>
          <w:p>
            <w:pPr>
              <w:spacing w:after="0"/>
              <w:rPr>
                <w:sz w:val="9"/>
                <w:szCs w:val="9"/>
                <w:color w:val="auto"/>
              </w:rPr>
            </w:pPr>
          </w:p>
        </w:tc>
        <w:tc>
          <w:tcPr>
            <w:tcW w:w="2960" w:type="dxa"/>
            <w:vAlign w:val="bottom"/>
            <w:tcBorders>
              <w:bottom w:val="single" w:sz="8" w:color="2C2C2C"/>
            </w:tcBorders>
            <w:gridSpan w:val="4"/>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80" w:type="dxa"/>
            <w:vAlign w:val="bottom"/>
            <w:vMerge w:val="restart"/>
          </w:tcPr>
          <w:p>
            <w:pPr>
              <w:spacing w:after="0"/>
              <w:rPr>
                <w:sz w:val="7"/>
                <w:szCs w:val="7"/>
                <w:color w:val="auto"/>
              </w:rPr>
            </w:pPr>
          </w:p>
        </w:tc>
        <w:tc>
          <w:tcPr>
            <w:tcW w:w="34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20" w:type="dxa"/>
            <w:vAlign w:val="bottom"/>
            <w:gridSpan w:val="8"/>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3440" w:type="dxa"/>
            <w:vAlign w:val="bottom"/>
            <w:gridSpan w:val="9"/>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3"/>
          </w:tcPr>
          <w:p>
            <w:pPr>
              <w:spacing w:after="0"/>
              <w:rPr>
                <w:sz w:val="20"/>
                <w:szCs w:val="20"/>
                <w:color w:val="auto"/>
              </w:rPr>
            </w:pPr>
            <w:r>
              <w:rPr>
                <w:rFonts w:ascii="Arial" w:cs="Arial" w:eastAsia="Arial" w:hAnsi="Arial"/>
                <w:sz w:val="18"/>
                <w:szCs w:val="18"/>
                <w:color w:val="0000FF"/>
              </w:rPr>
              <w:t>NY</w:t>
            </w:r>
          </w:p>
        </w:tc>
        <w:tc>
          <w:tcPr>
            <w:tcW w:w="1200" w:type="dxa"/>
            <w:vAlign w:val="bottom"/>
          </w:tcPr>
          <w:p>
            <w:pPr>
              <w:ind w:left="20"/>
              <w:spacing w:after="0"/>
              <w:rPr>
                <w:sz w:val="20"/>
                <w:szCs w:val="20"/>
                <w:color w:val="auto"/>
              </w:rPr>
            </w:pPr>
            <w:r>
              <w:rPr>
                <w:rFonts w:ascii="Arial" w:cs="Arial" w:eastAsia="Arial" w:hAnsi="Arial"/>
                <w:sz w:val="18"/>
                <w:szCs w:val="18"/>
                <w:color w:val="0000FF"/>
              </w:rPr>
              <w:t>10019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80" w:type="dxa"/>
            <w:vAlign w:val="bottom"/>
            <w:gridSpan w:val="8"/>
          </w:tcPr>
          <w:p>
            <w:pPr>
              <w:jc w:val="right"/>
              <w:ind w:right="6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80" w:type="dxa"/>
            <w:vAlign w:val="bottom"/>
            <w:gridSpan w:val="5"/>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5"/>
                <w:szCs w:val="15"/>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4"/>
          </w:tcPr>
          <w:p>
            <w:pPr>
              <w:spacing w:after="0"/>
              <w:rPr>
                <w:sz w:val="11"/>
                <w:szCs w:val="11"/>
                <w:color w:val="auto"/>
              </w:rPr>
            </w:pPr>
          </w:p>
        </w:tc>
        <w:tc>
          <w:tcPr>
            <w:tcW w:w="206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3"/>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21"/>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5"/>
                <w:szCs w:val="15"/>
                <w:color w:val="auto"/>
              </w:rPr>
            </w:pP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gridSpan w:val="5"/>
          </w:tcPr>
          <w:p>
            <w:pPr>
              <w:spacing w:after="0"/>
              <w:rPr>
                <w:sz w:val="8"/>
                <w:szCs w:val="8"/>
                <w:color w:val="auto"/>
              </w:rPr>
            </w:pPr>
          </w:p>
        </w:tc>
        <w:tc>
          <w:tcPr>
            <w:tcW w:w="1840" w:type="dxa"/>
            <w:vAlign w:val="bottom"/>
            <w:tcBorders>
              <w:bottom w:val="single" w:sz="8" w:color="2C2C2C"/>
            </w:tcBorders>
            <w:gridSpan w:val="4"/>
          </w:tcPr>
          <w:p>
            <w:pPr>
              <w:spacing w:after="0"/>
              <w:rPr>
                <w:sz w:val="8"/>
                <w:szCs w:val="8"/>
                <w:color w:val="auto"/>
              </w:rPr>
            </w:pPr>
          </w:p>
        </w:tc>
        <w:tc>
          <w:tcPr>
            <w:tcW w:w="2320" w:type="dxa"/>
            <w:vAlign w:val="bottom"/>
            <w:tcBorders>
              <w:bottom w:val="single" w:sz="8" w:color="2C2C2C"/>
            </w:tcBorders>
            <w:gridSpan w:val="6"/>
          </w:tcPr>
          <w:p>
            <w:pPr>
              <w:spacing w:after="0"/>
              <w:rPr>
                <w:sz w:val="8"/>
                <w:szCs w:val="8"/>
                <w:color w:val="auto"/>
              </w:rPr>
            </w:pPr>
          </w:p>
        </w:tc>
        <w:tc>
          <w:tcPr>
            <w:tcW w:w="20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580" w:type="dxa"/>
            <w:vAlign w:val="bottom"/>
            <w:tcBorders>
              <w:top w:val="single" w:sz="8" w:color="2C2C2C"/>
            </w:tcBorders>
            <w:gridSpan w:val="19"/>
          </w:tcPr>
          <w:p>
            <w:pPr>
              <w:jc w:val="right"/>
              <w:ind w:right="55"/>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60" w:type="dxa"/>
            <w:vAlign w:val="bottom"/>
            <w:gridSpan w:val="15"/>
          </w:tcPr>
          <w:p>
            <w:pPr>
              <w:ind w:left="68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5"/>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6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8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140"/>
              <w:spacing w:after="0"/>
              <w:rPr>
                <w:sz w:val="20"/>
                <w:szCs w:val="20"/>
                <w:color w:val="auto"/>
              </w:rPr>
            </w:pPr>
            <w:r>
              <w:rPr>
                <w:rFonts w:ascii="Arial" w:cs="Arial" w:eastAsia="Arial" w:hAnsi="Arial"/>
                <w:sz w:val="18"/>
                <w:szCs w:val="18"/>
                <w:color w:val="0000FF"/>
              </w:rPr>
              <w:t>61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w w:val="97"/>
              </w:rPr>
              <w:t>Equivalent</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85"/>
              </w:rPr>
              <w:t>06/12/2008</w:t>
            </w:r>
          </w:p>
        </w:tc>
        <w:tc>
          <w:tcPr>
            <w:tcW w:w="200" w:type="dxa"/>
            <w:vAlign w:val="bottom"/>
          </w:tcPr>
          <w:p>
            <w:pPr>
              <w:spacing w:after="0"/>
              <w:rPr>
                <w:sz w:val="5"/>
                <w:szCs w:val="5"/>
                <w:color w:val="auto"/>
              </w:rPr>
            </w:pPr>
          </w:p>
        </w:tc>
        <w:tc>
          <w:tcPr>
            <w:tcW w:w="120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06/13/2008</w:t>
            </w: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860" w:type="dxa"/>
            <w:vAlign w:val="bottom"/>
            <w:vMerge w:val="restart"/>
          </w:tcPr>
          <w:p>
            <w:pPr>
              <w:ind w:left="240"/>
              <w:spacing w:after="0" w:line="149" w:lineRule="exact"/>
              <w:rPr>
                <w:sz w:val="20"/>
                <w:szCs w:val="20"/>
                <w:color w:val="auto"/>
              </w:rPr>
            </w:pPr>
            <w:r>
              <w:rPr>
                <w:rFonts w:ascii="Arial" w:cs="Arial" w:eastAsia="Arial" w:hAnsi="Arial"/>
                <w:sz w:val="14"/>
                <w:szCs w:val="14"/>
                <w:color w:val="0000FF"/>
              </w:rPr>
              <w:t>61</w:t>
            </w:r>
          </w:p>
        </w:tc>
        <w:tc>
          <w:tcPr>
            <w:tcW w:w="2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2"/>
            <w:vMerge w:val="restart"/>
          </w:tcPr>
          <w:p>
            <w:pPr>
              <w:jc w:val="right"/>
              <w:ind w:right="175"/>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41.06</w:t>
            </w:r>
          </w:p>
        </w:tc>
        <w:tc>
          <w:tcPr>
            <w:tcW w:w="680" w:type="dxa"/>
            <w:vAlign w:val="bottom"/>
            <w:vMerge w:val="restart"/>
          </w:tcPr>
          <w:p>
            <w:pPr>
              <w:ind w:left="240"/>
              <w:spacing w:after="0" w:line="149" w:lineRule="exact"/>
              <w:rPr>
                <w:sz w:val="20"/>
                <w:szCs w:val="20"/>
                <w:color w:val="auto"/>
              </w:rPr>
            </w:pPr>
            <w:r>
              <w:rPr>
                <w:rFonts w:ascii="Arial" w:cs="Arial" w:eastAsia="Arial" w:hAnsi="Arial"/>
                <w:sz w:val="14"/>
                <w:szCs w:val="14"/>
                <w:color w:val="0000FF"/>
                <w:w w:val="97"/>
              </w:rPr>
              <w:t>19,411</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vMerge w:val="restart"/>
          </w:tcPr>
          <w:p>
            <w:pPr>
              <w:ind w:left="10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Stock Units ("Units") convert to Common Stock on a one-for-one basis.</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under the Company's deferred compensation plan resulting from (a) deferral of compensation and Company match (in shares), (b) premium (in shares) to participants deferring compensation into Units and (c) dividends (in shares) on Units. 12 of the acquired Units are subject to vesting based on employment through December 31, 2009.</w:t>
      </w:r>
    </w:p>
    <w:p>
      <w:pPr>
        <w:sectPr>
          <w:pgSz w:w="11900" w:h="16838" w:orient="portrait"/>
          <w:cols w:equalWidth="0" w:num="1">
            <w:col w:w="11480"/>
          </w:cols>
          <w:pgMar w:left="240" w:top="226" w:right="179" w:bottom="1440" w:gutter="0" w:footer="0" w:header="0"/>
          <w:type w:val="continuous"/>
        </w:sectPr>
      </w:pP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By: Dennis Meany, attorney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70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033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1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0000FF"/>
        </w:rPr>
        <w:t>06/13/2008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40"/>
            <w:col w:w="2320"/>
          </w:cols>
          <w:pgMar w:left="240" w:top="226" w:right="17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3718" TargetMode="External"/><Relationship Id="rId13" Type="http://schemas.openxmlformats.org/officeDocument/2006/relationships/hyperlink" Target="http://www.sec.gov/cgi-bin/browse-edgar?action=getcompany&amp;CIK=0000051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2019-12-18T06:51:29Z</dcterms:created>
  <dcterms:modified xsi:type="dcterms:W3CDTF">2019-12-18T06:51:29Z</dcterms:modified>
</cp:coreProperties>
</file>