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14565"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26542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860"/>
          </w:cols>
          <w:pgMar w:left="240" w:top="220" w:right="17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spacing w:after="0" w:line="250" w:lineRule="exact"/>
              <w:rPr>
                <w:rFonts w:ascii="Times New Roman" w:cs="Times New Roman" w:eastAsia="Times New Roman" w:hAnsi="Times New Roman"/>
                <w:sz w:val="22"/>
                <w:szCs w:val="22"/>
                <w:color w:val="0000EE"/>
                <w:w w:val="97"/>
              </w:rPr>
            </w:pPr>
            <w:hyperlink r:id="rId12">
              <w:r>
                <w:rPr>
                  <w:rFonts w:ascii="Times New Roman" w:cs="Times New Roman" w:eastAsia="Times New Roman" w:hAnsi="Times New Roman"/>
                  <w:sz w:val="22"/>
                  <w:szCs w:val="22"/>
                  <w:color w:val="0000EE"/>
                  <w:w w:val="97"/>
                </w:rPr>
                <w:t>Chwat Anne</w:t>
              </w:r>
            </w:hyperlink>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8"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INTERNATIONAL FLAVORS &amp;</w:t>
              </w:r>
            </w:hyperlink>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5"/>
            <w:vMerge w:val="restart"/>
          </w:tcPr>
          <w:p>
            <w:pPr>
              <w:ind w:left="80"/>
              <w:spacing w:after="0" w:line="159" w:lineRule="exact"/>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3"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FRAGRANCES INC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IFF</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hyperlink>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0000FF"/>
              </w:rPr>
              <w:t>X</w:t>
            </w:r>
          </w:p>
        </w:tc>
        <w:tc>
          <w:tcPr>
            <w:tcW w:w="1240" w:type="dxa"/>
            <w:vAlign w:val="bottom"/>
            <w:gridSpan w:val="2"/>
            <w:vMerge w:val="restart"/>
          </w:tcPr>
          <w:p>
            <w:pPr>
              <w:ind w:left="120"/>
              <w:spacing w:after="0" w:line="153" w:lineRule="exact"/>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line="153" w:lineRule="exact"/>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8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420" w:type="dxa"/>
            <w:vAlign w:val="bottom"/>
            <w:tcBorders>
              <w:top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480" w:type="dxa"/>
            <w:vAlign w:val="bottom"/>
            <w:tcBorders>
              <w:top w:val="single" w:sz="8" w:color="EEEEEE"/>
            </w:tcBorders>
          </w:tcPr>
          <w:p>
            <w:pPr>
              <w:spacing w:after="0"/>
              <w:rPr>
                <w:sz w:val="8"/>
                <w:szCs w:val="8"/>
                <w:color w:val="auto"/>
              </w:rPr>
            </w:pPr>
          </w:p>
        </w:tc>
        <w:tc>
          <w:tcPr>
            <w:tcW w:w="180" w:type="dxa"/>
            <w:vAlign w:val="bottom"/>
            <w:tcBorders>
              <w:top w:val="single" w:sz="8" w:color="EEEEEE"/>
            </w:tcBorders>
          </w:tcPr>
          <w:p>
            <w:pPr>
              <w:spacing w:after="0"/>
              <w:rPr>
                <w:sz w:val="8"/>
                <w:szCs w:val="8"/>
                <w:color w:val="auto"/>
              </w:rPr>
            </w:pPr>
          </w:p>
        </w:tc>
        <w:tc>
          <w:tcPr>
            <w:tcW w:w="124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8"/>
                <w:szCs w:val="8"/>
                <w:color w:val="auto"/>
              </w:rPr>
            </w:pPr>
          </w:p>
        </w:tc>
        <w:tc>
          <w:tcPr>
            <w:tcW w:w="940" w:type="dxa"/>
            <w:vAlign w:val="bottom"/>
            <w:vMerge w:val="restart"/>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0000FF"/>
              </w:rPr>
              <w:t>EVP, GC, &amp; Corp. Sec'y</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gridSpan w:val="3"/>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521 WEST 57TH STREET</w:t>
            </w:r>
          </w:p>
        </w:tc>
        <w:tc>
          <w:tcPr>
            <w:tcW w:w="1200" w:type="dxa"/>
            <w:vAlign w:val="bottom"/>
          </w:tcPr>
          <w:p>
            <w:pPr>
              <w:spacing w:after="0"/>
              <w:rPr>
                <w:sz w:val="10"/>
                <w:szCs w:val="10"/>
                <w:color w:val="auto"/>
              </w:rPr>
            </w:pPr>
          </w:p>
        </w:tc>
        <w:tc>
          <w:tcPr>
            <w:tcW w:w="1620" w:type="dxa"/>
            <w:vAlign w:val="bottom"/>
            <w:gridSpan w:val="6"/>
            <w:vMerge w:val="restart"/>
          </w:tcPr>
          <w:p>
            <w:pPr>
              <w:ind w:left="240"/>
              <w:spacing w:after="0"/>
              <w:rPr>
                <w:sz w:val="20"/>
                <w:szCs w:val="20"/>
                <w:color w:val="auto"/>
              </w:rPr>
            </w:pPr>
            <w:r>
              <w:rPr>
                <w:rFonts w:ascii="Times New Roman" w:cs="Times New Roman" w:eastAsia="Times New Roman" w:hAnsi="Times New Roman"/>
                <w:sz w:val="18"/>
                <w:szCs w:val="18"/>
                <w:color w:val="0000FF"/>
              </w:rPr>
              <w:t>11/13/2015</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18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200" w:type="dxa"/>
            <w:vAlign w:val="bottom"/>
          </w:tcPr>
          <w:p>
            <w:pPr>
              <w:spacing w:after="0"/>
              <w:rPr>
                <w:sz w:val="11"/>
                <w:szCs w:val="11"/>
                <w:color w:val="auto"/>
              </w:rPr>
            </w:pPr>
          </w:p>
        </w:tc>
        <w:tc>
          <w:tcPr>
            <w:tcW w:w="1620" w:type="dxa"/>
            <w:vAlign w:val="bottom"/>
            <w:gridSpan w:val="6"/>
            <w:vMerge w:val="continue"/>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20" w:type="dxa"/>
            <w:vAlign w:val="bottom"/>
            <w:tcBorders>
              <w:bottom w:val="single" w:sz="8" w:color="2C2C2C"/>
            </w:tcBorders>
            <w:gridSpan w:val="4"/>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gridSpan w:val="3"/>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vMerge w:val="restart"/>
          </w:tcPr>
          <w:p>
            <w:pPr>
              <w:spacing w:after="0"/>
              <w:rPr>
                <w:sz w:val="7"/>
                <w:szCs w:val="7"/>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600" w:type="dxa"/>
            <w:vAlign w:val="bottom"/>
            <w:gridSpan w:val="8"/>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344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NEW YORK</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NY</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10019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5"/>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4"/>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4"/>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60" w:type="dxa"/>
            <w:vAlign w:val="bottom"/>
            <w:tcBorders>
              <w:top w:val="single" w:sz="8" w:color="2C2C2C"/>
            </w:tcBorders>
          </w:tcPr>
          <w:p>
            <w:pPr>
              <w:spacing w:after="0"/>
              <w:rPr>
                <w:sz w:val="23"/>
                <w:szCs w:val="23"/>
                <w:color w:val="auto"/>
              </w:rPr>
            </w:pPr>
          </w:p>
        </w:tc>
        <w:tc>
          <w:tcPr>
            <w:tcW w:w="816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5"/>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0000FF"/>
              </w:rPr>
              <w:t>11/13/2015</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27"/>
                <w:szCs w:val="27"/>
                <w:color w:val="0000FF"/>
                <w:w w:val="90"/>
                <w:vertAlign w:val="subscript"/>
              </w:rPr>
              <w:t>J</w:t>
            </w:r>
            <w:r>
              <w:rPr>
                <w:rFonts w:ascii="Times New Roman" w:cs="Times New Roman" w:eastAsia="Times New Roman" w:hAnsi="Times New Roman"/>
                <w:sz w:val="11"/>
                <w:szCs w:val="11"/>
                <w:color w:val="008000"/>
                <w:w w:val="90"/>
              </w:rPr>
              <w:t>(1)</w:t>
            </w:r>
          </w:p>
        </w:tc>
        <w:tc>
          <w:tcPr>
            <w:tcW w:w="76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5</w:t>
            </w: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0000FF"/>
              </w:rPr>
              <w:t>A</w:t>
            </w:r>
          </w:p>
        </w:tc>
        <w:tc>
          <w:tcPr>
            <w:tcW w:w="800" w:type="dxa"/>
            <w:vAlign w:val="bottom"/>
            <w:gridSpan w:val="4"/>
          </w:tcPr>
          <w:p>
            <w:pPr>
              <w:ind w:left="20"/>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111.75</w:t>
            </w:r>
            <w:r>
              <w:rPr>
                <w:rFonts w:ascii="Times New Roman" w:cs="Times New Roman" w:eastAsia="Times New Roman" w:hAnsi="Times New Roman"/>
                <w:sz w:val="22"/>
                <w:szCs w:val="22"/>
                <w:color w:val="008000"/>
                <w:w w:val="99"/>
                <w:vertAlign w:val="superscript"/>
              </w:rPr>
              <w:t>(2)</w:t>
            </w:r>
          </w:p>
        </w:tc>
        <w:tc>
          <w:tcPr>
            <w:tcW w:w="124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0000FF"/>
              </w:rPr>
              <w:t>1,194</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By 401k</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4"/>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40" w:type="dxa"/>
            <w:vAlign w:val="bottom"/>
            <w:tcBorders>
              <w:top w:val="single" w:sz="8" w:color="2C2C2C"/>
            </w:tcBorders>
            <w:gridSpan w:val="2"/>
          </w:tcPr>
          <w:p>
            <w:pPr>
              <w:jc w:val="right"/>
              <w:ind w:right="359"/>
              <w:spacing w:after="0"/>
              <w:rPr>
                <w:sz w:val="20"/>
                <w:szCs w:val="20"/>
                <w:color w:val="auto"/>
              </w:rPr>
            </w:pPr>
            <w:r>
              <w:rPr>
                <w:rFonts w:ascii="Times New Roman" w:cs="Times New Roman" w:eastAsia="Times New Roman" w:hAnsi="Times New Roman"/>
                <w:sz w:val="18"/>
                <w:szCs w:val="18"/>
                <w:color w:val="0000FF"/>
              </w:rPr>
              <w:t>46,305</w:t>
            </w:r>
          </w:p>
        </w:tc>
        <w:tc>
          <w:tcPr>
            <w:tcW w:w="940" w:type="dxa"/>
            <w:vAlign w:val="bottom"/>
            <w:tcBorders>
              <w:top w:val="single" w:sz="8" w:color="2C2C2C"/>
            </w:tcBorders>
          </w:tcPr>
          <w:p>
            <w:pPr>
              <w:ind w:left="34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8"/>
          </w:tcPr>
          <w:p>
            <w:pPr>
              <w:jc w:val="center"/>
              <w:ind w:left="82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60" w:type="dxa"/>
            <w:vAlign w:val="bottom"/>
            <w:gridSpan w:val="15"/>
          </w:tcPr>
          <w:p>
            <w:pPr>
              <w:jc w:val="center"/>
              <w:ind w:left="4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360" w:type="dxa"/>
            <w:vAlign w:val="bottom"/>
          </w:tcPr>
          <w:p>
            <w:pPr>
              <w:spacing w:after="0"/>
              <w:rPr>
                <w:sz w:val="16"/>
                <w:szCs w:val="16"/>
                <w:color w:val="auto"/>
              </w:rPr>
            </w:pP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Common</w:t>
            </w: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0000FF"/>
              </w:rPr>
              <w:t>40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Equivalent</w:t>
            </w: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ind w:left="260"/>
              <w:spacing w:after="0" w:line="149" w:lineRule="exact"/>
              <w:rPr>
                <w:sz w:val="20"/>
                <w:szCs w:val="20"/>
                <w:color w:val="auto"/>
              </w:rPr>
            </w:pPr>
            <w:r>
              <w:rPr>
                <w:rFonts w:ascii="Times New Roman" w:cs="Times New Roman" w:eastAsia="Times New Roman" w:hAnsi="Times New Roman"/>
                <w:sz w:val="14"/>
                <w:szCs w:val="14"/>
                <w:color w:val="0000FF"/>
              </w:rPr>
              <w:t>11/13/2015</w:t>
            </w:r>
          </w:p>
        </w:tc>
        <w:tc>
          <w:tcPr>
            <w:tcW w:w="1200" w:type="dxa"/>
            <w:vAlign w:val="bottom"/>
            <w:vMerge w:val="restart"/>
          </w:tcPr>
          <w:p>
            <w:pPr>
              <w:ind w:left="320"/>
              <w:spacing w:after="0" w:line="149" w:lineRule="exact"/>
              <w:rPr>
                <w:sz w:val="20"/>
                <w:szCs w:val="20"/>
                <w:color w:val="auto"/>
              </w:rPr>
            </w:pPr>
            <w:r>
              <w:rPr>
                <w:rFonts w:ascii="Times New Roman" w:cs="Times New Roman" w:eastAsia="Times New Roman" w:hAnsi="Times New Roman"/>
                <w:sz w:val="14"/>
                <w:szCs w:val="14"/>
                <w:color w:val="0000FF"/>
              </w:rPr>
              <w:t>11/16/2015</w:t>
            </w:r>
          </w:p>
        </w:tc>
        <w:tc>
          <w:tcPr>
            <w:tcW w:w="80" w:type="dxa"/>
            <w:vAlign w:val="bottom"/>
          </w:tcPr>
          <w:p>
            <w:pPr>
              <w:spacing w:after="0"/>
              <w:rPr>
                <w:sz w:val="5"/>
                <w:szCs w:val="5"/>
                <w:color w:val="auto"/>
              </w:rPr>
            </w:pPr>
          </w:p>
        </w:tc>
        <w:tc>
          <w:tcPr>
            <w:tcW w:w="400" w:type="dxa"/>
            <w:vAlign w:val="bottom"/>
            <w:gridSpan w:val="3"/>
            <w:vMerge w:val="restart"/>
          </w:tcPr>
          <w:p>
            <w:pPr>
              <w:ind w:left="8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340" w:type="dxa"/>
            <w:vAlign w:val="bottom"/>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Times New Roman" w:cs="Times New Roman" w:eastAsia="Times New Roman" w:hAnsi="Times New Roman"/>
                <w:sz w:val="14"/>
                <w:szCs w:val="14"/>
                <w:color w:val="0000FF"/>
              </w:rPr>
              <w:t>40</w:t>
            </w: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8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111.75</w:t>
            </w:r>
          </w:p>
        </w:tc>
        <w:tc>
          <w:tcPr>
            <w:tcW w:w="700" w:type="dxa"/>
            <w:vAlign w:val="bottom"/>
            <w:vMerge w:val="restart"/>
          </w:tcPr>
          <w:p>
            <w:pPr>
              <w:ind w:left="280"/>
              <w:spacing w:after="0" w:line="149" w:lineRule="exact"/>
              <w:rPr>
                <w:sz w:val="20"/>
                <w:szCs w:val="20"/>
                <w:color w:val="auto"/>
              </w:rPr>
            </w:pPr>
            <w:r>
              <w:rPr>
                <w:rFonts w:ascii="Times New Roman" w:cs="Times New Roman" w:eastAsia="Times New Roman" w:hAnsi="Times New Roman"/>
                <w:sz w:val="14"/>
                <w:szCs w:val="14"/>
                <w:color w:val="0000FF"/>
              </w:rPr>
              <w:t>7,832</w:t>
            </w:r>
          </w:p>
        </w:tc>
        <w:tc>
          <w:tcPr>
            <w:tcW w:w="940" w:type="dxa"/>
            <w:vAlign w:val="bottom"/>
            <w:vMerge w:val="restart"/>
          </w:tcPr>
          <w:p>
            <w:pPr>
              <w:ind w:left="5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color w:val="0000FF"/>
              </w:rPr>
              <w:t>Stock</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w:t>
            </w: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Acquisition under IFF's 401(k)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Closing market price on date of acquisition under IFF's 401(k)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Stock Units ("Units") convert to Common Stock on a one-for-one basis.</w:t>
      </w:r>
    </w:p>
    <w:p>
      <w:pPr>
        <w:spacing w:after="0" w:line="41" w:lineRule="exact"/>
        <w:rPr>
          <w:rFonts w:ascii="Times New Roman" w:cs="Times New Roman" w:eastAsia="Times New Roman" w:hAnsi="Times New Roman"/>
          <w:sz w:val="14"/>
          <w:szCs w:val="14"/>
          <w:color w:val="008000"/>
        </w:rPr>
      </w:pPr>
    </w:p>
    <w:p>
      <w:pPr>
        <w:ind w:left="40" w:right="14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Units under the Company's deferred compensation plan resulting from (a) deferral of compensation and Company match (in shares), (b) premium (in shares) to participants deferring compensation into Units and (c) dividends (in shares) on Units. 8 of the acquired Units are subject to vesting based on employment through December 31, 2016.</w:t>
      </w:r>
    </w:p>
    <w:p>
      <w:pPr>
        <w:spacing w:after="0" w:line="3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0000FF"/>
                <w:w w:val="97"/>
              </w:rPr>
              <w:t>Nanci Prado, attorney in fact</w:t>
            </w:r>
          </w:p>
        </w:tc>
        <w:tc>
          <w:tcPr>
            <w:tcW w:w="1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0000FF"/>
                <w:w w:val="92"/>
              </w:rPr>
              <w:t>11/17/2015</w:t>
            </w:r>
          </w:p>
        </w:tc>
      </w:tr>
      <w:tr>
        <w:trPr>
          <w:trHeight w:val="20"/>
        </w:trPr>
        <w:tc>
          <w:tcPr>
            <w:tcW w:w="2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8"/>
        </w:trPr>
        <w:tc>
          <w:tcPr>
            <w:tcW w:w="2040" w:type="dxa"/>
            <w:vAlign w:val="bottom"/>
          </w:tcPr>
          <w:p>
            <w:pPr>
              <w:spacing w:after="0"/>
              <w:rPr>
                <w:sz w:val="20"/>
                <w:szCs w:val="20"/>
                <w:color w:val="auto"/>
              </w:rPr>
            </w:pPr>
            <w:r>
              <w:rPr>
                <w:rFonts w:ascii="Arial" w:cs="Arial" w:eastAsia="Arial" w:hAnsi="Arial"/>
                <w:sz w:val="14"/>
                <w:szCs w:val="14"/>
                <w:color w:val="auto"/>
                <w:w w:val="99"/>
              </w:rPr>
              <w:t>** Signature of Reporting Person</w:t>
            </w:r>
          </w:p>
        </w:tc>
        <w:tc>
          <w:tcPr>
            <w:tcW w:w="1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0"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1702" TargetMode="External"/><Relationship Id="rId13" Type="http://schemas.openxmlformats.org/officeDocument/2006/relationships/hyperlink" Target="http://www.sec.gov/cgi-bin/browse-edgar?action=getcompany&amp;CIK=0000051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2019-12-24T05:31:49Z</dcterms:created>
  <dcterms:modified xsi:type="dcterms:W3CDTF">2019-12-24T05:31:49Z</dcterms:modified>
</cp:coreProperties>
</file>