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September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INTERNATIONAL FLAVORS &amp; FRAGRANCES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1-4858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5" w:lineRule="exact"/>
        <w:rPr>
          <w:sz w:val="24"/>
          <w:szCs w:val="24"/>
          <w:color w:val="auto"/>
        </w:rPr>
      </w:pPr>
    </w:p>
    <w:p>
      <w:pPr>
        <w:ind w:left="3624"/>
        <w:spacing w:after="0"/>
        <w:rPr>
          <w:sz w:val="20"/>
          <w:szCs w:val="20"/>
          <w:color w:val="auto"/>
        </w:rPr>
      </w:pPr>
      <w:r>
        <w:rPr>
          <w:rFonts w:ascii="Arial" w:cs="Arial" w:eastAsia="Arial" w:hAnsi="Arial"/>
          <w:sz w:val="16"/>
          <w:szCs w:val="16"/>
          <w:b w:val="1"/>
          <w:bCs w:val="1"/>
          <w:color w:val="auto"/>
        </w:rPr>
        <w:t>521 West 57th Street, New York, New York 10019</w:t>
      </w:r>
    </w:p>
    <w:p>
      <w:pPr>
        <w:spacing w:after="0" w:line="4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765-5500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39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12 1/2 cents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IFF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6.00% Tangible Equity Units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IFFT</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0.500% Senior Notes due 2021</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IFF 21</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IFF 24</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1.800% Senior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IFF 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0" w:right="11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September 16, 2021, International Flavors &amp; Fragrances Inc. (the “Company”) announced Mr. Rustom Jilla, who is currently the Executive Vice President, Chief Financial Officer of International Flavors &amp; Fragrances Inc. (“IFF” or the “Company”), will leave the Company, effective October 30, 2021. Mr. Jilla’s departure will be treated as a qualifying event for purposes of IFF’s executive severance policy. Mr. Jilla will continue to serve as Executive Vice President after September 27, 2021 and will assist with the transition.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also announced that Mr. Glenn Richter has been appointed Executive Vice President, Chief Financial Officer, effective September 27, 2021.</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Mr. Richter, 59, served in various positions at TIAA from 2015 through his departure in July 2021. Most recently, Mr. Richter served as Senior Executive Vice President, Chief Financial Officer of TIAA, where he helped guide the company through the global pandemic, oversaw a multi-billion strategic transformation and led the integration of Nuveen. Prior to that, Mr. Richter held various positions at TIAA including Chief Administrative Officer. Prior to joining TIAA in 2015, Mr. Richter worked for Nuveen Investments as Chief Operating Officer and Chief Administrative Officer helping lead the integration of multiple businesses and the financial transformation of the business through the 2008 financial crisis. Before joining Nuveen Investments in 2006, he served as Executive Vice President, Chief Financial Officer for RR Donnelley &amp; Sons, and prior to that was Executive Vice President &amp; Chief Financial Officer of Sears, Roebuck and Co. and Chairman of Sears Canada, a publicly-traded affiliate. Earlier in his career, Mr. Richter held several finance and strategy leadership roles at Dade Behring and PepsiCo Frito-Lay and began his career as a strategy consultant at McKinsey &amp; Company. Mr. Richter received his bachelor’s degree in business administration from George Washington University and his M.B.A. from Duke University.</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Mr. Richter’s appointment, the Compensation Committee of the Board of Directors (“the Committee”) approved a base salary of $750,000, an annual bonus target of 90% of Mr. Richter’s base salary, a long-term incentive plan grant with a target grant date fair value of $938,000, which shall be pro-rated for the current long-term incentive plan cycle, and, for the Company’s normal 2022 annual compensation cycle, long-term incentive awards with a total target grant date fair value of $2,200,000. In addition, the Committee has agreed to a one-time sign-on grant of restricted stock units with an aggregate grant date fair value equal to $5,000,000.</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no arrangement or understanding between Mr. Richter and any other person pursuant to which Mr. Richter has been appointed as the Company’s Chief Financial Officer. There are no family relationships between Mr. Richter and any of the Company’s directors or executive officers, and Mr. Richter is not a party to any transaction, or any proposed transaction, required to be disclosed pursuant to Item 404(a) of Regulation S-K.</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INTERNATIONAL FLAVORS &amp; FRAGRANCES INC.</w:t>
      </w:r>
    </w:p>
    <w:p>
      <w:pPr>
        <w:spacing w:after="0" w:line="237" w:lineRule="exact"/>
        <w:rPr>
          <w:sz w:val="20"/>
          <w:szCs w:val="20"/>
          <w:color w:val="auto"/>
        </w:rPr>
      </w:pPr>
    </w:p>
    <w:p>
      <w:pPr>
        <w:ind w:left="636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Nanci Prado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Nanci Prado</w:t>
      </w:r>
    </w:p>
    <w:p>
      <w:pPr>
        <w:spacing w:after="0" w:line="23" w:lineRule="exact"/>
        <w:rPr>
          <w:sz w:val="20"/>
          <w:szCs w:val="20"/>
          <w:color w:val="auto"/>
        </w:rPr>
      </w:pPr>
    </w:p>
    <w:p>
      <w:pPr>
        <w:ind w:left="636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Deputy General Counsel and</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Dated: September 16, 2021</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2021-09-16T15:27:03Z</dcterms:created>
  <dcterms:modified xsi:type="dcterms:W3CDTF">2021-09-16T15:27:03Z</dcterms:modified>
</cp:coreProperties>
</file>