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Teles de Mendonca Ana Paula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INTERNATIONAL FLAVORS &amp;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  <w:bottom w:val="single" w:sz="8" w:color="0000EE"/>
            </w:tcBorders>
            <w:gridSpan w:val="7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FRAGRANCES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  <w:w w:val="99"/>
                </w:rPr>
                <w:t>IFF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]</w:t>
              </w:r>
            </w:hyperlink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Scent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 WEST 57TH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1,587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2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5"/>
              </w:rPr>
              <w:t>625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70.81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28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1,587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7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70.81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19,864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convert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withheld for taxes payable upon the vesting of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1, 2024, the reporting person was granted 4,762 restricted stock units, vesting in three equal installments beginning on the first anniversary of the grant date.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Chrystalla Potamitou,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2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 in fact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8707" TargetMode="External"/><Relationship Id="rId14" Type="http://schemas.openxmlformats.org/officeDocument/2006/relationships/hyperlink" Target="http://www.sec.gov/cgi-bin/browse-edgar?action=getcompany&amp;CIK=0000051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2026-05-04T15:56:02Z</dcterms:created>
  <dcterms:modified xsi:type="dcterms:W3CDTF">2026-05-04T15:56:02Z</dcterms:modified>
</cp:coreProperties>
</file>