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INTERNATIONAL FLAVORS &amp; FRAGRANCES INC.</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jc w:val="center"/>
              <w:ind w:left="1741"/>
              <w:spacing w:after="0"/>
              <w:rPr>
                <w:sz w:val="20"/>
                <w:szCs w:val="20"/>
                <w:color w:val="auto"/>
              </w:rPr>
            </w:pPr>
            <w:r>
              <w:rPr>
                <w:rFonts w:ascii="Arial" w:cs="Arial" w:eastAsia="Arial" w:hAnsi="Arial"/>
                <w:sz w:val="18"/>
                <w:szCs w:val="18"/>
                <w:b w:val="1"/>
                <w:bCs w:val="1"/>
                <w:color w:val="auto"/>
                <w:w w:val="95"/>
              </w:rPr>
              <w:t>New York</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40" w:type="dxa"/>
            <w:vAlign w:val="bottom"/>
          </w:tcPr>
          <w:p>
            <w:pPr>
              <w:jc w:val="center"/>
              <w:ind w:right="2183"/>
              <w:spacing w:after="0"/>
              <w:rPr>
                <w:sz w:val="20"/>
                <w:szCs w:val="20"/>
                <w:color w:val="auto"/>
              </w:rPr>
            </w:pPr>
            <w:r>
              <w:rPr>
                <w:rFonts w:ascii="Arial" w:cs="Arial" w:eastAsia="Arial" w:hAnsi="Arial"/>
                <w:sz w:val="18"/>
                <w:szCs w:val="18"/>
                <w:b w:val="1"/>
                <w:bCs w:val="1"/>
                <w:color w:val="auto"/>
                <w:w w:val="89"/>
              </w:rPr>
              <w:t>13-1432060</w:t>
            </w:r>
          </w:p>
        </w:tc>
      </w:tr>
      <w:tr>
        <w:trPr>
          <w:trHeight w:val="180"/>
        </w:trPr>
        <w:tc>
          <w:tcPr>
            <w:tcW w:w="3800" w:type="dxa"/>
            <w:vAlign w:val="bottom"/>
          </w:tcPr>
          <w:p>
            <w:pPr>
              <w:jc w:val="center"/>
              <w:ind w:left="1741"/>
              <w:spacing w:after="0"/>
              <w:rPr>
                <w:sz w:val="20"/>
                <w:szCs w:val="20"/>
                <w:color w:val="auto"/>
              </w:rPr>
            </w:pPr>
            <w:r>
              <w:rPr>
                <w:rFonts w:ascii="Arial" w:cs="Arial" w:eastAsia="Arial" w:hAnsi="Arial"/>
                <w:sz w:val="14"/>
                <w:szCs w:val="14"/>
                <w:b w:val="1"/>
                <w:bCs w:val="1"/>
                <w:color w:val="auto"/>
                <w:w w:val="92"/>
              </w:rPr>
              <w:t>(State or other jurisdiction of</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40" w:type="dxa"/>
            <w:vAlign w:val="bottom"/>
          </w:tcPr>
          <w:p>
            <w:pPr>
              <w:jc w:val="center"/>
              <w:ind w:right="216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41"/>
              <w:spacing w:after="0"/>
              <w:rPr>
                <w:sz w:val="20"/>
                <w:szCs w:val="20"/>
                <w:color w:val="auto"/>
              </w:rPr>
            </w:pPr>
            <w:r>
              <w:rPr>
                <w:rFonts w:ascii="Arial" w:cs="Arial" w:eastAsia="Arial" w:hAnsi="Arial"/>
                <w:sz w:val="14"/>
                <w:szCs w:val="14"/>
                <w:b w:val="1"/>
                <w:bCs w:val="1"/>
                <w:color w:val="auto"/>
                <w:w w:val="93"/>
              </w:rPr>
              <w:t>incorporation or organization)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40" w:type="dxa"/>
            <w:vAlign w:val="bottom"/>
          </w:tcPr>
          <w:p>
            <w:pPr>
              <w:jc w:val="center"/>
              <w:ind w:right="2183"/>
              <w:spacing w:after="0"/>
              <w:rPr>
                <w:sz w:val="20"/>
                <w:szCs w:val="20"/>
                <w:color w:val="auto"/>
              </w:rPr>
            </w:pPr>
            <w:r>
              <w:rPr>
                <w:rFonts w:ascii="Arial" w:cs="Arial" w:eastAsia="Arial" w:hAnsi="Arial"/>
                <w:sz w:val="14"/>
                <w:szCs w:val="14"/>
                <w:b w:val="1"/>
                <w:bCs w:val="1"/>
                <w:color w:val="auto"/>
                <w:w w:val="96"/>
              </w:rPr>
              <w:t>Identification No.)</w:t>
            </w:r>
          </w:p>
        </w:tc>
      </w:tr>
      <w:tr>
        <w:trPr>
          <w:trHeight w:val="367"/>
        </w:trPr>
        <w:tc>
          <w:tcPr>
            <w:tcW w:w="3800" w:type="dxa"/>
            <w:vAlign w:val="bottom"/>
          </w:tcPr>
          <w:p>
            <w:pPr>
              <w:spacing w:after="0"/>
              <w:rPr>
                <w:sz w:val="24"/>
                <w:szCs w:val="24"/>
                <w:color w:val="auto"/>
              </w:rPr>
            </w:pPr>
          </w:p>
        </w:tc>
        <w:tc>
          <w:tcPr>
            <w:tcW w:w="4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521 West 57th Street, New York, NY 10019-2960</w:t>
            </w:r>
          </w:p>
        </w:tc>
        <w:tc>
          <w:tcPr>
            <w:tcW w:w="3440" w:type="dxa"/>
            <w:vAlign w:val="bottom"/>
          </w:tcPr>
          <w:p>
            <w:pPr>
              <w:spacing w:after="0"/>
              <w:rPr>
                <w:sz w:val="24"/>
                <w:szCs w:val="24"/>
                <w:color w:val="auto"/>
              </w:rPr>
            </w:pPr>
          </w:p>
        </w:tc>
      </w:tr>
      <w:tr>
        <w:trPr>
          <w:trHeight w:val="186"/>
        </w:trPr>
        <w:tc>
          <w:tcPr>
            <w:tcW w:w="3800" w:type="dxa"/>
            <w:vAlign w:val="bottom"/>
          </w:tcPr>
          <w:p>
            <w:pPr>
              <w:spacing w:after="0"/>
              <w:rPr>
                <w:sz w:val="16"/>
                <w:szCs w:val="16"/>
                <w:color w:val="auto"/>
              </w:rPr>
            </w:pPr>
          </w:p>
        </w:tc>
        <w:tc>
          <w:tcPr>
            <w:tcW w:w="4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440" w:type="dxa"/>
            <w:vAlign w:val="bottom"/>
          </w:tcPr>
          <w:p>
            <w:pPr>
              <w:spacing w:after="0"/>
              <w:rPr>
                <w:sz w:val="16"/>
                <w:szCs w:val="16"/>
                <w:color w:val="auto"/>
              </w:rPr>
            </w:pPr>
          </w:p>
        </w:tc>
      </w:tr>
      <w:tr>
        <w:trPr>
          <w:trHeight w:val="377"/>
        </w:trPr>
        <w:tc>
          <w:tcPr>
            <w:tcW w:w="114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765-5500</w:t>
            </w:r>
          </w:p>
        </w:tc>
      </w:tr>
      <w:tr>
        <w:trPr>
          <w:trHeight w:val="378"/>
        </w:trPr>
        <w:tc>
          <w:tcPr>
            <w:tcW w:w="7980" w:type="dxa"/>
            <w:vAlign w:val="bottom"/>
            <w:gridSpan w:val="6"/>
          </w:tcPr>
          <w:p>
            <w:pPr>
              <w:jc w:val="center"/>
              <w:ind w:left="342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40" w:type="dxa"/>
            <w:vAlign w:val="bottom"/>
          </w:tcPr>
          <w:p>
            <w:pPr>
              <w:spacing w:after="0"/>
              <w:rPr>
                <w:sz w:val="24"/>
                <w:szCs w:val="24"/>
                <w:color w:val="auto"/>
              </w:rPr>
            </w:pPr>
          </w:p>
        </w:tc>
      </w:tr>
      <w:tr>
        <w:trPr>
          <w:trHeight w:val="360"/>
        </w:trPr>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93"/>
              </w:rPr>
              <w:t>Trading</w:t>
            </w:r>
          </w:p>
        </w:tc>
        <w:tc>
          <w:tcPr>
            <w:tcW w:w="3440" w:type="dxa"/>
            <w:vAlign w:val="bottom"/>
          </w:tcPr>
          <w:p>
            <w:pPr>
              <w:jc w:val="center"/>
              <w:ind w:right="1483"/>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800" w:type="dxa"/>
            <w:vAlign w:val="bottom"/>
          </w:tcPr>
          <w:p>
            <w:pPr>
              <w:jc w:val="center"/>
              <w:ind w:left="1061"/>
              <w:spacing w:after="0"/>
              <w:rPr>
                <w:sz w:val="20"/>
                <w:szCs w:val="20"/>
                <w:color w:val="auto"/>
              </w:rPr>
            </w:pPr>
            <w:r>
              <w:rPr>
                <w:rFonts w:ascii="Arial" w:cs="Arial" w:eastAsia="Arial" w:hAnsi="Arial"/>
                <w:sz w:val="18"/>
                <w:szCs w:val="18"/>
                <w:b w:val="1"/>
                <w:bCs w:val="1"/>
                <w:color w:val="auto"/>
                <w:w w:val="86"/>
              </w:rPr>
              <w:t>Title of each class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89"/>
              </w:rPr>
              <w:t>Symbol(s)</w:t>
            </w:r>
          </w:p>
        </w:tc>
        <w:tc>
          <w:tcPr>
            <w:tcW w:w="3440" w:type="dxa"/>
            <w:vAlign w:val="bottom"/>
          </w:tcPr>
          <w:p>
            <w:pPr>
              <w:jc w:val="center"/>
              <w:ind w:right="1503"/>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8"/>
        </w:trPr>
        <w:tc>
          <w:tcPr>
            <w:tcW w:w="3800" w:type="dxa"/>
            <w:vAlign w:val="bottom"/>
          </w:tcPr>
          <w:p>
            <w:pPr>
              <w:jc w:val="center"/>
              <w:ind w:left="1061"/>
              <w:spacing w:after="0"/>
              <w:rPr>
                <w:sz w:val="20"/>
                <w:szCs w:val="20"/>
                <w:color w:val="auto"/>
              </w:rPr>
            </w:pPr>
            <w:r>
              <w:rPr>
                <w:rFonts w:ascii="Arial" w:cs="Arial" w:eastAsia="Arial" w:hAnsi="Arial"/>
                <w:sz w:val="14"/>
                <w:szCs w:val="14"/>
                <w:color w:val="auto"/>
                <w:w w:val="92"/>
              </w:rPr>
              <w:t>Common Stock, par value 12 1/2¢ per share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4"/>
                <w:szCs w:val="14"/>
                <w:color w:val="auto"/>
              </w:rPr>
              <w:t>IFF</w:t>
            </w:r>
          </w:p>
        </w:tc>
        <w:tc>
          <w:tcPr>
            <w:tcW w:w="3440" w:type="dxa"/>
            <w:vAlign w:val="bottom"/>
          </w:tcPr>
          <w:p>
            <w:pPr>
              <w:jc w:val="center"/>
              <w:ind w:right="1483"/>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3800" w:type="dxa"/>
            <w:vAlign w:val="bottom"/>
          </w:tcPr>
          <w:p>
            <w:pPr>
              <w:jc w:val="center"/>
              <w:ind w:left="1041"/>
              <w:spacing w:after="0"/>
              <w:rPr>
                <w:sz w:val="20"/>
                <w:szCs w:val="20"/>
                <w:color w:val="auto"/>
              </w:rPr>
            </w:pPr>
            <w:r>
              <w:rPr>
                <w:rFonts w:ascii="Arial" w:cs="Arial" w:eastAsia="Arial" w:hAnsi="Arial"/>
                <w:sz w:val="14"/>
                <w:szCs w:val="14"/>
                <w:color w:val="auto"/>
                <w:w w:val="95"/>
              </w:rPr>
              <w:t>6.00% Tangible Equity Units</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4"/>
                <w:szCs w:val="14"/>
                <w:color w:val="auto"/>
              </w:rPr>
              <w:t>IFFT</w:t>
            </w:r>
          </w:p>
        </w:tc>
        <w:tc>
          <w:tcPr>
            <w:tcW w:w="3440" w:type="dxa"/>
            <w:vAlign w:val="bottom"/>
          </w:tcPr>
          <w:p>
            <w:pPr>
              <w:jc w:val="center"/>
              <w:ind w:right="1483"/>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3800" w:type="dxa"/>
            <w:vAlign w:val="bottom"/>
          </w:tcPr>
          <w:p>
            <w:pPr>
              <w:jc w:val="center"/>
              <w:ind w:left="1041"/>
              <w:spacing w:after="0"/>
              <w:rPr>
                <w:sz w:val="20"/>
                <w:szCs w:val="20"/>
                <w:color w:val="auto"/>
              </w:rPr>
            </w:pPr>
            <w:r>
              <w:rPr>
                <w:rFonts w:ascii="Arial" w:cs="Arial" w:eastAsia="Arial" w:hAnsi="Arial"/>
                <w:sz w:val="14"/>
                <w:szCs w:val="14"/>
                <w:color w:val="auto"/>
                <w:w w:val="92"/>
              </w:rPr>
              <w:t>0.500% Senior Notes due 2021</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4"/>
                <w:szCs w:val="14"/>
                <w:color w:val="auto"/>
                <w:w w:val="93"/>
              </w:rPr>
              <w:t>IFF 21</w:t>
            </w:r>
          </w:p>
        </w:tc>
        <w:tc>
          <w:tcPr>
            <w:tcW w:w="3440" w:type="dxa"/>
            <w:vAlign w:val="bottom"/>
          </w:tcPr>
          <w:p>
            <w:pPr>
              <w:jc w:val="center"/>
              <w:ind w:right="1483"/>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3800" w:type="dxa"/>
            <w:vAlign w:val="bottom"/>
          </w:tcPr>
          <w:p>
            <w:pPr>
              <w:jc w:val="center"/>
              <w:ind w:left="1041"/>
              <w:spacing w:after="0"/>
              <w:rPr>
                <w:sz w:val="20"/>
                <w:szCs w:val="20"/>
                <w:color w:val="auto"/>
              </w:rPr>
            </w:pPr>
            <w:r>
              <w:rPr>
                <w:rFonts w:ascii="Arial" w:cs="Arial" w:eastAsia="Arial" w:hAnsi="Arial"/>
                <w:sz w:val="14"/>
                <w:szCs w:val="14"/>
                <w:color w:val="auto"/>
                <w:w w:val="92"/>
              </w:rPr>
              <w:t>1.750% Senior Notes due 2024</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4"/>
                <w:szCs w:val="14"/>
                <w:color w:val="auto"/>
                <w:w w:val="93"/>
              </w:rPr>
              <w:t>IFF 24</w:t>
            </w:r>
          </w:p>
        </w:tc>
        <w:tc>
          <w:tcPr>
            <w:tcW w:w="3440" w:type="dxa"/>
            <w:vAlign w:val="bottom"/>
          </w:tcPr>
          <w:p>
            <w:pPr>
              <w:jc w:val="center"/>
              <w:ind w:right="1483"/>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3800" w:type="dxa"/>
            <w:vAlign w:val="bottom"/>
          </w:tcPr>
          <w:p>
            <w:pPr>
              <w:jc w:val="center"/>
              <w:ind w:left="1041"/>
              <w:spacing w:after="0"/>
              <w:rPr>
                <w:sz w:val="20"/>
                <w:szCs w:val="20"/>
                <w:color w:val="auto"/>
              </w:rPr>
            </w:pPr>
            <w:r>
              <w:rPr>
                <w:rFonts w:ascii="Arial" w:cs="Arial" w:eastAsia="Arial" w:hAnsi="Arial"/>
                <w:sz w:val="14"/>
                <w:szCs w:val="14"/>
                <w:color w:val="auto"/>
                <w:w w:val="92"/>
              </w:rPr>
              <w:t>1.800% Senior Notes due 2026</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3"/>
          </w:tcPr>
          <w:p>
            <w:pPr>
              <w:jc w:val="center"/>
              <w:ind w:right="1680"/>
              <w:spacing w:after="0"/>
              <w:rPr>
                <w:sz w:val="20"/>
                <w:szCs w:val="20"/>
                <w:color w:val="auto"/>
              </w:rPr>
            </w:pPr>
            <w:r>
              <w:rPr>
                <w:rFonts w:ascii="Arial" w:cs="Arial" w:eastAsia="Arial" w:hAnsi="Arial"/>
                <w:sz w:val="14"/>
                <w:szCs w:val="14"/>
                <w:color w:val="auto"/>
                <w:w w:val="93"/>
              </w:rPr>
              <w:t>IFF 26</w:t>
            </w:r>
          </w:p>
        </w:tc>
        <w:tc>
          <w:tcPr>
            <w:tcW w:w="3440" w:type="dxa"/>
            <w:vAlign w:val="bottom"/>
          </w:tcPr>
          <w:p>
            <w:pPr>
              <w:jc w:val="center"/>
              <w:ind w:right="1483"/>
              <w:spacing w:after="0"/>
              <w:rPr>
                <w:sz w:val="20"/>
                <w:szCs w:val="20"/>
                <w:color w:val="auto"/>
              </w:rPr>
            </w:pPr>
            <w:r>
              <w:rPr>
                <w:rFonts w:ascii="Arial" w:cs="Arial" w:eastAsia="Arial" w:hAnsi="Arial"/>
                <w:sz w:val="14"/>
                <w:szCs w:val="14"/>
                <w:color w:val="auto"/>
                <w:w w:val="94"/>
              </w:rPr>
              <w:t>New York Stock Exchange</w:t>
            </w:r>
          </w:p>
        </w:tc>
      </w:tr>
    </w:tbl>
    <w:p>
      <w:pPr>
        <w:spacing w:after="0" w:line="187" w:lineRule="exact"/>
        <w:rPr>
          <w:sz w:val="24"/>
          <w:szCs w:val="24"/>
          <w:color w:val="auto"/>
        </w:rPr>
      </w:pPr>
    </w:p>
    <w:p>
      <w:pPr>
        <w:ind w:right="48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54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4" w:lineRule="exact"/>
        <w:rPr>
          <w:sz w:val="24"/>
          <w:szCs w:val="24"/>
          <w:color w:val="auto"/>
        </w:rPr>
      </w:pPr>
    </w:p>
    <w:p>
      <w:pPr>
        <w:ind w:left="5060"/>
        <w:spacing w:after="0" w:line="221" w:lineRule="exact"/>
        <w:rPr>
          <w:sz w:val="20"/>
          <w:szCs w:val="20"/>
          <w:color w:val="auto"/>
        </w:rPr>
      </w:pPr>
      <w:r>
        <w:rPr>
          <w:rFonts w:ascii="MS PGothic" w:cs="MS PGothic" w:eastAsia="MS PGothic" w:hAnsi="MS PGothic"/>
          <w:sz w:val="22"/>
          <w:szCs w:val="22"/>
          <w:color w:val="auto"/>
        </w:rPr>
        <w: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spacing w:after="0"/>
              <w:rPr>
                <w:sz w:val="24"/>
                <w:szCs w:val="24"/>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1720" w:type="dxa"/>
            <w:vAlign w:val="bottom"/>
          </w:tcPr>
          <w:p>
            <w:pPr>
              <w:ind w:left="15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70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1720" w:type="dxa"/>
            <w:vAlign w:val="bottom"/>
          </w:tcPr>
          <w:p>
            <w:pPr>
              <w:ind w:left="15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9"/>
        </w:trPr>
        <w:tc>
          <w:tcPr>
            <w:tcW w:w="3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1720" w:type="dxa"/>
            <w:vAlign w:val="bottom"/>
          </w:tcPr>
          <w:p>
            <w:pPr>
              <w:ind w:left="154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68" w:lineRule="exact"/>
        <w:rPr>
          <w:sz w:val="24"/>
          <w:szCs w:val="24"/>
          <w:color w:val="auto"/>
        </w:rPr>
      </w:pPr>
    </w:p>
    <w:p>
      <w:pPr>
        <w:ind w:right="14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4" w:lineRule="exact"/>
        <w:rPr>
          <w:sz w:val="24"/>
          <w:szCs w:val="24"/>
          <w:color w:val="auto"/>
        </w:rPr>
      </w:pPr>
    </w:p>
    <w:p>
      <w:pPr>
        <w:ind w:right="188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Number of shares outstanding as of July 24, 2019: 106,774,947</w:t>
      </w:r>
    </w:p>
    <w:p>
      <w:pPr>
        <w:sectPr>
          <w:pgSz w:w="11900" w:h="16838" w:orient="portrait"/>
          <w:cols w:equalWidth="0" w:num="1">
            <w:col w:w="11420"/>
          </w:cols>
          <w:pgMar w:left="240" w:top="733" w:right="239" w:bottom="442" w:gutter="0" w:footer="0" w:header="0"/>
        </w:sectPr>
      </w:pPr>
    </w:p>
    <w:bookmarkStart w:id="1" w:name="page2"/>
    <w:bookmarkEnd w:id="1"/>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8"/>
                <w:szCs w:val="18"/>
                <w:b w:val="1"/>
                <w:bCs w:val="1"/>
                <w:color w:val="auto"/>
                <w:w w:val="92"/>
              </w:rPr>
              <w:t>December 31,</w:t>
            </w:r>
          </w:p>
        </w:tc>
      </w:tr>
      <w:tr>
        <w:trPr>
          <w:trHeight w:val="221"/>
        </w:trPr>
        <w:tc>
          <w:tcPr>
            <w:tcW w:w="84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19"/>
                <w:szCs w:val="19"/>
                <w:color w:val="auto"/>
              </w:rPr>
            </w:pPr>
          </w:p>
        </w:tc>
        <w:tc>
          <w:tcPr>
            <w:tcW w:w="1300" w:type="dxa"/>
            <w:vAlign w:val="bottom"/>
          </w:tcPr>
          <w:p>
            <w:pPr>
              <w:jc w:val="right"/>
              <w:ind w:right="459"/>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4"/>
        </w:trPr>
        <w:tc>
          <w:tcPr>
            <w:tcW w:w="84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6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24"/>
        </w:trPr>
        <w:tc>
          <w:tcPr>
            <w:tcW w:w="846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634,897</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13,625</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receivables (net of allowances of $9,105 and $9,173,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937,765</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Inventories: Raw materials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615,301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568,916</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Work in process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48,819</w:t>
            </w:r>
          </w:p>
        </w:tc>
      </w:tr>
      <w:tr>
        <w:trPr>
          <w:trHeight w:val="237"/>
        </w:trPr>
        <w:tc>
          <w:tcPr>
            <w:tcW w:w="4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493,503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460,802</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1,163,653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1,078,537</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325,525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277,036</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2,990,026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2,941,860</w:t>
            </w:r>
          </w:p>
        </w:tc>
      </w:tr>
      <w:tr>
        <w:trPr>
          <w:trHeight w:val="21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at cost</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2,631,638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2,492,938</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(1,315,333)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(1,251,786)</w:t>
            </w:r>
          </w:p>
        </w:tc>
      </w:tr>
      <w:tr>
        <w:trPr>
          <w:trHeight w:val="217"/>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1,316,305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1,241,152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5,506,317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5,378,388</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2,944,667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3,039,322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288,673</w:t>
            </w:r>
          </w:p>
        </w:tc>
      </w:tr>
      <w:tr>
        <w:trPr>
          <w:trHeight w:val="21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13,348,082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12,889,395</w:t>
            </w:r>
          </w:p>
        </w:tc>
      </w:tr>
      <w:tr>
        <w:trPr>
          <w:trHeight w:val="73"/>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66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77"/>
        </w:trPr>
        <w:tc>
          <w:tcPr>
            <w:tcW w:w="8460" w:type="dxa"/>
            <w:vAlign w:val="bottom"/>
            <w:gridSpan w:val="3"/>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74"/>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r>
      <w:tr>
        <w:trPr>
          <w:trHeight w:val="224"/>
        </w:trPr>
        <w:tc>
          <w:tcPr>
            <w:tcW w:w="846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Bank borrowings, overdrafts, and 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48,642</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463,555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471,382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Accrued payroll and bonus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121,080</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Dividends payable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77,779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429,939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409,428</w:t>
            </w:r>
          </w:p>
        </w:tc>
      </w:tr>
      <w:tr>
        <w:trPr>
          <w:trHeight w:val="217"/>
        </w:trPr>
        <w:tc>
          <w:tcPr>
            <w:tcW w:w="4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1,149,533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1,128,311</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4,428,675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4,504,417</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Retirement liabilities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222,186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227,172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655,879</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514,802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248,436</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5,873,022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5,635,904</w:t>
            </w:r>
          </w:p>
        </w:tc>
      </w:tr>
      <w:tr>
        <w:trPr>
          <w:trHeight w:val="204"/>
        </w:trPr>
        <w:tc>
          <w:tcPr>
            <w:tcW w:w="84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Commitments and Contingencies (Note 15)</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81,806</w:t>
            </w:r>
          </w:p>
        </w:tc>
      </w:tr>
      <w:tr>
        <w:trPr>
          <w:trHeight w:val="224"/>
        </w:trPr>
        <w:tc>
          <w:tcPr>
            <w:tcW w:w="8460" w:type="dxa"/>
            <w:vAlign w:val="bottom"/>
            <w:gridSpan w:val="3"/>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5"/>
              </w:rPr>
              <w:t>Common stock 12 1/2¢ par value; 500,000,000 shares authorized; 128,526,137 shares issued as of June 30, 2019 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93"/>
              </w:rPr>
              <w:t>December 31, 2018; and 106,774,300 and 106,619,202 shares outstanding as of June 30, 2019 and December 31,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16,066</w:t>
            </w:r>
          </w:p>
        </w:tc>
      </w:tr>
      <w:tr>
        <w:trPr>
          <w:trHeight w:val="237"/>
        </w:trPr>
        <w:tc>
          <w:tcPr>
            <w:tcW w:w="4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6"/>
                <w:szCs w:val="16"/>
                <w:color w:val="auto"/>
              </w:rPr>
              <w:t>Capital in excess of par value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3,805,883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3,793,609</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4,069,211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3,956,221</w:t>
            </w:r>
          </w:p>
        </w:tc>
      </w:tr>
      <w:tr>
        <w:trPr>
          <w:trHeight w:val="237"/>
        </w:trPr>
        <w:tc>
          <w:tcPr>
            <w:tcW w:w="4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(668,359)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(702,227)</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w w:val="96"/>
              </w:rPr>
              <w:t>Treasury stock, at cost (21,751,837 and 21,906,935 shares as of June 30, 2019 and December 31, 2018,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(1,023,422)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(1,030,718)</w:t>
            </w:r>
          </w:p>
        </w:tc>
      </w:tr>
      <w:tr>
        <w:trPr>
          <w:trHeight w:val="217"/>
        </w:trPr>
        <w:tc>
          <w:tcPr>
            <w:tcW w:w="40" w:type="dxa"/>
            <w:vAlign w:val="bottom"/>
          </w:tcPr>
          <w:p>
            <w:pPr>
              <w:spacing w:after="0"/>
              <w:rPr>
                <w:sz w:val="18"/>
                <w:szCs w:val="18"/>
                <w:color w:val="auto"/>
              </w:rPr>
            </w:pPr>
          </w:p>
        </w:tc>
        <w:tc>
          <w:tcPr>
            <w:tcW w:w="8420" w:type="dxa"/>
            <w:vAlign w:val="bottom"/>
            <w:gridSpan w:val="2"/>
          </w:tcPr>
          <w:p>
            <w:pPr>
              <w:ind w:left="68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6,199,379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6,032,951</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r>
      <w:tr>
        <w:trPr>
          <w:trHeight w:val="217"/>
        </w:trPr>
        <w:tc>
          <w:tcPr>
            <w:tcW w:w="40" w:type="dxa"/>
            <w:vAlign w:val="bottom"/>
          </w:tcPr>
          <w:p>
            <w:pPr>
              <w:spacing w:after="0"/>
              <w:rPr>
                <w:sz w:val="18"/>
                <w:szCs w:val="18"/>
                <w:color w:val="auto"/>
              </w:rPr>
            </w:pPr>
          </w:p>
        </w:tc>
        <w:tc>
          <w:tcPr>
            <w:tcW w:w="8420" w:type="dxa"/>
            <w:vAlign w:val="bottom"/>
            <w:gridSpan w:val="2"/>
          </w:tcPr>
          <w:p>
            <w:pPr>
              <w:ind w:left="560"/>
              <w:spacing w:after="0"/>
              <w:rPr>
                <w:sz w:val="20"/>
                <w:szCs w:val="20"/>
                <w:color w:val="auto"/>
              </w:rPr>
            </w:pPr>
            <w:r>
              <w:rPr>
                <w:rFonts w:ascii="Arial" w:cs="Arial" w:eastAsia="Arial" w:hAnsi="Arial"/>
                <w:sz w:val="16"/>
                <w:szCs w:val="16"/>
                <w:color w:val="auto"/>
              </w:rPr>
              <w:t>Total Shareholders’ Equity including noncontrolling interest</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6,209,987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6,043,374</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13,348,082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12,889,395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line="275" w:lineRule="auto"/>
        <w:rPr>
          <w:sz w:val="20"/>
          <w:szCs w:val="20"/>
          <w:color w:val="auto"/>
        </w:rPr>
      </w:pPr>
      <w:r>
        <w:rPr>
          <w:rFonts w:ascii="Arial" w:cs="Arial" w:eastAsia="Arial" w:hAnsi="Arial"/>
          <w:sz w:val="18"/>
          <w:szCs w:val="18"/>
          <w:b w:val="1"/>
          <w:bCs w:val="1"/>
          <w:color w:val="auto"/>
        </w:rPr>
        <w:t>INTERNATIONAL FLAVORS &amp; FRAGRANCES INC. CONSOLIDATED STATEMENT OF INCOME AND COMPREHENSIVE INCOME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920" w:type="dxa"/>
            <w:vAlign w:val="bottom"/>
            <w:gridSpan w:val="3"/>
          </w:tcPr>
          <w:p>
            <w:pPr>
              <w:ind w:left="40"/>
              <w:spacing w:after="0"/>
              <w:rPr>
                <w:sz w:val="20"/>
                <w:szCs w:val="20"/>
                <w:color w:val="auto"/>
              </w:rPr>
            </w:pPr>
            <w:r>
              <w:rPr>
                <w:rFonts w:ascii="Arial" w:cs="Arial" w:eastAsia="Arial" w:hAnsi="Arial"/>
                <w:sz w:val="14"/>
                <w:szCs w:val="14"/>
                <w:i w:val="1"/>
                <w:iCs w:val="1"/>
                <w:color w:val="auto"/>
              </w:rPr>
              <w:t>(AMOUNTS IN THOUSANDS EXCEPT PER SHARE AMOUNTS)</w:t>
            </w: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1,291,568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2,588,970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1,850,944</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745,329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1,511,472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1,046,419</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546,239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804,525</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84,816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153,244</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300,051</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47,909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95,534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18,769</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Losses on sales of fixed assets</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1,195</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329,363</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32,593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69,165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69,841</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169,481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121,918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304,057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280,754</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52,190</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138,869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228,564</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136,377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245,206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228,564</w:t>
            </w:r>
          </w:p>
        </w:tc>
      </w:tr>
      <w:tr>
        <w:trPr>
          <w:trHeight w:val="67"/>
        </w:trPr>
        <w:tc>
          <w:tcPr>
            <w:tcW w:w="40" w:type="dxa"/>
            <w:vAlign w:val="bottom"/>
            <w:tcBorders>
              <w:bottom w:val="single" w:sz="8" w:color="CCEEFF"/>
            </w:tcBorders>
          </w:tcPr>
          <w:p>
            <w:pPr>
              <w:spacing w:after="0"/>
              <w:rPr>
                <w:sz w:val="5"/>
                <w:szCs w:val="5"/>
                <w:color w:val="auto"/>
              </w:rPr>
            </w:pPr>
          </w:p>
        </w:tc>
        <w:tc>
          <w:tcPr>
            <w:tcW w:w="384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49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Other comprehensive (loss) income, after tax:</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(70,461)</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Gains on derivatives qualifying as hedges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9,926</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Pension and postretirement net liability</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5,519</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(55,016)</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IFF stockholders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125,372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279,074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173,548</w:t>
            </w:r>
          </w:p>
        </w:tc>
      </w:tr>
      <w:tr>
        <w:trPr>
          <w:trHeight w:val="67"/>
        </w:trPr>
        <w:tc>
          <w:tcPr>
            <w:tcW w:w="40" w:type="dxa"/>
            <w:vAlign w:val="bottom"/>
            <w:tcBorders>
              <w:bottom w:val="single" w:sz="8" w:color="CCEEFF"/>
            </w:tcBorders>
          </w:tcPr>
          <w:p>
            <w:pPr>
              <w:spacing w:after="0"/>
              <w:rPr>
                <w:sz w:val="5"/>
                <w:szCs w:val="5"/>
                <w:color w:val="auto"/>
              </w:rPr>
            </w:pPr>
          </w:p>
        </w:tc>
        <w:tc>
          <w:tcPr>
            <w:tcW w:w="384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111,996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79,041</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112,872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79,347</w:t>
            </w:r>
          </w:p>
        </w:tc>
      </w:tr>
      <w:tr>
        <w:trPr>
          <w:trHeight w:val="27"/>
        </w:trPr>
        <w:tc>
          <w:tcPr>
            <w:tcW w:w="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80" w:type="dxa"/>
            <w:vAlign w:val="bottom"/>
            <w:gridSpan w:val="3"/>
          </w:tcPr>
          <w:p>
            <w:pPr>
              <w:ind w:left="40"/>
              <w:spacing w:after="0" w:line="196" w:lineRule="exact"/>
              <w:rPr>
                <w:sz w:val="20"/>
                <w:szCs w:val="20"/>
                <w:color w:val="auto"/>
              </w:rPr>
            </w:pPr>
            <w:r>
              <w:rPr>
                <w:rFonts w:ascii="Arial" w:cs="Arial" w:eastAsia="Arial" w:hAnsi="Arial"/>
                <w:sz w:val="18"/>
                <w:szCs w:val="18"/>
                <w:i w:val="1"/>
                <w:iCs w:val="1"/>
                <w:color w:val="auto"/>
              </w:rPr>
              <w:t>(DOLLARS IN THOUSANDS)</w:t>
            </w:r>
          </w:p>
        </w:tc>
        <w:tc>
          <w:tcPr>
            <w:tcW w:w="40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65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2180" w:type="dxa"/>
            <w:vAlign w:val="bottom"/>
            <w:tcBorders>
              <w:top w:val="single" w:sz="8" w:color="auto"/>
              <w:bottom w:val="single" w:sz="8" w:color="CCEEFF"/>
            </w:tcBorders>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250,083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228,564</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154,814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64,968</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14,342</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Losses on sale of assets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1,195</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(9,963)</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 recall claim settlement, net of insurance proceeds received</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(99,963)</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(71,545)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(67,940)</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(25,158)</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(65,620)</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8,651</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55,169</w:t>
            </w: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(67,421)</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Contingent consideration paid</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(69,467)</w:t>
            </w: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(155,578)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(108,824)</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revolving credit facility and short term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110,259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Contingent consideration paid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stock in connection with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Employee withholding taxes paid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(9,096)</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(15,475)</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(234,433)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(24,537)</w:t>
            </w: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(193,702)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(45,623)</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648,522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368,046</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454,820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322,423</w:t>
            </w:r>
          </w:p>
        </w:tc>
      </w:tr>
      <w:tr>
        <w:trPr>
          <w:trHeight w:val="67"/>
        </w:trPr>
        <w:tc>
          <w:tcPr>
            <w:tcW w:w="40" w:type="dxa"/>
            <w:vAlign w:val="bottom"/>
            <w:tcBorders>
              <w:bottom w:val="single" w:sz="8" w:color="CCEEFF"/>
            </w:tcBorders>
          </w:tcPr>
          <w:p>
            <w:pPr>
              <w:spacing w:after="0"/>
              <w:rPr>
                <w:sz w:val="5"/>
                <w:szCs w:val="5"/>
                <w:color w:val="auto"/>
              </w:rPr>
            </w:pPr>
          </w:p>
        </w:tc>
        <w:tc>
          <w:tcPr>
            <w:tcW w:w="2180" w:type="dxa"/>
            <w:vAlign w:val="bottom"/>
            <w:tcBorders>
              <w:bottom w:val="single" w:sz="8" w:color="CCEEFF"/>
            </w:tcBorders>
          </w:tcPr>
          <w:p>
            <w:pPr>
              <w:spacing w:after="0"/>
              <w:rPr>
                <w:sz w:val="5"/>
                <w:szCs w:val="5"/>
                <w:color w:val="auto"/>
              </w:rPr>
            </w:pPr>
          </w:p>
        </w:tc>
        <w:tc>
          <w:tcPr>
            <w:tcW w:w="55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70,479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74,422</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57,809</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Accrued capital expenditures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19,160</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SHAREHOLDERS’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Accumulated other</w:t>
            </w:r>
          </w:p>
        </w:tc>
        <w:tc>
          <w:tcPr>
            <w:tcW w:w="222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4"/>
              </w:rPr>
              <w:t>excess of</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280" w:type="dxa"/>
            <w:vAlign w:val="bottom"/>
            <w:gridSpan w:val="3"/>
          </w:tcPr>
          <w:p>
            <w:pPr>
              <w:ind w:left="2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4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 income</w:t>
            </w: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166,517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3,947,791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(620,579)</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(36,937,991)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(1,735,049)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1,778,962</w:t>
            </w: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99,685</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(85,264)</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Losses on derivatives qualifying as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hedges; net of tax $(1,463)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10,455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10,455</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Pension liability and postretirement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adjustment; net of tax $(4,499)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Cash dividends declared ($0.69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(54,488)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(54,488)</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 options/SSARs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Treasury share repurchases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(4,498)</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Vested restricted stock units and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130,633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3,992,452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(692,498)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(36,811,973)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1,756,203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Accumulated other</w:t>
            </w:r>
          </w:p>
        </w:tc>
        <w:tc>
          <w:tcPr>
            <w:tcW w:w="222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4"/>
              </w:rPr>
              <w:t>excess of</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280" w:type="dxa"/>
            <w:vAlign w:val="bottom"/>
            <w:gridSpan w:val="3"/>
          </w:tcPr>
          <w:p>
            <w:pPr>
              <w:ind w:left="2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4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 income</w:t>
            </w: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16,066</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3,802,602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4,011,326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(657,354)</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(21,879,556)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(1,029,429)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11,267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6,154,478</w:t>
            </w: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136,377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137,039</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(14,014)</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Gains on derivatives qualifying as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hedges; net of tax $342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Pension liability and postretirement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adjustment; net of tax $(1,937)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Cash dividends declared ($0.73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(77,904)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(77,904)</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 options/SSARs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127,695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10,696</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Redeemable NCI</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paid on noncontrolling</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and other</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Balance at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16,066</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3,805,883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4,069,211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(668,359)</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(21,751,837)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(1,023,422)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10,608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585"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 OF SHAREHOLDERS’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Accumulated other</w:t>
            </w:r>
          </w:p>
        </w:tc>
        <w:tc>
          <w:tcPr>
            <w:tcW w:w="222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4"/>
              </w:rPr>
              <w:t>excess of</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280" w:type="dxa"/>
            <w:vAlign w:val="bottom"/>
            <w:gridSpan w:val="3"/>
          </w:tcPr>
          <w:p>
            <w:pPr>
              <w:ind w:left="2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4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 income</w:t>
            </w: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14,470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162,827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3,870,621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(637,482)</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(36,910,809)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(1,726,234)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5,092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1,689,294</w:t>
            </w: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228,564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229,820</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Adoption of ASU 2014-09</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(70,461)</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(70,461)</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Gains on derivatives qualifying as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hedges; net of tax $(1,357)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9,926</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Pension liability and postretirement</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adjustment; net of tax $(2,605)</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5,519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Cash dividends declared ($1.38 per</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(108,891)</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Stock options/SSARs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Treasury share repurchases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(10,691)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160,927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70"/>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15,173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15,173</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Balance at June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14,470</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167,432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3,992,452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(692,498)</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(36,811,973)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(1,732,001)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6,348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1,756,203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Accumulated other</w:t>
            </w:r>
          </w:p>
        </w:tc>
        <w:tc>
          <w:tcPr>
            <w:tcW w:w="2220" w:type="dxa"/>
            <w:vAlign w:val="bottom"/>
            <w:gridSpan w:val="5"/>
          </w:tcPr>
          <w:p>
            <w:pPr>
              <w:ind w:left="6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4"/>
              </w:rPr>
              <w:t>excess of</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280" w:type="dxa"/>
            <w:vAlign w:val="bottom"/>
            <w:gridSpan w:val="3"/>
          </w:tcPr>
          <w:p>
            <w:pPr>
              <w:ind w:left="20"/>
              <w:spacing w:after="0" w:line="158" w:lineRule="exact"/>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par value</w:t>
            </w:r>
          </w:p>
        </w:tc>
        <w:tc>
          <w:tcPr>
            <w:tcW w:w="14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(loss) income</w:t>
            </w:r>
          </w:p>
        </w:tc>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16,066</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3,793,609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3,956,221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(702,227)</w:t>
            </w:r>
          </w:p>
        </w:tc>
        <w:tc>
          <w:tcPr>
            <w:tcW w:w="1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(21,906,935)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(1,030,718)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6,043,374</w:t>
            </w: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245,206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246,712</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Adoption of ASU 2016-02</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23,094</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Adoption of ASU 2017-12</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Cumulative translation adjustment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28,363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28,363</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Gains on derivatives qualifying as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hedges; net of tax $387</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Pension liability and postretirement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adjustment; net of tax $(1,101)</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5,187</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Cash dividends declared ($1.46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(155,703)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(155,703)</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 options/SSARs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Vested restricted stock units and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(10,968)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141,096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(4,333)</w:t>
            </w:r>
          </w:p>
        </w:tc>
        <w:tc>
          <w:tcPr>
            <w:tcW w:w="0" w:type="dxa"/>
            <w:vAlign w:val="bottom"/>
          </w:tcPr>
          <w:p>
            <w:pPr>
              <w:spacing w:after="0"/>
              <w:rPr>
                <w:sz w:val="1"/>
                <w:szCs w:val="1"/>
                <w:color w:val="auto"/>
              </w:rPr>
            </w:pPr>
          </w:p>
        </w:tc>
      </w:tr>
      <w:tr>
        <w:trPr>
          <w:trHeight w:val="27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18,300</w:t>
            </w:r>
          </w:p>
        </w:tc>
        <w:tc>
          <w:tcPr>
            <w:tcW w:w="0" w:type="dxa"/>
            <w:vAlign w:val="bottom"/>
          </w:tcPr>
          <w:p>
            <w:pPr>
              <w:spacing w:after="0"/>
              <w:rPr>
                <w:sz w:val="1"/>
                <w:szCs w:val="1"/>
                <w:color w:val="auto"/>
              </w:rPr>
            </w:pPr>
          </w:p>
        </w:tc>
      </w:tr>
      <w:tr>
        <w:trPr>
          <w:trHeight w:val="264"/>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Redeemable NCI</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3"/>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Dividends paid on noncontrolling</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and other</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rPr>
                <w:sz w:val="20"/>
                <w:szCs w:val="20"/>
                <w:color w:val="auto"/>
              </w:rPr>
            </w:pPr>
            <w:r>
              <w:rPr>
                <w:rFonts w:ascii="Arial" w:cs="Arial" w:eastAsia="Arial" w:hAnsi="Arial"/>
                <w:sz w:val="14"/>
                <w:szCs w:val="14"/>
                <w:color w:val="auto"/>
              </w:rPr>
              <w:t>Balance at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16,066</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3,805,883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4,069,211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(668,359)</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(21,751,837)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(1,023,422)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10,608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6,209,987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58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NATURE OF OPERATIONS AND SUMMARY OF SIGNIFICANT ACCOUNTING POLICIES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2018 Annual Report on Form 10-K (“2018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2019 and 2018 quarters, the actual closing dates were June 28 and June 29,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(“U.S. GAAP”) requires management to make estimates and judgments that affect the amounts reported in the consolidated financial statements and accompanying notes. Actual results could differ from those estimates.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increased $24.0 million for the six months ended June 30, 2019 compared to a decrease of $25.5 million for the six months ended June 30, 2018. The cost of participating in these programs was immaterial to our results in all periods.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Assets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31F20"/>
        </w:rPr>
        <w:t>following</w:t>
      </w:r>
      <w:r>
        <w:rPr>
          <w:rFonts w:ascii="Arial" w:cs="Arial" w:eastAsia="Arial" w:hAnsi="Arial"/>
          <w:sz w:val="16"/>
          <w:szCs w:val="16"/>
          <w:color w:val="auto"/>
        </w:rPr>
        <w:t xml:space="preserve"> table reflects the balances in our contract assets and accounts receivable for the periods ended June 30, 2019 and 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19"/>
                <w:szCs w:val="19"/>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Receivables (included in Trade receivables)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946,938</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Contract asset - Short term</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487</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The Company recognizes revenue when control of the promised goods is transferred to its customers in an amount that reflects the consideration it expects to be entitled to in exchange for those goods. Sales, value add, and other taxes the Company collects are excluded from revenues. The Company receives payment in accordance with standard customer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t>The following table presents the Company's revenues disaggregated by product categories: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 Compounds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899,559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Fragrance Compounds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375,696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764,807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750,666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Ingredients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200,719</w:t>
            </w:r>
          </w:p>
        </w:tc>
      </w:tr>
      <w:tr>
        <w:trPr>
          <w:trHeight w:val="257"/>
        </w:trPr>
        <w:tc>
          <w:tcPr>
            <w:tcW w:w="40" w:type="dxa"/>
            <w:vAlign w:val="bottom"/>
          </w:tcPr>
          <w:p>
            <w:pPr>
              <w:spacing w:after="0"/>
              <w:rPr>
                <w:sz w:val="22"/>
                <w:szCs w:val="22"/>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1,291,568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920,016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2,588,970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1,850,944</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2018, the FASB issued Accounting Standards Update ("ASU") 2018-16, “Derivatives and Hedging (Topic 815): Inclusion of the Secured Overnight Financing Rate ("SOFR") Overnight Index Swap ("OIS") Rate as a Benchmark Interest Rate for Hedge Accounting Purposes." The ASU allows for the use of the OIS rate based on the SOFR as a U.S. benchmark interest rate for purposes of applying hedge accounting under ASC 815, Derivatives and Hedging. The Company applied this new guidance as of December 29, 2018, the first day of the Company’s 2019 fiscal year. The adoption of the guidance did not have a material impact on the Consolidated Financial Statements.</w:t>
      </w:r>
    </w:p>
    <w:p>
      <w:pPr>
        <w:spacing w:after="0" w:line="134"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August 2018, the FASB issued ASU 2018-15, “Intangibles - Goodwill and Other - Internal - Use Software (Subtopic 350-40): Customer’s Accounting for Implementation Costs Incurred in a Cloud Computing Arrangement That Is a Service Contract (a consensus of the FASB Emerging Issues Task Force).” The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is currently evaluating the impact this guidance will have on its Consolidated Financial Statements.</w:t>
      </w:r>
    </w:p>
    <w:p>
      <w:pPr>
        <w:spacing w:after="0" w:line="11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(Subtopic 715-20)", which modifies the disclosure requirements on company-sponsored defined benefit plans. The ASU is effective for fiscal years beginning after December 15, 2020 on a retrospective basis to all periods presented. Early adoption is permitted. The Company is currently evaluating the impact this guidance will have on its Consolidated Financial Statements.</w:t>
      </w:r>
    </w:p>
    <w:p>
      <w:pPr>
        <w:spacing w:after="0" w:line="133"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 August 2018, the FASB issued ASU 2018-13, "Fair Value Measurement (Topic 820)", which modifies, removes and adds certain disclosure requirements on fair value measurements. The ASU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has determined that this guidance does not have an impact on its Consolidated Financial Statements, as the Company has no applicable fair value measurements that are affected by the guidance.</w:t>
      </w:r>
    </w:p>
    <w:p>
      <w:pPr>
        <w:spacing w:after="0" w:line="12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In June 2018, the FASB issued ASU 2018-07, "Compensation - Stock Compensation (Topic 718)" intended to reduce cost and complexity and to improve financial reporting for nonemployee share-based payments. This guidance expands the scope of Topic 718, Compensation-Stock Compensation which currently only includes share-based payments to employees to include share-based payments issued to nonemployees for goods or services. The Company applied this new guidance as of December 29, 2018, the first day of the Company’s 2019 fiscal year. The adoption of the guidance did not have a material impact on the Consolidated Financial Statements.</w:t>
      </w:r>
    </w:p>
    <w:p>
      <w:pPr>
        <w:spacing w:after="0" w:line="13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February 2018, FASB issued ASU 2018-02, "Income Statement - Reporting Comprehensive Income (Topic 220): Reclassification of Certain Tax Effects from Accumulated Other Comprehensive Income" which allows for a reclassification from accumulated other comprehensive income to retained earnings for stranded tax effects resulting from the Tax Act, in addition to requiring certain disclosures about stranded tax effects. The guidance was effective as of December 29, 2018, the first day of the Company's fiscal year. The Company has elected to not reclassify any stranded tax effects to retained earnings.</w:t>
      </w:r>
    </w:p>
    <w:p>
      <w:pPr>
        <w:spacing w:after="0" w:line="100"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In August 2017, FASB issued ASU 2017-12, "Derivatives and Hedging (Topic 815): Targeted Improvements to Accounting for Hedging Activities" which eliminates the requirement to separately measure and present hedge ineffectiveness and aligns the presentation of hedge gains and losses with the underlying hedge item. This guidance is effective, and as required, has been applied on a modified retrospective basis. The impact of the adoption of this standard on December 29,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ind w:right="160"/>
        <w:spacing w:after="0" w:line="264" w:lineRule="auto"/>
        <w:rPr>
          <w:sz w:val="20"/>
          <w:szCs w:val="20"/>
          <w:color w:val="auto"/>
        </w:rPr>
      </w:pPr>
      <w:r>
        <w:rPr>
          <w:rFonts w:ascii="Arial" w:cs="Arial" w:eastAsia="Arial" w:hAnsi="Arial"/>
          <w:sz w:val="18"/>
          <w:szCs w:val="18"/>
          <w:color w:val="auto"/>
        </w:rPr>
        <w:t>was a decrease in the beginning balance of the currency translation adjustment component of Accumulated other comprehensive loss of $1.0 million, and an increase in Retained Earnings, as presented in the Company's Consolidated Balance Sheet. See Note 13 of the Consolidated Financial Statements for further details.</w:t>
      </w:r>
    </w:p>
    <w:p>
      <w:pPr>
        <w:spacing w:after="0" w:line="12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with subsequent amendments, which requires issuers to measure expected credit losses for financial assets based on historical experience, current conditions and reasonable and supportable forecasts. As such, an entity will use forward-looking information to estimate credit losses. The guidance is effective for financial statements issued for fiscal years beginning after December 15, 2019, including interim periods within those fiscal years. Early adoption is permitted. The Company is currently evaluating the impact this guidance will have on its Consolidated Financial Statements.</w:t>
      </w:r>
    </w:p>
    <w:p>
      <w:pPr>
        <w:spacing w:after="0" w:line="10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 February 2016, the FASB issued ASU 2016-02, "Leases (Topic 842)", with subsequent amendments, which requires changes to the accounting for leases and supersedes existing lease guidance, including ASC 840 - Leases. See Note 8 for further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shares used in the computation of basic and diluted net income per share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26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IFF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136,377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245,206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228,564</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Less: Increase in redemption value of redeemable noncontrolling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interests in excess of earnings allocated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income available to IFF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135,864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245,063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228,564</w:t>
            </w:r>
          </w:p>
        </w:tc>
      </w:tr>
      <w:tr>
        <w:trPr>
          <w:trHeight w:val="67"/>
        </w:trPr>
        <w:tc>
          <w:tcPr>
            <w:tcW w:w="4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51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Weighted average common shares outstanding (basic)</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111,996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79,065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111,930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79,041</w:t>
            </w: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Adjustment for assumed dilution</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Stock options and restricted stock awards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SPC portion of TEUs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assuming dilution (diluted)</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112,872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79,347</w:t>
            </w:r>
          </w:p>
        </w:tc>
      </w:tr>
      <w:tr>
        <w:trPr>
          <w:trHeight w:val="67"/>
        </w:trPr>
        <w:tc>
          <w:tcPr>
            <w:tcW w:w="4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right="540" w:hanging="412"/>
        <w:spacing w:after="0" w:line="277"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8"/>
          <w:szCs w:val="18"/>
          <w:color w:val="auto"/>
        </w:rPr>
        <w:t>For the three and six months ended June 30, 2019, the tangible equity units (“TEUs”) were assumed to be outstanding at the minimum settlement amount for weighted-average shares for basic earnings per share. See below for details.</w:t>
      </w:r>
    </w:p>
    <w:p>
      <w:pPr>
        <w:spacing w:after="0" w:line="116"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dilutive securities includes dilution under stock plans and incremental impact of TEUs. See below for details.</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Company declared a quarterly dividend to its shareholders of $0.73 and $0.69 for the three months ended June 30, 2019 and 2018, respectively. For the six months ended June 30, 2019 and 2018, the Company declared quarterly dividends to its shareholders totaling $1.46 and $1.38, respectively.</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six months ended June 30, 2019 and 2018.</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issued 16,500,000 TEUs, consisting of a prepaid stock purchase contract ("SPC") and a senior amortizing note, for net proceeds of $800.2 million on September 17, 2018. For the periods outstanding, the SPC portion of the TEUs was assumed to be settled at the minimum settlement amount</w:t>
      </w:r>
    </w:p>
    <w:p>
      <w:pPr>
        <w:jc w:val="both"/>
        <w:spacing w:after="0" w:line="255" w:lineRule="auto"/>
        <w:rPr>
          <w:sz w:val="20"/>
          <w:szCs w:val="20"/>
          <w:color w:val="auto"/>
        </w:rPr>
      </w:pPr>
      <w:r>
        <w:rPr>
          <w:rFonts w:ascii="Arial" w:cs="Arial" w:eastAsia="Arial" w:hAnsi="Arial"/>
          <w:sz w:val="18"/>
          <w:szCs w:val="18"/>
          <w:color w:val="auto"/>
        </w:rPr>
        <w:t>of 0.3134 shares per SPC for purposes of calculating weighted-average shares for the basic earnings per share calculation. For purposes of calculating diluted earnings per share, the SPCs were assumed to be settled at a conversion factor based on the 20 day volume-weighted average price (“VWAP”) per share of the Company’s common stock not to exceed 0.3408 shares per SPC.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ind w:right="2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and purchased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June 30, 2019 and 2018 was immaterial. Net income allocated to such PRSUs was $0.2 million and $0.2 million for the three months ended June 30, 2019 and 2018, and $0.3 million and $0.5 million for the six months ended June 30, 2019 and 2018.</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tab/>
        <w:t>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 Activity</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During the second quarter of 2019, the Company acquired the remaining 50% interest in an equity method investee located in Canada. The purchase of the additional interest increased the Company's ownership of the investee to 100%, and the acquired entity will be managed under the Frutarom segment. The purchase price for the remaining 50% was approximately $40 million, including cash and an accrual for the amount expected to be paid in contingent consideration. The Company began to consolidate the results of the acquired entity from the date on which it acquired the remaining 50% interest during the second quarter of 2019. Goodwill of approximately $24 million and intangible assets of $15 million were recorded in connection with the acquisition. The purchase price allocation is preliminary and is expected to be completed within the measurement period.</w:t>
      </w:r>
    </w:p>
    <w:p>
      <w:pPr>
        <w:spacing w:after="0" w:line="12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During the first quarter of 2019, the Company acquired 70% of a company in Europe and increased its ownership of an Asian company from 49% to 60% after receipt of previously pending regulatory approvals. The two acquired entities, which manufacture flavor products, will be managed under the Frutarom segment. The total purchase price for the acquisitions was $52 million, excluding cash acquired and including $19 million of contingent consideration and deferred payments. The preliminary purchase price allocations have been performed and resulted in goodwill of approximately $56 million and intangible assets of $18 million. The purchase price allocations are preliminary and are expected to be completed within the measurement period.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 forma information has not been presented as the acquired entities are not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Frutarom</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4, 2018, the Company completed its acquisition of 100% of the equity of Frutarom Industries Ltd. (“Frutarom”).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allocated the purchase consideration to the tangible net assets and identifiable intangible assets acquired based on estimated fair values at the acquisition date, and recorded the excess of consideration over the fair values of net assets acquired as goodwill. During the second quarter of 2019, the Company updated the purchase price allocation, principally to reflect updated values for certain entities' fixed assets and to adjust the tax rate on deferred tax liabilities to reflect the rate at which the deferred tax liabilities will reverse.</w:t>
      </w:r>
    </w:p>
    <w:p>
      <w:pPr>
        <w:spacing w:after="0" w:line="13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purchase price allocation is preliminary and subject to change. The Company is currently finalizing the valuation of fixed assets, goodwill and intangible assets (trade names, product formulas, customer relationships and favorable/unfavorable leases and the related estimated useful lives). Additionally, the Company is finalizing the projected combined future tax rate to be applied to the valuation of assets, which could impact the valuation of goodwill and intangible assets. The determination of the fair value of assets and liabilities, including those related to leases, will be finalized as soon as the valuation is completed which is expected to be during the third quarter of 2019.</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as of October 4, 2018:</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As reported in the fourth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97"/>
              </w:rPr>
              <w:t>Measurement period</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As reported in the second</w:t>
            </w:r>
          </w:p>
        </w:tc>
      </w:tr>
      <w:tr>
        <w:trPr>
          <w:trHeight w:val="221"/>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9"/>
                <w:szCs w:val="19"/>
                <w:color w:val="auto"/>
              </w:rPr>
            </w:pPr>
          </w:p>
        </w:tc>
        <w:tc>
          <w:tcPr>
            <w:tcW w:w="2200" w:type="dxa"/>
            <w:vAlign w:val="bottom"/>
          </w:tcPr>
          <w:p>
            <w:pPr>
              <w:jc w:val="right"/>
              <w:ind w:right="510"/>
              <w:spacing w:after="0"/>
              <w:rPr>
                <w:sz w:val="20"/>
                <w:szCs w:val="20"/>
                <w:color w:val="auto"/>
              </w:rPr>
            </w:pPr>
            <w:r>
              <w:rPr>
                <w:rFonts w:ascii="Arial" w:cs="Arial" w:eastAsia="Arial" w:hAnsi="Arial"/>
                <w:sz w:val="18"/>
                <w:szCs w:val="18"/>
                <w:b w:val="1"/>
                <w:bCs w:val="1"/>
                <w:color w:val="auto"/>
              </w:rPr>
              <w:t>quarter of 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adjustments</w:t>
            </w:r>
          </w:p>
        </w:tc>
        <w:tc>
          <w:tcPr>
            <w:tcW w:w="2220" w:type="dxa"/>
            <w:vAlign w:val="bottom"/>
          </w:tcPr>
          <w:p>
            <w:pPr>
              <w:jc w:val="right"/>
              <w:ind w:right="510"/>
              <w:spacing w:after="0"/>
              <w:rPr>
                <w:sz w:val="20"/>
                <w:szCs w:val="20"/>
                <w:color w:val="auto"/>
              </w:rPr>
            </w:pPr>
            <w:r>
              <w:rPr>
                <w:rFonts w:ascii="Arial" w:cs="Arial" w:eastAsia="Arial" w:hAnsi="Arial"/>
                <w:sz w:val="18"/>
                <w:szCs w:val="18"/>
                <w:b w:val="1"/>
                <w:bCs w:val="1"/>
                <w:color w:val="auto"/>
              </w:rPr>
              <w:t>quarter of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140,747</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699,627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699,627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2,690,000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2,668,300</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353,710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58,336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412,046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25,791</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(311,325)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(311,325)</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assumed</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(77,037)</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(632,488)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(71,793)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(704,281)</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(103,210)</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4,243,079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4,283,936</w:t>
            </w:r>
          </w:p>
        </w:tc>
      </w:tr>
      <w:tr>
        <w:trPr>
          <w:trHeight w:val="257"/>
        </w:trPr>
        <w:tc>
          <w:tcPr>
            <w:tcW w:w="20" w:type="dxa"/>
            <w:vAlign w:val="bottom"/>
          </w:tcPr>
          <w:p>
            <w:pPr>
              <w:spacing w:after="0"/>
              <w:rPr>
                <w:sz w:val="22"/>
                <w:szCs w:val="22"/>
                <w:color w:val="auto"/>
              </w:rPr>
            </w:pPr>
          </w:p>
        </w:tc>
        <w:tc>
          <w:tcPr>
            <w:tcW w:w="3980" w:type="dxa"/>
            <w:vAlign w:val="bottom"/>
            <w:gridSpan w:val="2"/>
          </w:tcPr>
          <w:p>
            <w:pPr>
              <w:ind w:left="260"/>
              <w:spacing w:after="0"/>
              <w:rPr>
                <w:sz w:val="20"/>
                <w:szCs w:val="20"/>
                <w:color w:val="auto"/>
              </w:rPr>
            </w:pPr>
            <w:r>
              <w:rPr>
                <w:rFonts w:ascii="Arial" w:cs="Arial" w:eastAsia="Arial" w:hAnsi="Arial"/>
                <w:sz w:val="18"/>
                <w:szCs w:val="18"/>
                <w:color w:val="auto"/>
              </w:rPr>
              <w:t>Total Purchase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7,030,894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4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7,030,894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preliminary fair value purchase price allocation of the assets and liabilities acquired in the acquisition of Frutarom as reported in the fourth quarter of 2018 were updated during the six months ended June 30, 2019 primarily due to: (i) a $21.7 million decrease in the fair value of identifiable intangible assets (principally customer relationships and arising from the updated valuations for certain entities' fixed assets), (ii) a $58.3 million increase to property, plant and equipment (related to certain Frutarom entities), included in other non-current assets in the accompanying table, (iii) a $1.5 million increase to the noncurrent portion of earn-outs, (iv) a $70.5 million increase to deferred income tax liabilities and (v) a $5.7 million increase to redeemable noncontrolling interest. The cumulative impact of the adjustment resulted in a $40.9 million increase to goodwill.</w:t>
      </w:r>
    </w:p>
    <w:p>
      <w:pPr>
        <w:spacing w:after="0" w:line="12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measurement period adjustments did not have a material impact on the Company's Statement of Comprehensive Income for the first or second quarters of 2019.</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preliminary amounts of the components of intangible assets with finite lives that have been recorded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9"/>
                <w:szCs w:val="19"/>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Estimated Amounts</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w w:val="91"/>
              </w:rPr>
              <w:t>Weighted-Average Useful Life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formula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to 12 years</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2,230,000</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18 to 23 years</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to 26 years</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Favorable/Unfavorable Leases, net</w:t>
            </w: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 to 15 years</w:t>
            </w: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2,668,300</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financial information</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IFF and Frutarom as if the acquisition had been completed as of the beginning of the prior fiscal year, or January 1, 2018. The unaudited pro forma financial information is presented for informational purposes and is not indicative of the results of operations that would have been achieved if the acquisition and related borrowings had taken place on January 1, 2018, nor are they indicative of future results. The unaudited pro forma financial information for the three and six months ended June 30, 2018 included the pre-acquisition results of Frutarom for that period.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80" w:type="dxa"/>
            <w:vAlign w:val="bottom"/>
            <w:gridSpan w:val="2"/>
          </w:tcPr>
          <w:p>
            <w:pPr>
              <w:ind w:left="300"/>
              <w:spacing w:after="0"/>
              <w:rPr>
                <w:sz w:val="20"/>
                <w:szCs w:val="20"/>
                <w:color w:val="auto"/>
              </w:rPr>
            </w:pPr>
            <w:r>
              <w:rPr>
                <w:rFonts w:ascii="Arial" w:cs="Arial" w:eastAsia="Arial" w:hAnsi="Arial"/>
                <w:sz w:val="18"/>
                <w:szCs w:val="18"/>
                <w:color w:val="auto"/>
              </w:rPr>
              <w:t>The unaudited pro forma results were as follows:</w:t>
            </w: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Three Months Ended June 30,</w:t>
            </w: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1"/>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9"/>
                <w:szCs w:val="19"/>
                <w:color w:val="auto"/>
              </w:rPr>
            </w:pPr>
          </w:p>
        </w:tc>
        <w:tc>
          <w:tcPr>
            <w:tcW w:w="1900" w:type="dxa"/>
            <w:vAlign w:val="bottom"/>
          </w:tcPr>
          <w:p>
            <w:pPr>
              <w:jc w:val="right"/>
              <w:ind w:right="9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Unaudited pro forma net sales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1,321,321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2,637,054</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Unaudited pro forma net income attributable to the Company</w:t>
            </w:r>
          </w:p>
        </w:tc>
        <w:tc>
          <w:tcPr>
            <w:tcW w:w="60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102,269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214,889</w:t>
            </w: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6" w:right="239" w:bottom="1440" w:gutter="0" w:footer="0" w:header="0"/>
          <w:type w:val="continuous"/>
        </w:sectPr>
      </w:pPr>
    </w:p>
    <w:bookmarkStart w:id="11" w:name="page12"/>
    <w:bookmarkEnd w:id="11"/>
    <w:p>
      <w:pPr>
        <w:ind w:right="180" w:firstLine="324"/>
        <w:spacing w:after="0" w:line="259" w:lineRule="auto"/>
        <w:rPr>
          <w:sz w:val="20"/>
          <w:szCs w:val="20"/>
          <w:color w:val="auto"/>
        </w:rPr>
      </w:pPr>
      <w:r>
        <w:rPr>
          <w:rFonts w:ascii="Arial" w:cs="Arial" w:eastAsia="Arial" w:hAnsi="Arial"/>
          <w:sz w:val="18"/>
          <w:szCs w:val="18"/>
          <w:color w:val="auto"/>
        </w:rPr>
        <w:t>The unaudited pro forma results for all periods presented include adjustments made to account for certain costs and transactions that would have been incurred had the acquisition been completed as of January 1, 2018, including amortization charges for acquired intangibles assets, amortization of inventory step-up, adjustments for depreciation expense for property, plant, and equipment, and adjustments to interest expense. These adjustments are net of any applicable tax impact and were included to arrive at the pro forma results above.</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tab/>
        <w:t>RESTRUCTURING AND OTHER CHARGES, NET</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Restructuring and other charges primarily consist of separation costs for employees including severance, outplacement and other benefit costs as well as costs related to plant closures, lease termination and other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Frutarom Integration Initiative</w:t>
      </w:r>
    </w:p>
    <w:p>
      <w:pPr>
        <w:spacing w:after="0" w:line="17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connection with the acquisition of Frutarom, the Company began to execute an integration plan that, among other initiatives, seeks to optimize its manufacturing network. As part of the Frutarom Integration Initiative, the Company expects to close approximately 35 manufacturing sites over the next two years with most of the closures targeted to occur before the end of fiscal 2020. During the six months ended June 30, 2019, the Company announced the closure of four facilities in Europe, Africa and Middle East, one facility in North America and one in Greater Asia and incurred $5.1 million of costs, of which $1.5 million was for severance and the remainder comprising costs such as contract termination and relocation.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Severance Charges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six months ended June 30, 2019, the Company incurred severance charges of $13.6 million related to approximately 190 headcount reductions, excluding those previously mentioned under the Frutarom Integration Initiative. The headcount reductions primarily related to the Scent business unit with additional amounts related to headcount reductions in all business units associated with the establishment of a new shared service center in Europe. The Company made payments of $3.6 million related to personnel costs during the six months ended June 30,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Productivity Program</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2017 Productivity Program, the Company recorded $24.5 million of charges related to personnel costs and lease termination costs through 2019. The Company made payments of $0.6 million and $4.5 million related to personnel costs during the six months ended June 30, 2019 and 2018, as well as lease termination costs for June 30, 2018.</w:t>
      </w:r>
    </w:p>
    <w:p>
      <w:pPr>
        <w:spacing w:after="0" w:line="12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Changes in restructuring liabilities during the six months ended June 30, 2019, including the Frutarom Integration Initiative, 2019 Severance Charges and the 2017 Productivity Program, were as follows:</w:t>
      </w:r>
    </w:p>
    <w:p>
      <w:pPr>
        <w:sectPr>
          <w:pgSz w:w="11900" w:h="16838" w:orient="portrait"/>
          <w:cols w:equalWidth="0" w:num="1">
            <w:col w:w="11420"/>
          </w:cols>
          <w:pgMar w:left="240" w:top="746" w:right="2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2019 were as follows:</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Frutarom measurement period adjustment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6"/>
          <w:szCs w:val="16"/>
          <w:color w:val="auto"/>
        </w:rPr>
        <w:t>Additions relate to the 2019 Acquisition Activity. See Note 3 for details.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Employee-Related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Costs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5,200</w:t>
            </w:r>
          </w:p>
        </w:tc>
      </w:tr>
      <w:tr>
        <w:trPr>
          <w:trHeight w:val="270"/>
        </w:trPr>
        <w:tc>
          <w:tcPr>
            <w:tcW w:w="36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18,699</w:t>
            </w:r>
          </w:p>
        </w:tc>
      </w:tr>
      <w:tr>
        <w:trPr>
          <w:trHeight w:val="270"/>
        </w:trPr>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7"/>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17,246</w:t>
            </w:r>
          </w:p>
        </w:tc>
      </w:tr>
      <w:tr>
        <w:trPr>
          <w:trHeight w:val="27"/>
        </w:trPr>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2880"/>
        <w:spacing w:after="0"/>
        <w:tabs>
          <w:tab w:leader="none" w:pos="4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5,378,388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86,702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40,857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370</w:t>
      </w:r>
    </w:p>
    <w:p>
      <w:pPr>
        <w:spacing w:after="0" w:line="77" w:lineRule="exact"/>
        <w:rPr>
          <w:sz w:val="20"/>
          <w:szCs w:val="20"/>
          <w:color w:val="auto"/>
        </w:rPr>
      </w:pPr>
    </w:p>
    <w:p>
      <w:pPr>
        <w:ind w:left="2880"/>
        <w:spacing w:after="0"/>
        <w:tabs>
          <w:tab w:leader="none" w:pos="4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5,506,317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48895</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54" w:lineRule="exact"/>
        <w:rPr>
          <w:sz w:val="20"/>
          <w:szCs w:val="20"/>
          <w:color w:val="auto"/>
        </w:rPr>
      </w:pPr>
    </w:p>
    <w:p>
      <w:pPr>
        <w:sectPr>
          <w:pgSz w:w="11900" w:h="16838" w:orient="portrait"/>
          <w:cols w:equalWidth="0" w:num="2">
            <w:col w:w="5680" w:space="720"/>
            <w:col w:w="5020"/>
          </w:cols>
          <w:pgMar w:left="240" w:top="746" w:right="239" w:bottom="1440" w:gutter="0" w:footer="0" w:header="0"/>
          <w:type w:val="continuous"/>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6"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i w:val="1"/>
                <w:iCs w:val="1"/>
                <w:color w:val="auto"/>
              </w:rPr>
              <w:t>Other Intangible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intangible assets, net consisted of the following amounts: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22"/>
                <w:szCs w:val="22"/>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2,650,432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2,658,659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177,770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470,294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451,016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43,766</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carrying value</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3,325,052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3,331,211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(156,906)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(19,593)</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(93,051)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(22,339)</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(380,385)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(291,889)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2,944,667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3,039,322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Amortization expense was $47,909 and $9,584 for the three months ended June 30, 2019 and 2018, respectively and $95,534 and $18,769 for the six months ended June 30, 2019 and 2018, respectively.</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Amortization expense for the next five years and thereafter, based on preliminary valuations and determinations of useful lives, is expected to be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Estimated future intangible amortization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96,198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185,650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180,819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176,749</w:t>
            </w: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NOTE 6.   OTHER ASSETS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400" w:type="dxa"/>
            <w:vAlign w:val="bottom"/>
            <w:gridSpan w:val="2"/>
          </w:tcPr>
          <w:p>
            <w:pPr>
              <w:ind w:left="400"/>
              <w:spacing w:after="0"/>
              <w:rPr>
                <w:sz w:val="20"/>
                <w:szCs w:val="20"/>
                <w:color w:val="auto"/>
              </w:rPr>
            </w:pPr>
            <w:r>
              <w:rPr>
                <w:rFonts w:ascii="Arial" w:cs="Arial" w:eastAsia="Arial" w:hAnsi="Arial"/>
                <w:sz w:val="18"/>
                <w:szCs w:val="18"/>
                <w:color w:val="auto"/>
              </w:rPr>
              <w:t>Other assets consisted of the following amounts: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97,629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Overfunded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75,158</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46,159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43,179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590,767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288,673</w:t>
            </w:r>
          </w:p>
        </w:tc>
        <w:tc>
          <w:tcPr>
            <w:tcW w:w="0" w:type="dxa"/>
            <w:vAlign w:val="bottom"/>
          </w:tcPr>
          <w:p>
            <w:pPr>
              <w:spacing w:after="0"/>
              <w:rPr>
                <w:sz w:val="1"/>
                <w:szCs w:val="1"/>
                <w:color w:val="auto"/>
              </w:rPr>
            </w:pPr>
          </w:p>
        </w:tc>
      </w:tr>
      <w:tr>
        <w:trPr>
          <w:trHeight w:val="27"/>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land usage rights in China and long term deposits.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NOTE 7.  DEBT</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4540" w:type="dxa"/>
            <w:vAlign w:val="bottom"/>
            <w:gridSpan w:val="4"/>
          </w:tcPr>
          <w:p>
            <w:pPr>
              <w:spacing w:after="0"/>
              <w:rPr>
                <w:sz w:val="20"/>
                <w:szCs w:val="20"/>
                <w:color w:val="auto"/>
              </w:rPr>
            </w:pPr>
            <w:r>
              <w:rPr>
                <w:rFonts w:ascii="Arial" w:cs="Arial" w:eastAsia="Arial" w:hAnsi="Arial"/>
                <w:sz w:val="18"/>
                <w:szCs w:val="18"/>
                <w:color w:val="auto"/>
              </w:rPr>
              <w:t>Debt consisted of the following:</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65"/>
        </w:trPr>
        <w:tc>
          <w:tcPr>
            <w:tcW w:w="454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5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w w:val="99"/>
              </w:rPr>
              <w:t>Effective Interest Rate</w:t>
            </w: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64"/>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41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3.69%  $</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298,954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298,499</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41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338,505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337,704</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4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298,850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298,698</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2024</w:t>
            </w:r>
          </w:p>
        </w:tc>
        <w:tc>
          <w:tcPr>
            <w:tcW w:w="41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565,404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564,034</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4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Euro Notes</w:t>
            </w:r>
            <w:r>
              <w:rPr>
                <w:rFonts w:ascii="Arial" w:cs="Arial" w:eastAsia="Arial" w:hAnsi="Arial"/>
                <w:sz w:val="25"/>
                <w:szCs w:val="25"/>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902,063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899,886</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2028</w:t>
            </w:r>
          </w:p>
        </w:tc>
        <w:tc>
          <w:tcPr>
            <w:tcW w:w="41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396,535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396,377</w:t>
            </w:r>
          </w:p>
        </w:tc>
      </w:tr>
      <w:tr>
        <w:trPr>
          <w:trHeight w:val="270"/>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2047</w:t>
            </w:r>
          </w:p>
        </w:tc>
        <w:tc>
          <w:tcPr>
            <w:tcW w:w="4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493,361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493,151</w:t>
            </w:r>
          </w:p>
        </w:tc>
      </w:tr>
      <w:tr>
        <w:trPr>
          <w:trHeight w:val="270"/>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2048</w:t>
            </w:r>
          </w:p>
        </w:tc>
        <w:tc>
          <w:tcPr>
            <w:tcW w:w="41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Notes</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785,890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785,788</w:t>
            </w:r>
          </w:p>
        </w:tc>
      </w:tr>
      <w:tr>
        <w:trPr>
          <w:trHeight w:val="270"/>
        </w:trPr>
        <w:tc>
          <w:tcPr>
            <w:tcW w:w="45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324,370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349,163</w:t>
            </w:r>
          </w:p>
        </w:tc>
      </w:tr>
      <w:tr>
        <w:trPr>
          <w:trHeight w:val="270"/>
        </w:trPr>
        <w:tc>
          <w:tcPr>
            <w:tcW w:w="45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Amortizing Notes</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103,968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125,007</w:t>
            </w:r>
          </w:p>
        </w:tc>
      </w:tr>
      <w:tr>
        <w:trPr>
          <w:trHeight w:val="250"/>
        </w:trPr>
        <w:tc>
          <w:tcPr>
            <w:tcW w:w="4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r>
      <w:tr>
        <w:trPr>
          <w:trHeight w:val="243"/>
        </w:trPr>
        <w:tc>
          <w:tcPr>
            <w:tcW w:w="4540" w:type="dxa"/>
            <w:vAlign w:val="bottom"/>
            <w:gridSpan w:val="4"/>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4,512,906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4,553,059</w:t>
            </w:r>
          </w:p>
        </w:tc>
      </w:tr>
      <w:tr>
        <w:trPr>
          <w:trHeight w:val="270"/>
        </w:trPr>
        <w:tc>
          <w:tcPr>
            <w:tcW w:w="454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Less: Short-term borrowings</w:t>
            </w:r>
            <w:r>
              <w:rPr>
                <w:rFonts w:ascii="Arial" w:cs="Arial" w:eastAsia="Arial" w:hAnsi="Arial"/>
                <w:sz w:val="25"/>
                <w:szCs w:val="25"/>
                <w:color w:val="auto"/>
                <w:vertAlign w:val="superscript"/>
              </w:rPr>
              <w:t>(2)</w:t>
            </w:r>
          </w:p>
        </w:tc>
        <w:tc>
          <w:tcPr>
            <w:tcW w:w="2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(48,642)</w:t>
            </w: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2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4,428,675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4,504,417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8"/>
          <w:szCs w:val="18"/>
          <w:color w:val="auto"/>
        </w:rPr>
        <w:t>Amount is net of unamortized discount and debt issuance costs.</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8"/>
          <w:szCs w:val="18"/>
          <w:color w:val="auto"/>
        </w:rPr>
        <w:t>Includes bank borrowings, overdrafts and current portion of 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During the quarter ended March 31, 2019, the Company adopted ASU No. 2016-02, “Leases (Topic 842),” which requires most leases to be recognized on the balance sheet. The Company adopted the standard using the modified retrospective approach with an effective date of December 29, 2018, the beginning of its 2019 fiscal year. Prior year financial statements were not recast. The Company elected various transition provisions available for expired or existing contracts, which allows the Company to carry forward historical assessments of (1) whether contracts are or contain leases, (2) lease classification and (3) initial direct costs.</w:t>
      </w:r>
    </w:p>
    <w:p>
      <w:pPr>
        <w:spacing w:after="0" w:line="134"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leases property and equipment, principally under operating leases. In accordance with ASU 2016-02, the Company records a right-of-use asset and related obligation at the present value of lease payments and, over the term of the lease, depreciates the right-of-use asset and accretes the obligation to future value. Some of the leases include rental escalation clauses, renewal options and/or termination options that are factored into the determination of lease payments when appropriate. The Company does not separate lease and nonlease components of contracts.</w:t>
      </w:r>
    </w:p>
    <w:p>
      <w:pPr>
        <w:spacing w:after="0" w:line="117"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When available, the Company uses the rate implicit in the lease to discount lease payments to present value, however, most of the Company's leases do not provide a readily determinable implicit rate and the Company calculates the applicable incremental borrowing rate to discount the lease payments based on the term of the lease at lease commencement. The incremental borrowing rate is determined based on currency and lease terms.</w:t>
      </w:r>
    </w:p>
    <w:p>
      <w:pPr>
        <w:spacing w:after="0" w:line="111"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Certain leases contain variable payments which are periodically adjusted for changes in an index or rate. Such payments are initially measured using the index or rate at the commencement date and are included in the measurement of the lease liability. Subsequent changes in variable payments are not included in the lease liability, but are recognized in profit and loss during the period in which the obligation for those payments is incurred.</w:t>
      </w:r>
    </w:p>
    <w:p>
      <w:pPr>
        <w:spacing w:after="0" w:line="93"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Company has operating leases for corporate offices, manufacturing facilities, research and development facilities, and certain transportation and office equipment, all of which are operating leases. The Company's leases have remaining lease terms of up to 40 years, some of which include options to extend the leases for up to 5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4" w:name="page15"/>
    <w:bookmarkEnd w:id="14"/>
    <w:p>
      <w:pPr>
        <w:jc w:val="both"/>
        <w:ind w:right="120" w:firstLine="405"/>
        <w:spacing w:after="0" w:line="264" w:lineRule="auto"/>
        <w:rPr>
          <w:sz w:val="20"/>
          <w:szCs w:val="20"/>
          <w:color w:val="auto"/>
        </w:rPr>
      </w:pPr>
      <w:r>
        <w:rPr>
          <w:rFonts w:ascii="Arial" w:cs="Arial" w:eastAsia="Arial" w:hAnsi="Arial"/>
          <w:sz w:val="18"/>
          <w:szCs w:val="18"/>
          <w:color w:val="auto"/>
        </w:rPr>
        <w:t>Upon adoption of the new guidance, the Company recorded a right-of-use asset of $308.3 million and total operating lease liabilities of $313.3 million. Additionally, the Company recorded a net increase to retained earnings of $23.1 million related to the elimination of deferred gains on certain sale-leaseback transactions that occurred in prior years.</w:t>
      </w:r>
    </w:p>
    <w:p>
      <w:pPr>
        <w:sectPr>
          <w:pgSz w:w="11900" w:h="16838" w:orient="portrait"/>
          <w:cols w:equalWidth="0" w:num="1">
            <w:col w:w="11420"/>
          </w:cols>
          <w:pgMar w:left="240" w:top="746" w:right="239" w:bottom="1440" w:gutter="0" w:footer="0" w:header="0"/>
        </w:sectPr>
      </w:pP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377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r>
        <w:rPr>
          <w:rFonts w:ascii="Arial" w:cs="Arial" w:eastAsia="Arial" w:hAnsi="Arial"/>
          <w:sz w:val="25"/>
          <w:szCs w:val="25"/>
          <w:color w:val="auto"/>
          <w:vertAlign w:val="superscript"/>
        </w:rPr>
        <w:t>(2)</w:t>
      </w:r>
    </w:p>
    <w:p>
      <w:pPr>
        <w:ind w:left="180"/>
        <w:spacing w:after="0"/>
        <w:rPr>
          <w:sz w:val="20"/>
          <w:szCs w:val="20"/>
          <w:color w:val="auto"/>
        </w:rPr>
      </w:pPr>
      <w:r>
        <w:rPr>
          <w:rFonts w:ascii="Arial" w:cs="Arial" w:eastAsia="Arial" w:hAnsi="Arial"/>
          <w:sz w:val="18"/>
          <w:szCs w:val="18"/>
          <w:color w:val="auto"/>
        </w:rPr>
        <w:t>Operating lease liabilities</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Presented in Other assets in the Consolidated Balance Sheet.</w:t>
      </w:r>
    </w:p>
    <w:p>
      <w:pPr>
        <w:spacing w:after="0" w:line="167"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Presented in Other current liabilities in the Consolidated Balance Sheet.</w:t>
      </w:r>
    </w:p>
    <w:p>
      <w:pPr>
        <w:spacing w:after="0" w:line="167"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Presented in Other liabilities in the Consolidated Balance Sheet.</w:t>
      </w:r>
    </w:p>
    <w:p>
      <w:pPr>
        <w:spacing w:after="0" w:line="162"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Weighted average remaining lease term and discount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2377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220" w:type="dxa"/>
            <w:vAlign w:val="bottom"/>
          </w:tcPr>
          <w:p>
            <w:pPr>
              <w:spacing w:after="0"/>
              <w:rPr>
                <w:sz w:val="23"/>
                <w:szCs w:val="23"/>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June 30, 2019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25,806</w:t>
            </w:r>
          </w:p>
        </w:tc>
      </w:tr>
      <w:tr>
        <w:trPr>
          <w:trHeight w:val="783"/>
        </w:trPr>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 2019</w:t>
            </w:r>
          </w:p>
        </w:tc>
      </w:tr>
      <w:tr>
        <w:trPr>
          <w:trHeight w:val="27"/>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507"/>
        </w:trPr>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24,363</w:t>
            </w:r>
          </w:p>
        </w:tc>
      </w:tr>
      <w:tr>
        <w:trPr>
          <w:trHeight w:val="999"/>
        </w:trPr>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507"/>
        </w:trPr>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308,965</w:t>
            </w:r>
          </w:p>
        </w:tc>
      </w:tr>
      <w:tr>
        <w:trPr>
          <w:trHeight w:val="27"/>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521"/>
        </w:trPr>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39,638</w:t>
            </w:r>
          </w:p>
        </w:tc>
      </w:tr>
      <w:tr>
        <w:trPr>
          <w:trHeight w:val="270"/>
        </w:trPr>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274,492</w:t>
            </w:r>
          </w:p>
        </w:tc>
      </w:tr>
      <w:tr>
        <w:trPr>
          <w:trHeight w:val="27"/>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314,130</w:t>
            </w:r>
          </w:p>
        </w:tc>
      </w:tr>
      <w:tr>
        <w:trPr>
          <w:trHeight w:val="27"/>
        </w:trPr>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 Remaining</w:t>
            </w:r>
          </w:p>
        </w:tc>
        <w:tc>
          <w:tcPr>
            <w:tcW w:w="2460" w:type="dxa"/>
            <w:vAlign w:val="bottom"/>
          </w:tcPr>
          <w:p>
            <w:pPr>
              <w:spacing w:after="0"/>
              <w:rPr>
                <w:sz w:val="18"/>
                <w:szCs w:val="18"/>
                <w:color w:val="auto"/>
              </w:rPr>
            </w:pPr>
          </w:p>
        </w:tc>
      </w:tr>
      <w:tr>
        <w:trPr>
          <w:trHeight w:val="216"/>
        </w:trPr>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Lease Term</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 Discount</w:t>
            </w:r>
          </w:p>
        </w:tc>
      </w:tr>
      <w:tr>
        <w:trPr>
          <w:trHeight w:val="234"/>
        </w:trPr>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3.18%</w:t>
            </w:r>
          </w:p>
        </w:tc>
      </w:tr>
    </w:tbl>
    <w:p>
      <w:pPr>
        <w:spacing w:after="0" w:line="200" w:lineRule="exact"/>
        <w:rPr>
          <w:sz w:val="20"/>
          <w:szCs w:val="20"/>
          <w:color w:val="auto"/>
        </w:rPr>
      </w:pPr>
    </w:p>
    <w:p>
      <w:pPr>
        <w:sectPr>
          <w:pgSz w:w="11900" w:h="16838" w:orient="portrait"/>
          <w:cols w:equalWidth="0" w:num="2">
            <w:col w:w="5760" w:space="700"/>
            <w:col w:w="4960"/>
          </w:cols>
          <w:pgMar w:left="240" w:top="746" w:right="239" w:bottom="1440" w:gutter="0" w:footer="0" w:header="0"/>
          <w:type w:val="continuous"/>
        </w:sectPr>
      </w:pP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lease liabilities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19"/>
                <w:szCs w:val="19"/>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36,096</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1-3 Years</w:t>
            </w: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80,054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3-5 Years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66,120</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After 5 years</w:t>
            </w: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218,471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(86,611)</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314,130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6" w:right="239" w:bottom="1440" w:gutter="0" w:footer="0" w:header="0"/>
          <w:type w:val="continuous"/>
        </w:sectPr>
      </w:pPr>
    </w:p>
    <w:bookmarkStart w:id="15" w:name="page16"/>
    <w:bookmarkEnd w:id="15"/>
    <w:p>
      <w:pPr>
        <w:ind w:left="420"/>
        <w:spacing w:after="0"/>
        <w:rPr>
          <w:sz w:val="20"/>
          <w:szCs w:val="20"/>
          <w:color w:val="auto"/>
        </w:rPr>
      </w:pPr>
      <w:r>
        <w:rPr>
          <w:rFonts w:ascii="Arial" w:cs="Arial" w:eastAsia="Arial" w:hAnsi="Arial"/>
          <w:sz w:val="18"/>
          <w:szCs w:val="18"/>
          <w:color w:val="auto"/>
        </w:rPr>
        <w:t>Maturities of lease liabilities, as calculated prior to the adoption of ASU 2016-02,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49,350</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1-3 Years</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78,600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3-5 Years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60,672</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After 5 years</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201,079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gridSpan w:val="2"/>
            <w:vMerge w:val="restart"/>
          </w:tcPr>
          <w:p>
            <w:pPr>
              <w:ind w:left="380"/>
              <w:spacing w:after="0"/>
              <w:rPr>
                <w:sz w:val="20"/>
                <w:szCs w:val="20"/>
                <w:color w:val="auto"/>
              </w:rPr>
            </w:pPr>
            <w:r>
              <w:rPr>
                <w:rFonts w:ascii="Arial" w:cs="Arial" w:eastAsia="Arial" w:hAnsi="Arial"/>
                <w:sz w:val="18"/>
                <w:szCs w:val="18"/>
                <w:color w:val="auto"/>
              </w:rPr>
              <w:t>Right-of-use assets by region were as follows:</w:t>
            </w: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9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24"/>
                <w:szCs w:val="24"/>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145,533</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Europe, Africa and Middle East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125,806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Greater Asia</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22,792</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308,965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June 30, 2019, the Company had $46.9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2019, the Company had accrued interest and penalties of $3.4 million classified in Other liabilities.</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June 30, 2019, the Company’s aggregate provisions for uncertain tax positions, including interest and penalties, was $50.3 million associated with various tax positions asserted in various jurisdictions, none of which is individually material.</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regularly repatriates earnings from non-U.S. subsidiaries. In the fourth quarter of 2018, the Company changed its assertion as part of its final analysis under SAB 118, consistent with the Company’s need to repatriate funds for debt repayment purposes. As the Company repatriates these funds to the U.S., they will be required to pay income taxes in certain U.S. states and applicable foreign withholding taxes during the period when such repatriation occurs. Accordingly, as of June 30, 2019, the Company had a deferred tax liability of $85.8 million for the effect of repatriating the funds to the U.S. This balance consisted of $42.1 million attributable to IFF non-U.S. subsidiaries, and $43.7 million associated with Frutarom which is still preliminary and will be refined through the purchase accounting measurement period.</w:t>
      </w:r>
    </w:p>
    <w:p>
      <w:pPr>
        <w:spacing w:after="0" w:line="13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2009 to 2018. Based on currently available information, the Company does not believe the ultimate outcome of any of these tax audits and other tax positions related to open tax years, when finalized, will have a material impact on its results of operations.</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effective tax rate for the three months ended June 30, 2019 was 18.1% compared with 18.7% for the three months ended June 30, 2018. The quarter-over-quarter decrease was largely due to a more favorable mix of earnings (including the impact of integration related costs, restructuring charges and Frutarom acquisition related costs), partially offset by higher repatriation costs and the absence of the remeasurement of loss provisions which benefited the second quarter of 2018.</w:t>
      </w:r>
    </w:p>
    <w:p>
      <w:pPr>
        <w:spacing w:after="0" w:line="133"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effective tax rate for the six months ended June 30, 2019 was 17.8% compared with 18.6% for the six months ended June 30, 2018. The year-over-year decrease was largely due to a more favorable mix of earnings (including the impact of integration related costs, restructuring charges and Frutarom acquisition relates costs), partially offset by higher repatriation costs and the absence of the remeasurement of loss provisions which benefited 2018.</w:t>
      </w:r>
    </w:p>
    <w:p>
      <w:pPr>
        <w:sectPr>
          <w:pgSz w:w="11900" w:h="16838" w:orient="portrait"/>
          <w:cols w:equalWidth="0" w:num="1">
            <w:col w:w="11420"/>
          </w:cols>
          <w:pgMar w:left="240" w:top="746"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6" w:name="page17"/>
    <w:bookmarkEnd w:id="16"/>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 COMPENSATION PLANS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15,174</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Liability-based awards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15,571</w:t>
            </w:r>
          </w:p>
        </w:tc>
      </w:tr>
      <w:tr>
        <w:trPr>
          <w:trHeight w:val="243"/>
        </w:trPr>
        <w:tc>
          <w:tcPr>
            <w:tcW w:w="5120" w:type="dxa"/>
            <w:vAlign w:val="bottom"/>
            <w:gridSpan w:val="3"/>
          </w:tcPr>
          <w:p>
            <w:pPr>
              <w:ind w:left="40"/>
              <w:spacing w:after="0"/>
              <w:rPr>
                <w:sz w:val="20"/>
                <w:szCs w:val="20"/>
                <w:color w:val="auto"/>
              </w:rPr>
            </w:pPr>
            <w:r>
              <w:rPr>
                <w:rFonts w:ascii="Arial" w:cs="Arial" w:eastAsia="Arial" w:hAnsi="Arial"/>
                <w:sz w:val="18"/>
                <w:szCs w:val="18"/>
                <w:color w:val="auto"/>
              </w:rPr>
              <w:t>Less: Tax benefit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 after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17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Company is currently organized into three reportable operating segments, Taste, Scent and Frutarom; these segments align with the internal structure used to manage these businesses.</w:t>
      </w:r>
    </w:p>
    <w:p>
      <w:pPr>
        <w:spacing w:after="0" w:line="11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Taste is comprised of Flavor Compounds which are sold to the food and beverage industries for use in consumer products such as prepared foods, beverages, dairy, food and sweet products.</w:t>
      </w:r>
    </w:p>
    <w:p>
      <w:pPr>
        <w:spacing w:after="0" w:line="1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Scent is comprised of (1)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135"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Frutarom creates and manufactures a naturals-focused suite of flavor compounds, functional foods and specialty fine ingredients, largely targeting small, local and regional customers. Frutarom’s products are focused on three principal areas: (1) Savory Solutions, (2) Natural Product Solutions, which includes natural health ingredients, natural color and natural food protection, and (3) Taste Solutions.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Company's Chief Operating Decision Maker evaluates the performance of these reportable operating segments based on segment profit which is defined as operating profit before restructuring, global expenses (as discussed below) and certain non-recurring items, Interest expense, Other income (expense), net and Taxes on income.</w:t>
      </w:r>
    </w:p>
    <w:p>
      <w:pPr>
        <w:spacing w:after="0" w:line="12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Global expenses caption represents corporate and headquarter-related expenses which include legal, finance, human resources, certain incentive compensation expenses and other R&amp;D and administrative expenses that are not allocated to individual reportable operating segments.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742"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00" w:type="dxa"/>
            <w:vAlign w:val="bottom"/>
            <w:gridSpan w:val="2"/>
          </w:tcPr>
          <w:p>
            <w:pPr>
              <w:ind w:left="400"/>
              <w:spacing w:after="0"/>
              <w:rPr>
                <w:sz w:val="20"/>
                <w:szCs w:val="20"/>
                <w:color w:val="auto"/>
              </w:rPr>
            </w:pPr>
            <w:r>
              <w:rPr>
                <w:rFonts w:ascii="Arial" w:cs="Arial" w:eastAsia="Arial" w:hAnsi="Arial"/>
                <w:sz w:val="18"/>
                <w:szCs w:val="18"/>
                <w:color w:val="auto"/>
                <w:w w:val="98"/>
              </w:rPr>
              <w:t>Reportable segment information was as follows: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20" w:type="dxa"/>
            <w:vAlign w:val="bottom"/>
          </w:tcPr>
          <w:p>
            <w:pPr>
              <w:spacing w:after="0"/>
              <w:rPr>
                <w:sz w:val="19"/>
                <w:szCs w:val="19"/>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434,179</w:t>
            </w:r>
          </w:p>
        </w:tc>
        <w:tc>
          <w:tcPr>
            <w:tcW w:w="12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450,540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878,781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899,559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475,671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469,476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964,023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951,385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381,718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746,166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1,291,568</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920,016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2,588,970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1,850,944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Segment profit: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Taste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98,081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109,605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Scent</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91,244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177,059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Frutarom</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37,493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(20,572)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 (a)</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4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 (d)</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on Sale of Assets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 (e)</w:t>
            </w:r>
          </w:p>
        </w:tc>
        <w:tc>
          <w:tcPr>
            <w:tcW w:w="4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 (f)</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(12,455)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199,937</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154,509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363,807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329,363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(53,246)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(69,841)</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20,655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169,481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121,918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80" w:right="2320" w:hanging="303"/>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accelerated depreciation related to a plant relocation in India and China, as well as a lab closure in Taiwan for 2018.</w:t>
      </w:r>
    </w:p>
    <w:p>
      <w:pPr>
        <w:spacing w:after="0" w:line="8" w:lineRule="exact"/>
        <w:rPr>
          <w:rFonts w:ascii="Arial" w:cs="Arial" w:eastAsia="Arial" w:hAnsi="Arial"/>
          <w:sz w:val="18"/>
          <w:szCs w:val="18"/>
          <w:color w:val="auto"/>
        </w:rPr>
      </w:pPr>
    </w:p>
    <w:p>
      <w:pPr>
        <w:ind w:left="380" w:right="2300" w:hanging="308"/>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2018, represents adjustments to the contingent consideration payable for PowderPure, and transaction costs related to Fragrance Resources and PowderPure within Selling and administrative expenses.</w:t>
      </w:r>
    </w:p>
    <w:p>
      <w:pPr>
        <w:spacing w:after="0" w:line="8" w:lineRule="exact"/>
        <w:rPr>
          <w:rFonts w:ascii="Arial" w:cs="Arial" w:eastAsia="Arial" w:hAnsi="Arial"/>
          <w:sz w:val="18"/>
          <w:szCs w:val="18"/>
          <w:color w:val="auto"/>
        </w:rPr>
      </w:pPr>
    </w:p>
    <w:p>
      <w:pPr>
        <w:ind w:left="380" w:right="2400" w:hanging="303"/>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2019, represents costs related to the integration of the Frutarom acquisition, principally advisory services. For 2018, represents costs related to the integration of David Michael.</w:t>
      </w:r>
    </w:p>
    <w:p>
      <w:pPr>
        <w:spacing w:after="0" w:line="8" w:lineRule="exact"/>
        <w:rPr>
          <w:rFonts w:ascii="Arial" w:cs="Arial" w:eastAsia="Arial" w:hAnsi="Arial"/>
          <w:sz w:val="18"/>
          <w:szCs w:val="18"/>
          <w:color w:val="auto"/>
        </w:rPr>
      </w:pPr>
    </w:p>
    <w:p>
      <w:pPr>
        <w:ind w:left="380" w:right="2420" w:hanging="308"/>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2019, represents severance costs related primarily to Scent. For 2018, represents severance costs related to the 2017 Productivity Program.</w:t>
      </w:r>
    </w:p>
    <w:p>
      <w:pPr>
        <w:spacing w:after="0" w:line="8" w:lineRule="exact"/>
        <w:rPr>
          <w:rFonts w:ascii="Arial" w:cs="Arial" w:eastAsia="Arial" w:hAnsi="Arial"/>
          <w:sz w:val="18"/>
          <w:szCs w:val="18"/>
          <w:color w:val="auto"/>
        </w:rPr>
      </w:pPr>
    </w:p>
    <w:p>
      <w:pPr>
        <w:ind w:left="380" w:hanging="30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losses related to the FDA mandated recall.</w:t>
      </w:r>
    </w:p>
    <w:p>
      <w:pPr>
        <w:spacing w:after="0" w:line="63" w:lineRule="exact"/>
        <w:rPr>
          <w:rFonts w:ascii="Arial" w:cs="Arial" w:eastAsia="Arial" w:hAnsi="Arial"/>
          <w:sz w:val="18"/>
          <w:szCs w:val="18"/>
          <w:color w:val="auto"/>
        </w:rPr>
      </w:pPr>
    </w:p>
    <w:p>
      <w:pPr>
        <w:ind w:left="380" w:right="2260" w:hanging="293"/>
        <w:spacing w:after="0" w:line="276"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transaction-related costs and expenses related to the acquisition of Frutarom, including adjustments that reduce the contingent consideration payable related to certain acquisitions made by Frutarom. For 2019, amount primarily includes $2.3 million of adjustments to the contingent consideration payable for the three months ended June 30, 2019 and $7.9 million of amortization for inventory "step-up" costs in the six months ended June 30, 2019. For 2018, amount includes $12.5 million of transaction costs included in administrative expenses.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Net sales are attributed to individual regions based upon the destination of product delivery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4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602,161</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293,257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581,219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485,779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490,199</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176,299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355,074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272,805</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1,291,568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920,016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2,588,970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1,850,944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Net sales related to the U.S. for the three months ended June 30, 2019 and 2018 were $268.3 million and $234.1 million, respectively and for the six months ended June 30, 2019 and 2018 were $541.1 million and $464.3 million, respectively. Net sales attributed to all foreign countries in total for the three months ended June 30, 2019 and 2018 were $1.0 billion and $685.9 million, respectively and for the six months ended June 30, 2019 and 2018 were $2.0 billion and $1.4 billion, respectively. No non-U.S. country had net sales in any period presented greater than 6% of total consolidated net sales.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Pending change in Reportable Operating Segments and Reporting Units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the second quarter of 2019, the Company announced that it will be reorganizing its business unit structure into three segments: Taste, Scent and Nutrition &amp; Ingredients. Under the new organization, two parts of the existing Frutarom segment will be included within the existing Taste business unit and a third business unit, Nutrition &amp; Ingredients, will be created that will contain substantially all of the remaining parts of the existing Frutarom business unit. The Company expects to implement the new organizational structure over the next six to nine months.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NOTE 12. EMPLOYEE BENEFITS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gridSpan w:val="9"/>
          </w:tcPr>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U.S. Plans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7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Service cost for benefits earned</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cost on projected benefit obligation</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Net amortization and deferrals</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 Plans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7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Service cost for benefits earned</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cost on projected benefit obligation</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Net amortization and deferrals</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8"/>
          <w:szCs w:val="18"/>
          <w:color w:val="auto"/>
        </w:rPr>
        <w:t>Included as a component of Operating Profit.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8"/>
          <w:szCs w:val="18"/>
          <w:color w:val="auto"/>
        </w:rPr>
        <w:t>Included as a component of Other Income (Expense), net.</w:t>
      </w:r>
    </w:p>
    <w:p>
      <w:pPr>
        <w:spacing w:after="0" w:line="17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 expects to contribute a total of $4.2 million to its U.S. pension plans and a total of $19.3 million to its Non-U.S. Plans during 2019. During the six months ended June 30, 2019, no contributions were made to the qualified U.S. pension plans, $8.3 million of contributions were made to the non-U.S. pension plans, and $2.2 million of benefit payments were made with respect to the Company's non-qualified U.S. pension plan.</w:t>
      </w:r>
    </w:p>
    <w:p>
      <w:pPr>
        <w:sectPr>
          <w:pgSz w:w="11900" w:h="16838" w:orient="portrait"/>
          <w:cols w:equalWidth="0" w:num="1">
            <w:col w:w="11420"/>
          </w:cols>
          <w:pgMar w:left="240" w:top="746"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postretirement benefit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 expects to contribute $3.9 million to its postretirement benefits other than pension plans during 2019. In the six months ended June 30, 2019, $1.8 million of contributions were made.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1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7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as discussed in Note 16 of our 2018 Form 10-K.</w:t>
      </w:r>
    </w:p>
    <w:p>
      <w:pPr>
        <w:spacing w:after="0" w:line="134"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These valuations take into consideration the Company's credit risk and its counterparties’ credit risk. The estimated change in the fair value of these instruments due to such changes in its own credit risk (or instrument-specific credit risk) was immaterial as of June 30, 2019.</w:t>
      </w:r>
    </w:p>
    <w:p>
      <w:pPr>
        <w:spacing w:after="0" w:line="9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carrying values and the estimated fair values of financial instruments at June 30, 2019 and December 31, 2018 consisted of the following: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700" w:type="dxa"/>
            <w:vAlign w:val="bottom"/>
            <w:gridSpan w:val="4"/>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8"/>
              </w:rPr>
              <w:t>LEVEL 1</w:t>
            </w:r>
          </w:p>
        </w:tc>
        <w:tc>
          <w:tcPr>
            <w:tcW w:w="10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426,717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426,717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634,897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634,897</w:t>
            </w:r>
          </w:p>
        </w:tc>
      </w:tr>
      <w:tr>
        <w:trPr>
          <w:trHeight w:val="250"/>
        </w:trPr>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8"/>
              </w:rPr>
              <w:t>LEVEL 2</w:t>
            </w:r>
          </w:p>
        </w:tc>
        <w:tc>
          <w:tcPr>
            <w:tcW w:w="10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Credit facilities and bank overdrafts</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4,695</w:t>
            </w: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7,229</w:t>
            </w:r>
          </w:p>
        </w:tc>
      </w:tr>
      <w:tr>
        <w:trPr>
          <w:trHeight w:val="27"/>
        </w:trPr>
        <w:tc>
          <w:tcPr>
            <w:tcW w:w="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6,907</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(3)</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300,356</w:t>
            </w:r>
          </w:p>
        </w:tc>
      </w:tr>
      <w:tr>
        <w:trPr>
          <w:trHeight w:val="243"/>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Euro 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338,505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344,904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337,704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341,094</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293,017</w:t>
            </w:r>
          </w:p>
        </w:tc>
      </w:tr>
      <w:tr>
        <w:trPr>
          <w:trHeight w:val="243"/>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Euro 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565,404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605,769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564,034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584,129</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909,439</w:t>
            </w:r>
          </w:p>
        </w:tc>
      </w:tr>
      <w:tr>
        <w:trPr>
          <w:trHeight w:val="243"/>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396,535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435,181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396,377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401,231</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446,725</w:t>
            </w:r>
          </w:p>
        </w:tc>
      </w:tr>
      <w:tr>
        <w:trPr>
          <w:trHeight w:val="243"/>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2048</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785,890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887,584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785,788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783,925</w:t>
            </w:r>
          </w:p>
        </w:tc>
      </w:tr>
      <w:tr>
        <w:trPr>
          <w:trHeight w:val="27"/>
        </w:trPr>
        <w:tc>
          <w:tcPr>
            <w:tcW w:w="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14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324,370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56"/>
        </w:trPr>
        <w:tc>
          <w:tcPr>
            <w:tcW w:w="40" w:type="dxa"/>
            <w:vAlign w:val="bottom"/>
          </w:tcPr>
          <w:p>
            <w:pPr>
              <w:spacing w:after="0"/>
              <w:rPr>
                <w:sz w:val="22"/>
                <w:szCs w:val="22"/>
                <w:color w:val="auto"/>
              </w:rPr>
            </w:pPr>
          </w:p>
        </w:tc>
        <w:tc>
          <w:tcPr>
            <w:tcW w:w="466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Amortizing Notes</w:t>
            </w:r>
            <w:r>
              <w:rPr>
                <w:rFonts w:ascii="Arial" w:cs="Arial" w:eastAsia="Arial" w:hAnsi="Arial"/>
                <w:sz w:val="25"/>
                <w:szCs w:val="25"/>
                <w:color w:val="auto"/>
                <w:vertAlign w:val="superscript"/>
              </w:rPr>
              <w:t>(4)</w:t>
            </w:r>
          </w:p>
        </w:tc>
        <w:tc>
          <w:tcPr>
            <w:tcW w:w="16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103,968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125,007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127,879</w:t>
            </w:r>
          </w:p>
        </w:tc>
      </w:tr>
      <w:tr>
        <w:trPr>
          <w:trHeight w:val="230"/>
        </w:trPr>
        <w:tc>
          <w:tcPr>
            <w:tcW w:w="4700" w:type="dxa"/>
            <w:vAlign w:val="bottom"/>
            <w:gridSpan w:val="4"/>
          </w:tcPr>
          <w:p>
            <w:pPr>
              <w:spacing w:after="0"/>
              <w:rPr>
                <w:sz w:val="20"/>
                <w:szCs w:val="20"/>
                <w:color w:val="auto"/>
              </w:rPr>
            </w:pPr>
            <w:r>
              <w:rPr>
                <w:rFonts w:ascii="Arial" w:cs="Arial" w:eastAsia="Arial" w:hAnsi="Arial"/>
                <w:sz w:val="18"/>
                <w:szCs w:val="18"/>
                <w:color w:val="auto"/>
              </w:rPr>
              <w:t>_______________________</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5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carrying amount approximates fair value due to the short maturity of those instruments.</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interest rate is reset frequently based on current market rates as well as the short maturity of those instruments.</w:t>
      </w:r>
    </w:p>
    <w:p>
      <w:pPr>
        <w:spacing w:after="0" w:line="178" w:lineRule="exact"/>
        <w:rPr>
          <w:rFonts w:ascii="Arial" w:cs="Arial" w:eastAsia="Arial" w:hAnsi="Arial"/>
          <w:sz w:val="15"/>
          <w:szCs w:val="15"/>
          <w:color w:val="auto"/>
        </w:rPr>
      </w:pPr>
    </w:p>
    <w:p>
      <w:pPr>
        <w:ind w:left="500" w:right="180" w:hanging="492"/>
        <w:spacing w:after="0" w:line="27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of the Company's long-term debt was calculated using discounted cash flows applying current interest rates and current credit spreads based on its own credit risk.</w:t>
      </w:r>
    </w:p>
    <w:p>
      <w:pPr>
        <w:spacing w:after="0" w:line="118" w:lineRule="exact"/>
        <w:rPr>
          <w:rFonts w:ascii="Arial" w:cs="Arial" w:eastAsia="Arial" w:hAnsi="Arial"/>
          <w:sz w:val="16"/>
          <w:szCs w:val="16"/>
          <w:color w:val="auto"/>
        </w:rPr>
      </w:pPr>
    </w:p>
    <w:p>
      <w:pPr>
        <w:jc w:val="both"/>
        <w:ind w:left="500" w:right="560" w:hanging="492"/>
        <w:spacing w:after="0" w:line="26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value of the Amortizing Notes of the TEUs is based on the most recently quoted price for the outstanding securities, adjusted for any known significant deviation in value. The estimated fair value of these long-term obligations is not necessarily indicative of the amount that would be realized in a current market exchange.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In prior years,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change in the value of the cash flow hedges is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11"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In prior years, the Company designated the 2021 Euro Notes, 2024 Euro Notes and 2026 Euro Notes as a hedge of a portion of its net investment in Euro functional currency subsidiaries.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1" w:name="page22"/>
    <w:bookmarkEnd w:id="21"/>
    <w:p>
      <w:pPr>
        <w:jc w:val="both"/>
        <w:ind w:right="160" w:firstLine="405"/>
        <w:spacing w:after="0" w:line="264" w:lineRule="auto"/>
        <w:rPr>
          <w:sz w:val="20"/>
          <w:szCs w:val="20"/>
          <w:color w:val="auto"/>
        </w:rPr>
      </w:pPr>
      <w:r>
        <w:rPr>
          <w:rFonts w:ascii="Arial" w:cs="Arial" w:eastAsia="Arial" w:hAnsi="Arial"/>
          <w:sz w:val="18"/>
          <w:szCs w:val="18"/>
          <w:color w:val="auto"/>
        </w:rPr>
        <w:t>In prior years, the Company entered into certain cross currency swaps which qualified as net investment hedges in order to mitigate a portion of its net European investments from foreign currency risk. Changes in fair value related to cross currency swaps are recorded in OCI as a component of the Foreign currency translation adjustments.</w:t>
      </w:r>
    </w:p>
    <w:p>
      <w:pPr>
        <w:spacing w:after="0" w:line="127"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In prior years, the Company entered into interest rate swap agreements to hedge the anticipated issuance of fixed-rate debt, which are designated as cash flow hedges. The amount of gains and losses realized upon termination of these agreements is amortized over the life of the corresponding debt issuance.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2019 and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7"/>
                <w:szCs w:val="17"/>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Pr>
          <w:p>
            <w:pPr>
              <w:spacing w:after="0"/>
              <w:rPr>
                <w:sz w:val="17"/>
                <w:szCs w:val="17"/>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49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585,581</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Cross currency swaps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of June 30, 2019 and 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2019</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Fair Value of</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Derivatives Not</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Designated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Designated as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Hedging</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Hedging</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7"/>
                <w:szCs w:val="17"/>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Total 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2,133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Cross currency swaps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12,220</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13,965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14,353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contract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6,342</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2018</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Fair Value of</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Derivatives Not</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Designated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Designated as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Hedging</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Hedging</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7"/>
                <w:szCs w:val="17"/>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Total 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6,142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Cross currency swaps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w:t>
            </w: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6,907</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_______________________</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148"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Derivative assets are recorded to Prepaid expenses and Other assets in the Consolidated Balance Sheet.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Derivative liabilities are recorded as Other current liabilities in the Consolidated Balance Sheet.</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Income and Comprehensive Income for the three and six months ended June 30, 2019 and 2018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gridSpan w:val="4"/>
          </w:tcPr>
          <w:p>
            <w:pPr>
              <w:jc w:val="center"/>
              <w:ind w:left="616"/>
              <w:spacing w:after="0"/>
              <w:rPr>
                <w:sz w:val="20"/>
                <w:szCs w:val="20"/>
                <w:color w:val="auto"/>
              </w:rPr>
            </w:pPr>
            <w:r>
              <w:rPr>
                <w:rFonts w:ascii="Arial" w:cs="Arial" w:eastAsia="Arial" w:hAnsi="Arial"/>
                <w:sz w:val="16"/>
                <w:szCs w:val="16"/>
                <w:b w:val="1"/>
                <w:bCs w:val="1"/>
                <w:color w:val="auto"/>
                <w:w w:val="92"/>
              </w:rPr>
              <w:t>Amount of Gain (Loss)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860" w:type="dxa"/>
            <w:vAlign w:val="bottom"/>
            <w:gridSpan w:val="4"/>
          </w:tcPr>
          <w:p>
            <w:pPr>
              <w:jc w:val="center"/>
              <w:ind w:left="616"/>
              <w:spacing w:after="0"/>
              <w:rPr>
                <w:sz w:val="20"/>
                <w:szCs w:val="20"/>
                <w:color w:val="auto"/>
              </w:rPr>
            </w:pPr>
            <w:r>
              <w:rPr>
                <w:rFonts w:ascii="Arial" w:cs="Arial" w:eastAsia="Arial" w:hAnsi="Arial"/>
                <w:sz w:val="16"/>
                <w:szCs w:val="16"/>
                <w:b w:val="1"/>
                <w:bCs w:val="1"/>
                <w:color w:val="auto"/>
                <w:w w:val="91"/>
              </w:rPr>
              <w:t>Three Months Ended June 30,</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 Recognized in Income on</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22"/>
                <w:szCs w:val="22"/>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70"/>
        </w:trPr>
        <w:tc>
          <w:tcPr>
            <w:tcW w:w="39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Deal contingent swaps</w:t>
            </w:r>
            <w:r>
              <w:rPr>
                <w:rFonts w:ascii="Arial" w:cs="Arial" w:eastAsia="Arial" w:hAnsi="Arial"/>
                <w:sz w:val="25"/>
                <w:szCs w:val="25"/>
                <w:color w:val="auto"/>
                <w:vertAlign w:val="superscript"/>
              </w:rPr>
              <w:t>(2)</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(24,937)</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gridSpan w:val="4"/>
          </w:tcPr>
          <w:p>
            <w:pPr>
              <w:jc w:val="center"/>
              <w:ind w:left="616"/>
              <w:spacing w:after="0"/>
              <w:rPr>
                <w:sz w:val="20"/>
                <w:szCs w:val="20"/>
                <w:color w:val="auto"/>
              </w:rPr>
            </w:pPr>
            <w:r>
              <w:rPr>
                <w:rFonts w:ascii="Arial" w:cs="Arial" w:eastAsia="Arial" w:hAnsi="Arial"/>
                <w:sz w:val="16"/>
                <w:szCs w:val="16"/>
                <w:b w:val="1"/>
                <w:bCs w:val="1"/>
                <w:color w:val="auto"/>
                <w:w w:val="92"/>
              </w:rPr>
              <w:t>Amount of Gain (Loss)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60" w:type="dxa"/>
            <w:vAlign w:val="bottom"/>
            <w:gridSpan w:val="4"/>
          </w:tcPr>
          <w:p>
            <w:pPr>
              <w:jc w:val="center"/>
              <w:ind w:left="616"/>
              <w:spacing w:after="0"/>
              <w:rPr>
                <w:sz w:val="20"/>
                <w:szCs w:val="20"/>
                <w:color w:val="auto"/>
              </w:rPr>
            </w:pPr>
            <w:r>
              <w:rPr>
                <w:rFonts w:ascii="Arial" w:cs="Arial" w:eastAsia="Arial" w:hAnsi="Arial"/>
                <w:sz w:val="16"/>
                <w:szCs w:val="16"/>
                <w:b w:val="1"/>
                <w:bCs w:val="1"/>
                <w:color w:val="auto"/>
                <w:w w:val="90"/>
              </w:rPr>
              <w:t>Six Months Ended 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 Recognized in Income on</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9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Foreign currency contracts</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22"/>
                <w:szCs w:val="22"/>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0"/>
        </w:trPr>
        <w:tc>
          <w:tcPr>
            <w:tcW w:w="39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Deal contingent swaps</w:t>
            </w:r>
            <w:r>
              <w:rPr>
                <w:rFonts w:ascii="Arial" w:cs="Arial" w:eastAsia="Arial" w:hAnsi="Arial"/>
                <w:sz w:val="25"/>
                <w:szCs w:val="25"/>
                <w:color w:val="auto"/>
                <w:vertAlign w:val="superscript"/>
              </w:rPr>
              <w:t>(2)</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(24,937)</w:t>
            </w:r>
          </w:p>
        </w:tc>
        <w:tc>
          <w:tcPr>
            <w:tcW w:w="10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(12,888)</w:t>
            </w:r>
          </w:p>
        </w:tc>
        <w:tc>
          <w:tcPr>
            <w:tcW w:w="10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420" w:right="460" w:hanging="412"/>
        <w:spacing w:after="0" w:line="27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foreign currency contract net gains (losses) offset any recognized gains (losses) arising from the revaluation of the related intercompany loans during the same respective periods.</w:t>
      </w:r>
    </w:p>
    <w:p>
      <w:pPr>
        <w:spacing w:after="0" w:line="116" w:lineRule="exact"/>
        <w:rPr>
          <w:rFonts w:ascii="Arial" w:cs="Arial" w:eastAsia="Arial" w:hAnsi="Arial"/>
          <w:sz w:val="16"/>
          <w:szCs w:val="16"/>
          <w:color w:val="auto"/>
        </w:rPr>
      </w:pPr>
    </w:p>
    <w:p>
      <w:pPr>
        <w:ind w:left="420" w:right="20" w:hanging="412"/>
        <w:spacing w:after="0" w:line="27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In the second quarter of 2018, the Company entered into a foreign currency contract and two interest rate swap agreements, which were contingent upon the closing of the Frutarom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0" w:right="239" w:bottom="1440" w:gutter="0" w:footer="0" w:header="0"/>
        </w:sectPr>
      </w:pPr>
    </w:p>
    <w:bookmarkStart w:id="23" w:name="page24"/>
    <w:bookmarkEnd w:id="23"/>
    <w:p>
      <w:pPr>
        <w:jc w:val="both"/>
        <w:ind w:right="160" w:firstLine="405"/>
        <w:spacing w:after="0" w:line="264" w:lineRule="auto"/>
        <w:rPr>
          <w:sz w:val="20"/>
          <w:szCs w:val="20"/>
          <w:color w:val="auto"/>
        </w:rPr>
      </w:pPr>
      <w:r>
        <w:rPr>
          <w:rFonts w:ascii="Arial" w:cs="Arial" w:eastAsia="Arial" w:hAnsi="Arial"/>
          <w:sz w:val="18"/>
          <w:szCs w:val="18"/>
          <w:color w:val="auto"/>
        </w:rPr>
        <w:t>The following table shows the effect of the Company’s derivative and non-derivative instruments designated as cash flow and net investment hedging instruments, net of tax, in the Consolidated Statement of Income and Comprehensive Income for the three and six months ended June 30, 2019 and 2018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vMerge w:val="restart"/>
          </w:tcPr>
          <w:p>
            <w:pPr>
              <w:jc w:val="center"/>
              <w:ind w:right="172"/>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5"/>
              </w:rPr>
              <w:t>Derivative</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Location of Gain (Loss)</w:t>
            </w:r>
          </w:p>
        </w:tc>
        <w:tc>
          <w:tcPr>
            <w:tcW w:w="240" w:type="dxa"/>
            <w:vAlign w:val="bottom"/>
          </w:tcPr>
          <w:p>
            <w:pPr>
              <w:spacing w:after="0"/>
              <w:rPr>
                <w:sz w:val="17"/>
                <w:szCs w:val="17"/>
                <w:color w:val="auto"/>
              </w:rPr>
            </w:pPr>
          </w:p>
        </w:tc>
        <w:tc>
          <w:tcPr>
            <w:tcW w:w="23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204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0"/>
              </w:rPr>
              <w:t>Reclassified from</w:t>
            </w:r>
          </w:p>
        </w:tc>
        <w:tc>
          <w:tcPr>
            <w:tcW w:w="240" w:type="dxa"/>
            <w:vAlign w:val="bottom"/>
          </w:tcPr>
          <w:p>
            <w:pPr>
              <w:spacing w:after="0"/>
              <w:rPr>
                <w:sz w:val="10"/>
                <w:szCs w:val="10"/>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AOCI into Income</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in Cash Flow Hedging Relationships: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Derivatives in Net Investment Hedging Relationships: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Cross currency swaps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Non-Derivatives in Net Investment Hedging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2024 Euro Notes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28,682</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 Euro Notes &amp; 2026 Euro Notes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39,317</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4"/>
            <w:vMerge w:val="restart"/>
          </w:tcPr>
          <w:p>
            <w:pPr>
              <w:jc w:val="center"/>
              <w:ind w:right="152"/>
              <w:spacing w:after="0"/>
              <w:rPr>
                <w:sz w:val="20"/>
                <w:szCs w:val="20"/>
                <w:color w:val="auto"/>
              </w:rPr>
            </w:pPr>
            <w:r>
              <w:rPr>
                <w:rFonts w:ascii="Arial" w:cs="Arial" w:eastAsia="Arial" w:hAnsi="Arial"/>
                <w:sz w:val="14"/>
                <w:szCs w:val="14"/>
                <w:b w:val="1"/>
                <w:bCs w:val="1"/>
                <w:color w:val="auto"/>
                <w:w w:val="92"/>
              </w:rPr>
              <w:t>Amount of (Loss) Gain</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2"/>
              </w:rPr>
              <w:t>Amount of (Loss) Gain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2"/>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2"/>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center"/>
              <w:ind w:right="132"/>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6"/>
              </w:rPr>
              <w:t>Portion)</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96"/>
              </w:rPr>
              <w:t>Portion)</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132"/>
              <w:spacing w:after="0" w:line="179" w:lineRule="exact"/>
              <w:rPr>
                <w:sz w:val="20"/>
                <w:szCs w:val="20"/>
                <w:color w:val="auto"/>
              </w:rPr>
            </w:pPr>
            <w:r>
              <w:rPr>
                <w:rFonts w:ascii="Arial" w:cs="Arial" w:eastAsia="Arial" w:hAnsi="Arial"/>
                <w:sz w:val="16"/>
                <w:szCs w:val="16"/>
                <w:b w:val="1"/>
                <w:bCs w:val="1"/>
                <w:color w:val="auto"/>
                <w:w w:val="91"/>
              </w:rPr>
              <w:t>Six Months Ended June 30,</w:t>
            </w:r>
          </w:p>
        </w:tc>
        <w:tc>
          <w:tcPr>
            <w:tcW w:w="100" w:type="dxa"/>
            <w:vAlign w:val="bottom"/>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40" w:type="dxa"/>
            <w:vAlign w:val="bottom"/>
          </w:tcPr>
          <w:p>
            <w:pPr>
              <w:spacing w:after="0"/>
              <w:rPr>
                <w:sz w:val="15"/>
                <w:szCs w:val="15"/>
                <w:color w:val="auto"/>
              </w:rPr>
            </w:pPr>
          </w:p>
        </w:tc>
        <w:tc>
          <w:tcPr>
            <w:tcW w:w="2380" w:type="dxa"/>
            <w:vAlign w:val="bottom"/>
            <w:gridSpan w:val="4"/>
          </w:tcPr>
          <w:p>
            <w:pPr>
              <w:jc w:val="center"/>
              <w:ind w:right="112"/>
              <w:spacing w:after="0" w:line="179" w:lineRule="exact"/>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40" w:type="dxa"/>
            <w:vAlign w:val="bottom"/>
          </w:tcPr>
          <w:p>
            <w:pPr>
              <w:spacing w:after="0"/>
              <w:rPr>
                <w:sz w:val="12"/>
                <w:szCs w:val="12"/>
                <w:color w:val="auto"/>
              </w:rPr>
            </w:pPr>
          </w:p>
        </w:tc>
        <w:tc>
          <w:tcPr>
            <w:tcW w:w="10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in Cash Flow Hedging Relationships: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Derivatives in Net Investment Hedging Relationships: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Cross currency swaps</w:t>
            </w:r>
          </w:p>
        </w:tc>
        <w:tc>
          <w:tcPr>
            <w:tcW w:w="26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7,312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Non-Derivatives in Net Investment Hedging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2024 Euro Notes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 Euro Notes &amp; 2026 Euro Notes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22,117</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8"/>
          <w:szCs w:val="18"/>
          <w:color w:val="auto"/>
        </w:rPr>
        <w:t>Interest rate swaps were entered into as pre-issuance hedges for bond offerings.</w:t>
      </w:r>
    </w:p>
    <w:p>
      <w:pPr>
        <w:spacing w:after="0" w:line="17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The ineffective portion of the above noted cash flow hedges were not material during the three and six months ended June 30, 2018.</w:t>
      </w:r>
    </w:p>
    <w:p>
      <w:pPr>
        <w:spacing w:after="0" w:line="171" w:lineRule="exact"/>
        <w:rPr>
          <w:sz w:val="20"/>
          <w:szCs w:val="20"/>
          <w:color w:val="auto"/>
        </w:rPr>
      </w:pPr>
    </w:p>
    <w:p>
      <w:pPr>
        <w:ind w:right="640" w:firstLine="405"/>
        <w:spacing w:after="0" w:line="342" w:lineRule="auto"/>
        <w:rPr>
          <w:sz w:val="20"/>
          <w:szCs w:val="20"/>
          <w:color w:val="auto"/>
        </w:rPr>
      </w:pPr>
      <w:r>
        <w:rPr>
          <w:rFonts w:ascii="Arial" w:cs="Arial" w:eastAsia="Arial" w:hAnsi="Arial"/>
          <w:sz w:val="16"/>
          <w:szCs w:val="16"/>
          <w:color w:val="auto"/>
        </w:rPr>
        <w:t>The Company expects that $5.7 million (net of tax) of derivative gain included in AOCI at June 30, 2019, based on current market rates, will be reclassified into earnings within the next 12 months. The majority of this amount will vary due to fluctuations in foreign currency exchange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tabs>
          <w:tab w:leader="none" w:pos="940" w:val="left"/>
        </w:tabs>
        <w:rPr>
          <w:sz w:val="20"/>
          <w:szCs w:val="20"/>
          <w:color w:val="auto"/>
        </w:rPr>
      </w:pPr>
      <w:r>
        <w:rPr>
          <w:rFonts w:ascii="Arial" w:cs="Arial" w:eastAsia="Arial" w:hAnsi="Arial"/>
          <w:sz w:val="18"/>
          <w:szCs w:val="18"/>
          <w:b w:val="1"/>
          <w:bCs w:val="1"/>
          <w:color w:val="auto"/>
        </w:rPr>
        <w:t>NOTE 14.</w:t>
        <w:tab/>
        <w:t>ACCUMULATED OTHER COMPREHENSIVE INCOME (LOSS)</w:t>
      </w:r>
    </w:p>
    <w:p>
      <w:pPr>
        <w:spacing w:after="0" w:line="17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Gains 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Qualifying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Hedges</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380" w:type="dxa"/>
            <w:vAlign w:val="bottom"/>
          </w:tcPr>
          <w:p>
            <w:pPr>
              <w:spacing w:after="0"/>
              <w:rPr>
                <w:sz w:val="17"/>
                <w:szCs w:val="17"/>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income, net of tax, as of</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(702,227)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28,363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32,944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28,363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33,868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income, net of tax,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(368,633)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(304,790)</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(668,359)</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on 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Qualifying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Hedges</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380" w:type="dxa"/>
            <w:vAlign w:val="bottom"/>
          </w:tcPr>
          <w:p>
            <w:pPr>
              <w:spacing w:after="0"/>
              <w:rPr>
                <w:sz w:val="17"/>
                <w:szCs w:val="17"/>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income, net of tax, as of</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(65,304)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(loss) income, net of tax, as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(367,877)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(324,215)</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(692,498)</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details about reclassifications out of accumulated other comprehensive income to the Consolidated Statement of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10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Affected Line Item in the</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100" w:type="dxa"/>
            <w:vAlign w:val="bottom"/>
            <w:tcBorders>
              <w:bottom w:val="single" w:sz="8" w:color="auto"/>
            </w:tcBorders>
            <w:gridSpan w:val="4"/>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 Statement</w:t>
            </w: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of Income and Comprehensive</w:t>
            </w:r>
          </w:p>
        </w:tc>
        <w:tc>
          <w:tcPr>
            <w:tcW w:w="0" w:type="dxa"/>
            <w:vAlign w:val="bottom"/>
          </w:tcPr>
          <w:p>
            <w:pPr>
              <w:spacing w:after="0"/>
              <w:rPr>
                <w:sz w:val="1"/>
                <w:szCs w:val="1"/>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Gains (losses) on derivatives qualifying as hedges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contracts</w:t>
            </w: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(5,169)</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Tax</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9"/>
              </w:rPr>
              <w:t>Losses on pension and postretirement liability adjustments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Prior service cost</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Actuarial losses</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(10,206)</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180" w:hanging="412"/>
        <w:spacing w:after="0" w:line="27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8"/>
          <w:szCs w:val="18"/>
          <w:color w:val="auto"/>
        </w:rPr>
        <w:t>The amortization of prior service cost and actuarial loss is included in the computation of net periodic benefit cost. Refer to Note 16 of our 2018 Form 10-K for additional information regarding net periodic benefit cost.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5" w:name="page26"/>
    <w:bookmarkEnd w:id="25"/>
    <w:p>
      <w:pPr>
        <w:spacing w:after="0"/>
        <w:tabs>
          <w:tab w:leader="none" w:pos="940" w:val="left"/>
        </w:tabs>
        <w:rPr>
          <w:sz w:val="20"/>
          <w:szCs w:val="20"/>
          <w:color w:val="auto"/>
        </w:rPr>
      </w:pPr>
      <w:r>
        <w:rPr>
          <w:rFonts w:ascii="Arial" w:cs="Arial" w:eastAsia="Arial" w:hAnsi="Arial"/>
          <w:sz w:val="18"/>
          <w:szCs w:val="18"/>
          <w:b w:val="1"/>
          <w:bCs w:val="1"/>
          <w:color w:val="auto"/>
        </w:rPr>
        <w:t>NOTE 15.</w:t>
        <w:tab/>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17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June 30, 2019, the Company had total bank guarantees and standby letters of credit of $58.7 million with various financial institutions. Included in the above aggregate amount was a total of $17.7 million for other assessments in Brazil for various income tax and indirect tax disputes related to fiscal years 1998-2011. There were no material amounts utilized under the standby letters of credit as of June 30, 2019.</w:t>
      </w:r>
    </w:p>
    <w:p>
      <w:pPr>
        <w:spacing w:after="0" w:line="12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$10.1 million as of June 30,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7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As of June 30, 2019, the Company had available lines of credit of $107.6 million with various financial institutions, in addition to the $1.0 billion of capacity under the Amended Credit Facility. There were no material amounts drawn down pursuant to these lines of credit as of June 30,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will be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will be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the Company is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has been identified as a PRP at seven facilities operated by third parties at which investigation and/or remediation activities may be ongoing. The Company analyzes potential liability on at least a quarterly basis and accrues for environmental liabilities when they are probable and estimable. The Company estimates its share of the total future cost for these sites to be less than $3 million.</w:t>
      </w:r>
    </w:p>
    <w:p>
      <w:pPr>
        <w:spacing w:after="0" w:line="12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While joint and several liability is authorized under federal and state environmental laws, the Company believes the amounts it has paid and anticipates paying in the future for clean-up costs and damages at all sites are not and will not have a material adverse effect on its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the Company to materially increase the amounts it anticipates paying for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color w:val="auto"/>
        </w:rPr>
        <w:t>clean-up costs and damages at these sites, and that such increased amounts will not have a material adverse effect on its financial condition,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Taste plant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Taste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 To address the governmental authorities' requirements, the Company has begun to move production from the Guangzhou Taste plant to a newly built facility in Zhangjiagang.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plant in Guangzhou was approximately $64 million as of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Scent plant</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second quarter of 2019, the Company was notified that certain governmental authorities had changed the zoning where the Guangzhou Scent plant is located. The zoning change did not affect the current operations but prevents expansions or other increases in the operating capacity of the plant. The Company believes that it is possible that the zoning may change in the future such that it would not be able to continue manufacturing at the existing site. The ultimate outcome of any change that the governmental authorities may propose, the timing of such a change, and the nature of any compensation arrangements that might be provided to the Company are uncertain.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$9 million as of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17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which is expected to be through the end of 2021. The Company received the first payment of $15 million in the fourth quarter of 2017. No additional amounts have been received since the fourth quarter of 2017.</w:t>
      </w:r>
    </w:p>
    <w:p>
      <w:pPr>
        <w:spacing w:after="0" w:line="117"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net book value of the current plant was approximately $19 million as of June 30, 2019. The Company relocated approximately half of the production capacity of the facility during the first half of 2019 and the remainder of the production capacity is expected to be relocated by the end of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net book value of all eight plants in China was approximately $200 million as of June 30, 2019.</w:t>
      </w:r>
    </w:p>
    <w:p>
      <w:pPr>
        <w:spacing w:after="0" w:line="17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$27.8 million. The Brazilian matters take an extended period of time to proceed through the judicial process and there are a limited number of rulings to date. During 2018, the Company received an unfavorable ruling with respect to a claim related to potentially unpaid excise taxes from 1993. Based on the revised ruling, the Company has determined that it is now probable that it will have to pay the original claim in addition to penalties and interest. The total amount of the claim that has been recorded is $4.8 million.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46"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Ongoing Investigations</w:t>
      </w:r>
    </w:p>
    <w:p>
      <w:pPr>
        <w:spacing w:after="0" w:line="17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During the integration of Frutarom, IFF was made aware of allegations that two Frutarom businesses operating principally in Russia and Ukraine made certain improper payments, including to representatives of a number of customers. IFF promptly commenced investigations of such allegations with the assistance of outside legal and accounting firms. IFF’s investigations are not yet complete, but preliminary results indicate that improper payments to representatives of customers were made and that key members of Frutarom’s senior management at the time were aware of such payments. IFF has not uncovered any evidence suggesting that such payments had any connection to the United States.</w:t>
      </w:r>
    </w:p>
    <w:p>
      <w:pPr>
        <w:spacing w:after="0" w:line="119"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Based on the results of the investigations to date, IFF believes that such improper customer payments are no longer being made and the estimated affected sales represented less than 1% of IFF’s and Frutarom’s combined net sales for 2018. IFF does not believe the impact from these matters is or will be material to IFF’s results of operations or financial condition. The costs arising from these matters, however, could be material in a particular fiscal quarter.</w:t>
      </w:r>
    </w:p>
    <w:p>
      <w:pPr>
        <w:spacing w:after="0" w:line="9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Although the investigations are continuing, based on the results to date and other compliance-related integration activities IFF is not currently aware of similar instances of misconduct.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FDA-Mandated Product Recall</w:t>
      </w:r>
    </w:p>
    <w:p>
      <w:pPr>
        <w:spacing w:after="0" w:line="17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Company periodically incurs product liability claims based on product that is sold to customers that may be defective or otherwise not in accordance with the customer’s requirements. In the first quarter of 2017, the Company was made aware of a claim for product that was subject to an FDA-mandated product recall. As of June 30, 2019, the Company had recorded total charges of $17.5 million with respect to this claim, of which $5.0 million was recorded in the three months ended March 31, 2018. The Company settled the claim with the customer in the first quarter of 2018 for a total of $16.0 million, of which $3.0 million was paid in the fourth quarter of 2017 and $13.0 million was paid during the three months ended March 31, 2018. The Company does not believe that the ultimate settlement of the claim will have a material impact on its financial condition.</w:t>
      </w:r>
    </w:p>
    <w:p>
      <w:pPr>
        <w:spacing w:after="0" w:line="12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In the third quarter of 2018, the Company received $13.1 million for the full and final settlement of its claim from the supplier and insurer for the affected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$10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16.</w:t>
        <w:tab/>
        <w:t>REDEEMABLE NONCONTROLLING INTERESTS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Through certain subsidiaries of Frutarom, there are certain noncontrolling interests that carry redemption features. The noncontrolling interest holders have the right, over a stipulated period of time, to sell their respective interests to Frutarom, and Frutarom has the option to purchase these interests (subject to the same timing). These options carry identical price and conditions of exercise, and will be settled based on the multiple of the average EBITDA of consecutive quarters to be achieved during the period ending prior to the exercise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960" w:type="dxa"/>
            <w:vAlign w:val="bottom"/>
            <w:gridSpan w:val="2"/>
          </w:tcPr>
          <w:p>
            <w:pPr>
              <w:ind w:left="400"/>
              <w:spacing w:after="0"/>
              <w:rPr>
                <w:sz w:val="20"/>
                <w:szCs w:val="20"/>
                <w:color w:val="auto"/>
              </w:rPr>
            </w:pPr>
            <w:r>
              <w:rPr>
                <w:rFonts w:ascii="Arial" w:cs="Arial" w:eastAsia="Arial" w:hAnsi="Arial"/>
                <w:sz w:val="18"/>
                <w:szCs w:val="18"/>
                <w:color w:val="auto"/>
                <w:w w:val="99"/>
              </w:rPr>
              <w:t>The following table sets forth the details of the Company's redeemable noncontrolling interests:</w:t>
            </w:r>
          </w:p>
        </w:tc>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jc w:val="right"/>
              <w:ind w:right="1150"/>
              <w:spacing w:after="0"/>
              <w:rPr>
                <w:sz w:val="20"/>
                <w:szCs w:val="20"/>
                <w:color w:val="auto"/>
              </w:rPr>
            </w:pPr>
            <w:r>
              <w:rPr>
                <w:rFonts w:ascii="Arial" w:cs="Arial" w:eastAsia="Arial" w:hAnsi="Arial"/>
                <w:sz w:val="18"/>
                <w:szCs w:val="18"/>
                <w:b w:val="1"/>
                <w:bCs w:val="1"/>
                <w:color w:val="auto"/>
              </w:rPr>
              <w:t>Redeemable</w:t>
            </w:r>
          </w:p>
        </w:tc>
      </w:tr>
      <w:tr>
        <w:trPr>
          <w:trHeight w:val="221"/>
        </w:trPr>
        <w:tc>
          <w:tcPr>
            <w:tcW w:w="80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9"/>
                <w:szCs w:val="19"/>
                <w:color w:val="auto"/>
              </w:rPr>
            </w:pPr>
          </w:p>
        </w:tc>
        <w:tc>
          <w:tcPr>
            <w:tcW w:w="2980" w:type="dxa"/>
            <w:vAlign w:val="bottom"/>
          </w:tcPr>
          <w:p>
            <w:pPr>
              <w:jc w:val="right"/>
              <w:ind w:right="690"/>
              <w:spacing w:after="0"/>
              <w:rPr>
                <w:sz w:val="20"/>
                <w:szCs w:val="20"/>
                <w:color w:val="auto"/>
              </w:rPr>
            </w:pPr>
            <w:r>
              <w:rPr>
                <w:rFonts w:ascii="Arial" w:cs="Arial" w:eastAsia="Arial" w:hAnsi="Arial"/>
                <w:sz w:val="18"/>
                <w:szCs w:val="18"/>
                <w:b w:val="1"/>
                <w:bCs w:val="1"/>
                <w:color w:val="auto"/>
              </w:rPr>
              <w:t>Noncontrolling Interests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81,806</w:t>
            </w: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Acquired through acquisitions during 2019</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26,273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Impact of foreign exchange translation</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Share of profit or loss attributable to redeemable noncontrolling interests</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3,371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Redemption value mark-up for the current period</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Measurement period adjustments</w:t>
            </w:r>
          </w:p>
        </w:tc>
        <w:tc>
          <w:tcPr>
            <w:tcW w:w="440" w:type="dxa"/>
            <w:vAlign w:val="bottom"/>
          </w:tcPr>
          <w:p>
            <w:pPr>
              <w:spacing w:after="0"/>
              <w:rPr>
                <w:sz w:val="21"/>
                <w:szCs w:val="21"/>
                <w:color w:val="auto"/>
              </w:rPr>
            </w:pP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5,700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Exercises of redeemable noncontrolling interests</w:t>
            </w:r>
          </w:p>
        </w:tc>
        <w:tc>
          <w:tcPr>
            <w:tcW w:w="44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115,540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increase in redeemable noncontrolling interests is primarily due to the interests acquired through acquisitions during the period, as discussed in Note 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(UNLESS INDICATED OTHERWISE, DOLLARS IN MILLIONS EXCEPT PER SHARE AMOUNTS)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are a global leader in the creation of fragrance compounds that are integral elements in the world’s finest perfumes and best-known consumer products within fabric care, home care, personal wash, hair care and toiletries products. Our Scent business consists of Fragrance Compounds and Fragrance Ingredients. Our Fragrance Compounds are defined into two broad categories, Fine Fragrances and Consumer Fragrances. Consumer Fragrances consists of five end-use categories of products: (1) Fabric Care, (2) Home Care, (3) Personal Wash, (4) Hair Care and (5) Toiletries. Fragrance Ingredients consist of active and functional ingredients that are used internally and sold to third parties, including customers and competitors, and are included in the Scent business unit.</w:t>
      </w:r>
    </w:p>
    <w:p>
      <w:pPr>
        <w:spacing w:after="0" w:line="139" w:lineRule="exact"/>
        <w:rPr>
          <w:sz w:val="20"/>
          <w:szCs w:val="20"/>
          <w:color w:val="auto"/>
        </w:rPr>
      </w:pPr>
    </w:p>
    <w:p>
      <w:pPr>
        <w:ind w:right="20" w:firstLine="513"/>
        <w:spacing w:after="0" w:line="271" w:lineRule="auto"/>
        <w:rPr>
          <w:sz w:val="20"/>
          <w:szCs w:val="20"/>
          <w:color w:val="auto"/>
        </w:rPr>
      </w:pPr>
      <w:r>
        <w:rPr>
          <w:rFonts w:ascii="Arial" w:cs="Arial" w:eastAsia="Arial" w:hAnsi="Arial"/>
          <w:sz w:val="17"/>
          <w:szCs w:val="17"/>
          <w:color w:val="231F20"/>
        </w:rPr>
        <w:t>Flavors are the key building blocks that impart taste experiences in food and beverage products and, as such, play a significant role in determining consumer preference for the end products in which they are used. As a leading creator of Flavor Compounds, we help our customers deliver on the promise of delicious and healthy foods and drinks that appeal to consumers. While we are a global leader, our flavors business i</w:t>
      </w:r>
      <w:r>
        <w:rPr>
          <w:rFonts w:ascii="Arial" w:cs="Arial" w:eastAsia="Arial" w:hAnsi="Arial"/>
          <w:sz w:val="17"/>
          <w:szCs w:val="17"/>
          <w:color w:val="000000"/>
        </w:rPr>
        <w:t>s more regional in nature, with different</w:t>
      </w:r>
      <w:r>
        <w:rPr>
          <w:rFonts w:ascii="Arial" w:cs="Arial" w:eastAsia="Arial" w:hAnsi="Arial"/>
          <w:sz w:val="17"/>
          <w:szCs w:val="17"/>
          <w:color w:val="231F20"/>
        </w:rPr>
        <w:t xml:space="preserve"> </w:t>
      </w:r>
      <w:r>
        <w:rPr>
          <w:rFonts w:ascii="Arial" w:cs="Arial" w:eastAsia="Arial" w:hAnsi="Arial"/>
          <w:sz w:val="17"/>
          <w:szCs w:val="17"/>
          <w:color w:val="000000"/>
        </w:rPr>
        <w:t>formulas that reflect local taste preferences. Consequently, we manage our flavors business geographically, creating Flavor Compounds in our regional creative centers which allow us to satisfy local taste preferences, while also helping to ensure regulatory compliance and production standards. We develop thousands of different flavors and taste offerings for our customers, most of which are tailor-made. We continually develop new formulas to meet changing consumer preferences and customer needs. Our Flavor Compounds are ultimately used by our customers in the following four end-use categories of consumer goods: (1) Savory, (2) Beverages, (3) Sweet and (4) Dairy.</w:t>
      </w:r>
    </w:p>
    <w:p>
      <w:pPr>
        <w:spacing w:after="0" w:line="125" w:lineRule="exact"/>
        <w:rPr>
          <w:sz w:val="20"/>
          <w:szCs w:val="20"/>
          <w:color w:val="auto"/>
        </w:rPr>
      </w:pPr>
    </w:p>
    <w:p>
      <w:pPr>
        <w:ind w:right="40" w:firstLine="513"/>
        <w:spacing w:after="0" w:line="255" w:lineRule="auto"/>
        <w:rPr>
          <w:sz w:val="20"/>
          <w:szCs w:val="20"/>
          <w:color w:val="auto"/>
        </w:rPr>
      </w:pPr>
      <w:r>
        <w:rPr>
          <w:rFonts w:ascii="Arial" w:cs="Arial" w:eastAsia="Arial" w:hAnsi="Arial"/>
          <w:sz w:val="18"/>
          <w:szCs w:val="18"/>
          <w:color w:val="auto"/>
        </w:rPr>
        <w:t>Our Frutarom business creates and manufactures a naturals-focused suite of Flavor Compounds and specialty fine ingredients, largely targeting small, local and regional customers. Our Frutarom business seeks to capitalize on the health and wellness emphasis of consumers and deliver growth by offering customers natural flavor products that combine solutions to create natural colors, extending shelf life and natural functional food ingredients. Frutarom’s products are focused on three principal areas: (1) Savory Solutions, (2) Natural Product Solutions, which includes natural health ingredients, natural color and natural food protection, and (3) Taste Solutions. Frutarom’s operating results have been included in our operating results from October 4, 2018, the date we completed the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2021 and Frutarom Integration Initiative</w:t>
      </w:r>
    </w:p>
    <w:p>
      <w:pPr>
        <w:spacing w:after="0" w:line="171" w:lineRule="exact"/>
        <w:rPr>
          <w:sz w:val="20"/>
          <w:szCs w:val="20"/>
          <w:color w:val="auto"/>
        </w:rPr>
      </w:pPr>
    </w:p>
    <w:p>
      <w:pPr>
        <w:ind w:right="380" w:firstLine="513"/>
        <w:spacing w:after="0" w:line="277" w:lineRule="auto"/>
        <w:rPr>
          <w:sz w:val="20"/>
          <w:szCs w:val="20"/>
          <w:color w:val="auto"/>
        </w:rPr>
      </w:pPr>
      <w:r>
        <w:rPr>
          <w:rFonts w:ascii="Arial" w:cs="Arial" w:eastAsia="Arial" w:hAnsi="Arial"/>
          <w:sz w:val="18"/>
          <w:szCs w:val="18"/>
          <w:color w:val="auto"/>
        </w:rPr>
        <w:t>Following the implementation of our Vision 2020 strategy and the acquisition of Frutarom, we have now launched a new strategy, Vision 2021, to target revenue and profitability goals. Vision 2021 has four "pillars":</w:t>
      </w:r>
    </w:p>
    <w:p>
      <w:pPr>
        <w:spacing w:after="0" w:line="143" w:lineRule="exact"/>
        <w:rPr>
          <w:sz w:val="20"/>
          <w:szCs w:val="20"/>
          <w:color w:val="auto"/>
        </w:rPr>
      </w:pPr>
    </w:p>
    <w:p>
      <w:pPr>
        <w:ind w:right="120" w:firstLine="251"/>
        <w:spacing w:after="0" w:line="324" w:lineRule="auto"/>
        <w:tabs>
          <w:tab w:leader="none" w:pos="7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Unlocking growth opportunities – capitalizing on our expanded product portfolio, broader customer base and extensive geographic presence; plus cross-selling and integrated solutions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ind w:left="800" w:hanging="549"/>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Driving innovation – investing in high-growth and high-return platforms to continue to drive our R&amp;D pipeline and accelerate long-term growth</w:t>
      </w:r>
    </w:p>
    <w:p>
      <w:pPr>
        <w:spacing w:after="0" w:line="223" w:lineRule="exact"/>
        <w:rPr>
          <w:rFonts w:ascii="Arial" w:cs="Arial" w:eastAsia="Arial" w:hAnsi="Arial"/>
          <w:sz w:val="17"/>
          <w:szCs w:val="17"/>
          <w:color w:val="auto"/>
        </w:rPr>
      </w:pPr>
    </w:p>
    <w:p>
      <w:pPr>
        <w:ind w:left="800" w:hanging="54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the Portfolio – focusing on optimizing our portfolio to maximize value creation</w:t>
      </w:r>
    </w:p>
    <w:p>
      <w:pPr>
        <w:spacing w:after="0" w:line="211" w:lineRule="exact"/>
        <w:rPr>
          <w:rFonts w:ascii="Arial" w:cs="Arial" w:eastAsia="Arial" w:hAnsi="Arial"/>
          <w:sz w:val="18"/>
          <w:szCs w:val="18"/>
          <w:color w:val="auto"/>
        </w:rPr>
      </w:pPr>
    </w:p>
    <w:p>
      <w:pPr>
        <w:ind w:right="280" w:firstLine="251"/>
        <w:spacing w:after="0" w:line="324" w:lineRule="auto"/>
        <w:tabs>
          <w:tab w:leader="none" w:pos="7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Accelerating Business Transformation – successfully integrating Frutarom while delivering on synergy targets and achieving productivity gains across the business base.</w:t>
      </w:r>
    </w:p>
    <w:p>
      <w:pPr>
        <w:spacing w:after="0" w:line="89" w:lineRule="exact"/>
        <w:rPr>
          <w:sz w:val="20"/>
          <w:szCs w:val="20"/>
          <w:color w:val="auto"/>
        </w:rPr>
      </w:pPr>
    </w:p>
    <w:p>
      <w:pPr>
        <w:jc w:val="both"/>
        <w:ind w:right="200" w:firstLine="513"/>
        <w:spacing w:after="0" w:line="257" w:lineRule="auto"/>
        <w:rPr>
          <w:sz w:val="20"/>
          <w:szCs w:val="20"/>
          <w:color w:val="auto"/>
        </w:rPr>
      </w:pPr>
      <w:r>
        <w:rPr>
          <w:rFonts w:ascii="Arial" w:cs="Arial" w:eastAsia="Arial" w:hAnsi="Arial"/>
          <w:sz w:val="18"/>
          <w:szCs w:val="18"/>
          <w:color w:val="auto"/>
        </w:rPr>
        <w:t>With respect to our Frutarom Integration Initiative, we are executing on our integration plan to simplify and harmonize our go-to-market business models, clarify roles and responsibilities and accelerate decision-making through a series of organizational changes. We expect to achieve $145 million of synergy targets, including approximately $40 million of cost synergies by the end of 2019. To achieve expected savings, we will incur certain costs such as advisory, personnel or facility related costs. Additionally, we expect to close approximately 35 manufacturing sites over the next two years with most of the closures targeted to occur before the end of fiscal 2020.</w:t>
      </w:r>
    </w:p>
    <w:p>
      <w:pPr>
        <w:spacing w:after="0" w:line="134" w:lineRule="exact"/>
        <w:rPr>
          <w:sz w:val="20"/>
          <w:szCs w:val="20"/>
          <w:color w:val="auto"/>
        </w:rPr>
      </w:pPr>
    </w:p>
    <w:p>
      <w:pPr>
        <w:ind w:right="180" w:firstLine="513"/>
        <w:spacing w:after="0" w:line="257" w:lineRule="auto"/>
        <w:rPr>
          <w:sz w:val="20"/>
          <w:szCs w:val="20"/>
          <w:color w:val="auto"/>
        </w:rPr>
      </w:pPr>
      <w:r>
        <w:rPr>
          <w:rFonts w:ascii="Arial" w:cs="Arial" w:eastAsia="Arial" w:hAnsi="Arial"/>
          <w:sz w:val="18"/>
          <w:szCs w:val="18"/>
          <w:color w:val="auto"/>
        </w:rPr>
        <w:t>While organizational moves are the first step, we expect it will take 12-18 months from June 30, 2019 to fully complete the integration efforts including associated process, systems and governance changes. Organizational changes include a reorganization of our business unit structure into three segments: Taste, Scent and Nutrition &amp; Ingredients. Under the new organization, two parts of the existing Frutarom business will combine with our existing Taste business and a third business unit, Nutrition &amp; Ingredients, will be created that will contain substantially all of the remaining parts of the existing Frutarom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Sales in the second quarter of 2019 increased 40% on a reported basis and 45% on a currency neutral basis (which excludes the effects of changes in currency), with the effects of the Frutarom acquisition contributing 41% to reported growth rates and 43% to currency neutral growth rates. Taste sales declined 4% on a reported basis and declined 1% on a currency neutral basis. Scent achieved sales growth of 1% on a reported basis and 4% on a currency neutral basis in the second quarter of 2019. Consolidated reported and currency neutral sales growth was driven by the additional sales from our acquisition of Frutarom, as well as new win performance (net of losses) and price increases (principally due to increases in raw material input costs) in Scent.</w:t>
      </w:r>
    </w:p>
    <w:p>
      <w:pPr>
        <w:spacing w:after="0" w:line="10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Overall, our second quarter 2019 results continued to be driven by our strong emerging market presence. From a geographic perspective, North America ("NOAM"), Europe, Africa and Middle East ("EAME"), Greater Asia ("GA") and Latin America ("LA") all delivered sales growth on a consolidated basis, led by EAME. The Frutarom acquisition contributed 17% reported sales growth in GA, with all other geographic areas experiencing declines in growth for both Taste and Scent.</w:t>
      </w:r>
    </w:p>
    <w:p>
      <w:pPr>
        <w:spacing w:after="0" w:line="13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Exchange rate variations had an unfavorable impact on net sales for the second quarter of 2019 of 4.3%. The effect of exchange rates can vary by business and region, depending upon the mix of sales priced in U.S. dollars as compared to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Gross margins decreased to 42.3% in the second quarter of 2019 from 43.3% in the 2018 period, driven principally by lower margins in our Frutarom business unit and unfavorable price versus input costs, which were partially offset by cost savings and productivity initiatives.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Operating profit increased $45.4 million to $199.9 million (15.5% of sales) in the 2019 second quarter compared to $154.5 million (16.8% of sales) in the comparable 2018 period, while operating profit as a percentage of sales decreased period over period. The second quarter of 2019 included $14.0 million of charges related to operational improvement initiatives, integration related costs, restructuring and other charges, net, partially offset by Frutarom acquisition related costs, as compared to $15.3 million of charges related to operational improvement initiatives, restructuring and other charges, net and an FDA mandated product recall which were partially offset by acquisition related costs and gains on sale of assets in the 2018 period. Excluding these charges, adjusted operating profit was $213.9 million for the second quarter of 2019, an increase from $169.8 million for the second quarter of 2018, principally driven by the inclusion of Frutarom's operating profit in the second quarter of 2019 and productivity initiatives, partially offset by price to input costs (including the net impact of the BASF supply chain disruption). Foreign currency had a 3% unfavorable impact on operating profit in the second quarter of 2019 compared to a 6% favorable impact on operating profit in the 2018 period. Operating profit as a percentage of sales, excluding the above charges, decreased to 16.6% for the second quarter of 2019 compared to 18.5% for the second quarter of 2018, principally driven by lower margins in our Frutarom business and unfavorable foreign exchange rates, partially offset by favorable price to input costs (including the net impact of the BASF supply chain disruption) and the impact of cost and productivity initiatives.</w:t>
      </w:r>
    </w:p>
    <w:p>
      <w:pPr>
        <w:spacing w:after="0" w:line="12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believe that for the next two quarters, we will continue to experience pressure on input costs but the impact will be partially offset by cost synergies from our Frutarom Integration Initiative.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Interest expense decreased to $32.6 million in the second quarter of 2019 compared to $53.2 million in the 2018 period and was primarily driven by $35.7 million of financing fees incurred in the second quarter of 2018 in connection with the acquisition of Frutarom. Average cost of debt was 2.5% for the 2019 period compared to 4.0% for the 2018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Cash flows provided by operations for the six months ended June 30, 2019 was $184.9 million or 7.1% of sales, compared to cash flows provided by operations of $55.2 million or 3.0% of sales for the six months ended June 30, 2018. The increase in cash provided by operating activities during 2019 was principally driven by higher earnings, product recall claim settlements in the prior year, and slightly higher cash inflows related to working capital in the current year.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240" w:type="dxa"/>
            <w:vAlign w:val="bottom"/>
            <w:gridSpan w:val="5"/>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00" w:type="dxa"/>
            <w:vAlign w:val="bottom"/>
            <w:gridSpan w:val="4"/>
            <w:vMerge w:val="restart"/>
          </w:tcPr>
          <w:p>
            <w:pPr>
              <w:spacing w:after="0"/>
              <w:rPr>
                <w:sz w:val="20"/>
                <w:szCs w:val="20"/>
                <w:color w:val="auto"/>
              </w:rPr>
            </w:pPr>
            <w:r>
              <w:rPr>
                <w:rFonts w:ascii="Arial" w:cs="Arial" w:eastAsia="Arial" w:hAnsi="Arial"/>
                <w:sz w:val="16"/>
                <w:szCs w:val="16"/>
                <w:i w:val="1"/>
                <w:iCs w:val="1"/>
                <w:color w:val="auto"/>
              </w:rPr>
              <w:t>(DOLLARS IN THOUSANDS EXCEPT PER</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4"/>
                <w:szCs w:val="14"/>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880" w:type="dxa"/>
            <w:vAlign w:val="bottom"/>
            <w:tcBorders>
              <w:top w:val="single" w:sz="8" w:color="auto"/>
            </w:tcBorders>
            <w:gridSpan w:val="3"/>
          </w:tcPr>
          <w:p>
            <w:pPr>
              <w:spacing w:after="0" w:line="183" w:lineRule="exact"/>
              <w:rPr>
                <w:sz w:val="20"/>
                <w:szCs w:val="20"/>
                <w:color w:val="auto"/>
              </w:rPr>
            </w:pPr>
            <w:r>
              <w:rPr>
                <w:rFonts w:ascii="Arial" w:cs="Arial" w:eastAsia="Arial" w:hAnsi="Arial"/>
                <w:sz w:val="16"/>
                <w:szCs w:val="16"/>
                <w:i w:val="1"/>
                <w:iCs w:val="1"/>
                <w:color w:val="auto"/>
              </w:rPr>
              <w:t>SHARE AMOUNTS)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1,291,568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920,016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2,588,970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1,850,944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745,329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521,299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1,511,472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1,046,419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546,239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398,717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1,077,498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804,525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6"/>
                <w:szCs w:val="16"/>
                <w:color w:val="auto"/>
              </w:rPr>
              <w:t>Research and development (R&amp;D) expenses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84,816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74,767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175,412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153,244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Selling and administrative (S&amp;A)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210,100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157,407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300,051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6"/>
                <w:szCs w:val="16"/>
                <w:color w:val="auto"/>
                <w:w w:val="98"/>
              </w:rPr>
              <w:t>Amortization of acquisition-related intangibles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47,909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21"/>
                <w:szCs w:val="21"/>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NMF</w:t>
            </w: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95,534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18,769</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Losses on sales of fixed assets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1,264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199,937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154,509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363,807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329,363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32,593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53,246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69,165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69,841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(20,655)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(21,232)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169,481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121,918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304,057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280,754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22,769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53,974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52,190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138,869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250,083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228,564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noncontrolling</w:t>
            </w:r>
          </w:p>
        </w:tc>
        <w:tc>
          <w:tcPr>
            <w:tcW w:w="32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interests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Net income attributable to IFF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136,377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99,149</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245,206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228,564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R&amp;D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S&amp;A as a percentage of sales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0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18.5%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19.0%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00" w:type="dxa"/>
            <w:vAlign w:val="bottom"/>
            <w:gridSpan w:val="4"/>
          </w:tcPr>
          <w:p>
            <w:pPr>
              <w:spacing w:after="0" w:line="202" w:lineRule="exact"/>
              <w:rPr>
                <w:sz w:val="20"/>
                <w:szCs w:val="20"/>
                <w:color w:val="auto"/>
              </w:rPr>
            </w:pPr>
            <w:r>
              <w:rPr>
                <w:rFonts w:ascii="Arial" w:cs="Arial" w:eastAsia="Arial" w:hAnsi="Arial"/>
                <w:sz w:val="18"/>
                <w:szCs w:val="18"/>
                <w:color w:val="auto"/>
              </w:rPr>
              <w:t>Segment net sales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Taste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434,179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450,540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878,781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899,559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Scent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475,671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469,476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964,023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951,385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Frutarom</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381,718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746,166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1,291,568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920,016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2,588,970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1,850,944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17145</wp:posOffset>
            </wp:positionV>
            <wp:extent cx="44767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7675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NMF: Not meaningful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7" w:lineRule="exact"/>
        <w:rPr>
          <w:sz w:val="20"/>
          <w:szCs w:val="20"/>
          <w:color w:val="auto"/>
        </w:rPr>
      </w:pPr>
    </w:p>
    <w:p>
      <w:pPr>
        <w:ind w:left="540" w:right="20" w:hanging="316"/>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operating margin excludes $14.0 million of charges related to operational improvement initiatives, integration related costs, restructuring and other charges, net, losses on sale of assets, and Frutarom acquisition related costs for the three months ended June 30, 2019, and excludes $15.3 million of charges related to operational improvement initiatives, acquisition related costs, integration related costs, restructuring and other charges, net, losses on sale of assets, and Frutarom acquisition related costs for the three months ended June 30, 2018.</w:t>
      </w:r>
    </w:p>
    <w:p>
      <w:pPr>
        <w:ind w:left="540" w:right="20"/>
        <w:spacing w:after="0" w:line="271" w:lineRule="auto"/>
        <w:rPr>
          <w:rFonts w:ascii="Arial" w:cs="Arial" w:eastAsia="Arial" w:hAnsi="Arial"/>
          <w:sz w:val="17"/>
          <w:szCs w:val="17"/>
          <w:color w:val="auto"/>
        </w:rPr>
      </w:pPr>
      <w:r>
        <w:rPr>
          <w:rFonts w:ascii="Arial" w:cs="Arial" w:eastAsia="Arial" w:hAnsi="Arial"/>
          <w:sz w:val="17"/>
          <w:szCs w:val="17"/>
          <w:color w:val="auto"/>
        </w:rPr>
        <w:t>For the six months ended June 30, 2019, adjusted operating margin excludes $54.8 million of charges related to operational improvement initiatives, integration related costs, restructuring and other charges, net, losses on sale of assets, and Frutarom acquisition related costs, compared to the six months ended June 30, 2018 adjusted operating margin which excludes $21.5 million consisting of operational improvement initiatives, integration related costs, restructuring and other charges, net, losses on sale of assets, FDA mandated product recall, and Frutarom acquisition related costs, which were partially offset by acquisition related costs. See "Non-GAAP Financial Measures" below.</w:t>
      </w:r>
    </w:p>
    <w:p>
      <w:pPr>
        <w:spacing w:after="0" w:line="1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Cost of goods sold includes the cost of materials and manufacturing expenses. R&amp;D includes expenses related to the development of new and improved products and technical product support. S&amp;A expenses include expenses necessary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ind w:right="860"/>
        <w:spacing w:after="0" w:line="277" w:lineRule="auto"/>
        <w:rPr>
          <w:sz w:val="20"/>
          <w:szCs w:val="20"/>
          <w:color w:val="auto"/>
        </w:rPr>
      </w:pPr>
      <w:r>
        <w:rPr>
          <w:rFonts w:ascii="Arial" w:cs="Arial" w:eastAsia="Arial" w:hAnsi="Arial"/>
          <w:sz w:val="18"/>
          <w:szCs w:val="18"/>
          <w:color w:val="auto"/>
        </w:rPr>
        <w:t>support our commercial activities and administrative expenses supporting our overall operating activities including compliance with governmental regulations.</w:t>
      </w:r>
    </w:p>
    <w:p>
      <w:pPr>
        <w:spacing w:after="0" w:line="166" w:lineRule="exact"/>
        <w:rPr>
          <w:sz w:val="20"/>
          <w:szCs w:val="20"/>
          <w:color w:val="auto"/>
        </w:rPr>
      </w:pPr>
    </w:p>
    <w:p>
      <w:pPr>
        <w:ind w:right="536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2019 IN COMPARISON TO SECOND QUARTER 2018 </w:t>
      </w:r>
      <w:r>
        <w:rPr>
          <w:rFonts w:ascii="Arial" w:cs="Arial" w:eastAsia="Arial" w:hAnsi="Arial"/>
          <w:sz w:val="18"/>
          <w:szCs w:val="18"/>
          <w:b w:val="1"/>
          <w:bCs w:val="1"/>
          <w:color w:val="auto"/>
        </w:rPr>
        <w:t>Sales</w:t>
      </w:r>
    </w:p>
    <w:p>
      <w:pPr>
        <w:spacing w:after="0" w:line="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Sales for the second quarter of 2019 totaled $1.3 billion, an increase of 40% on a reported basis and 45% on a currency neutral basis as compared to the prior year quarter. The Frutarom acquisition contributed 41% on a reported basis and 43% on a currency neutral basis. Sales growth reflected the additional sales from our acquisition of Frutarom, as well as new win performance (net of losses) and price increases (principally due to increases in raw material input costs) in Scent.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Segment</w:t>
      </w:r>
    </w:p>
    <w:p>
      <w:pPr>
        <w:spacing w:after="0" w:line="200" w:lineRule="exact"/>
        <w:rPr>
          <w:sz w:val="20"/>
          <w:szCs w:val="20"/>
          <w:color w:val="auto"/>
        </w:rPr>
      </w:pPr>
    </w:p>
    <w:p>
      <w:pPr>
        <w:spacing w:after="0" w:line="246"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 Change in Sales - Second Quarter 2019 vs. Second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Reported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Currency Neutral</w:t>
            </w:r>
          </w:p>
        </w:tc>
      </w:tr>
      <w:tr>
        <w:trPr>
          <w:trHeight w:val="270"/>
        </w:trPr>
        <w:tc>
          <w:tcPr>
            <w:tcW w:w="77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Taste</w:t>
            </w:r>
            <w:r>
              <w:rPr>
                <w:rFonts w:ascii="Arial" w:cs="Arial" w:eastAsia="Arial" w:hAnsi="Arial"/>
                <w:sz w:val="25"/>
                <w:szCs w:val="25"/>
                <w:b w:val="1"/>
                <w:bCs w:val="1"/>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shd w:val="clear" w:color="auto" w:fill="CCEEFF"/>
          </w:tcPr>
          <w:p>
            <w:pPr>
              <w:spacing w:after="0"/>
              <w:rPr>
                <w:sz w:val="23"/>
                <w:szCs w:val="23"/>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Scent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4 %</w:t>
            </w:r>
          </w:p>
        </w:tc>
      </w:tr>
      <w:tr>
        <w:trPr>
          <w:trHeight w:val="27"/>
        </w:trPr>
        <w:tc>
          <w:tcPr>
            <w:tcW w:w="59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Frutarom</w:t>
            </w:r>
          </w:p>
        </w:tc>
        <w:tc>
          <w:tcPr>
            <w:tcW w:w="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N/A</w:t>
            </w:r>
          </w:p>
        </w:tc>
        <w:tc>
          <w:tcPr>
            <w:tcW w:w="27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N/A</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40 %</w:t>
            </w:r>
          </w:p>
        </w:tc>
        <w:tc>
          <w:tcPr>
            <w:tcW w:w="1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45 %</w:t>
            </w:r>
          </w:p>
        </w:tc>
      </w:tr>
      <w:tr>
        <w:trPr>
          <w:trHeight w:val="243"/>
        </w:trPr>
        <w:tc>
          <w:tcPr>
            <w:tcW w:w="59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r>
    </w:tbl>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2019 period.</w:t>
      </w:r>
    </w:p>
    <w:p>
      <w:pPr>
        <w:spacing w:after="0" w:line="9" w:lineRule="exact"/>
        <w:rPr>
          <w:rFonts w:ascii="Arial" w:cs="Arial" w:eastAsia="Arial" w:hAnsi="Arial"/>
          <w:sz w:val="16"/>
          <w:szCs w:val="16"/>
          <w:color w:val="auto"/>
        </w:rPr>
      </w:pPr>
    </w:p>
    <w:p>
      <w:pPr>
        <w:ind w:left="420" w:right="20" w:hanging="412"/>
        <w:spacing w:after="0" w:line="261"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8"/>
          <w:szCs w:val="18"/>
          <w:color w:val="auto"/>
        </w:rPr>
        <w:t>2019 Taste sales do not include approximately $0.5 million of third party sales transferred to Frutarom effective the beginning of the year. Adjusting for this transfer would result in the currency neutral Taste performance being flat for the quarter as compared to the prior year.</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Taste</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Taste sales in 2019 decreased 4% on a reported basis and 1% on a currency neutral basis versus the prior year period. Performance was primarily driven by volume reductions on existing business which was partially offset by new wins (net of losses).</w:t>
      </w:r>
    </w:p>
    <w:p>
      <w:pPr>
        <w:spacing w:after="0" w:line="116"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On a currency neutral basis, GA had mid-single digit growth primarily driven by new win performance (net of losses), followed by flat growth in EAME with sales declining in NOAM and LA.</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Scent</w:t>
      </w:r>
    </w:p>
    <w:p>
      <w:pPr>
        <w:spacing w:after="0" w:line="17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Scent sales in 2019 increased 1% on a reported basis and 4% on a currency neutral basis. Sales growth primarily reflected new win performance (net of losses) and price increases (principally due to increases in raw material input costs), which were partially offset by volume reductions on existing business.</w:t>
      </w:r>
    </w:p>
    <w:p>
      <w:pPr>
        <w:spacing w:after="0" w:line="70"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Sales growth in the Scent business unit was led by Ingredients, which were primarily driven by price increases (principally due to increases in raw material input costs), followed by Consumer Fragrances, primarily driven by new win performance (net of losses) and price increases.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Frutarom</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Frutarom sales in 2019 were $382 million, which included approximately $295 million in sales of Flavor Compounds and approximately $87 million in sales of Ingredient product categories.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Cost of goods sold, as a percentage of sales, increased 100 bps to 57.7% in the second quarter of 2019 compared to 56.7% in the second quarter of 2018, principally driven by higher raw material costs as a percentage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Overall R&amp;D expenses, as a percentage of sales, decreased to 6.6% in the second quarter of 2019 versus 8.1% in the second quarter of 2018. The decrease as a percentage of sales in 2019 was principally due to lower R&amp;D expenses in our Frutarom segment as a percentage of sales.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S&amp;A expenses increased $52.7 million to $210.1 million, or 16.3% as a percentage of sales, in the second quarter of 2019 compared to $157.4 million, or 17.1% as a percentage of sales, in the second quarter of 2018.</w:t>
      </w:r>
    </w:p>
    <w:p>
      <w:pPr>
        <w:spacing w:after="0" w:line="3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Included in 2019 was $11.0 million of integration related costs and $1.4 million of Frutarom acquisition related costs, and included in 2018 was $12.5 million of Frutarom acquisition related costs. Excluding these costs, adjusted S&amp;A expense increased by $55.5 million, but decreased to 15.5% of sales in 2019 compared to 15.8% of sales in 2018. The slight decrease is due to a decline in personnel related costs and the impact of our acquisition of Frutarom.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Frutarom Integration Initiative</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connection with the acquisition of Frutarom, we began to execute an integration plan that, among other initiatives, seeks to optimize its manufacturing network. As part of the Frutarom Integration Initiative, we expect to close approximately 35 manufacturing sites over the next two years with most of the closures targeted to occur before the end of fiscal 2020. During the three months ended June 30, 2019, we announced the closure of four facilities in Europe, Africa and Middle East, one facility in North America and one in Greater Asia and incurred $2.5 million of costs comprising of severance, contract termination and relocation.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Amortization expenses increased to $47.9 million in the second quarter of 2019 compared to $9.6 million in the second quarter of 2018 principally due to the acquisition of Frutarom.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11 to the Consolidated Financial Statements) and certain non-recurring items, net; Interest expense; Other (expense) income, net; and Taxes on income. See Note 9 to the Consolidated Financial Statements for the reconciliation to Income before taxes.</w:t>
      </w:r>
    </w:p>
    <w:p>
      <w:pPr>
        <w:spacing w:after="0" w:line="89"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34290</wp:posOffset>
            </wp:positionV>
            <wp:extent cx="2178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4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98,081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109,605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80,780</w:t>
            </w:r>
          </w:p>
        </w:tc>
      </w:tr>
      <w:tr>
        <w:trPr>
          <w:trHeight w:val="243"/>
        </w:trPr>
        <w:tc>
          <w:tcPr>
            <w:tcW w:w="40" w:type="dxa"/>
            <w:vAlign w:val="bottom"/>
          </w:tcPr>
          <w:p>
            <w:pPr>
              <w:spacing w:after="0"/>
              <w:rPr>
                <w:sz w:val="21"/>
                <w:szCs w:val="21"/>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37,493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Global expenses</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(20,572)</w:t>
            </w: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(11,417)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(993)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Losses on Sale of Assets</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(1,264)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w:t>
            </w:r>
          </w:p>
        </w:tc>
        <w:tc>
          <w:tcPr>
            <w:tcW w:w="3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(12,455)</w:t>
            </w:r>
          </w:p>
        </w:tc>
      </w:tr>
      <w:tr>
        <w:trPr>
          <w:trHeight w:val="237"/>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199,937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154,509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Taste</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Scent</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40" w:type="dxa"/>
            <w:vAlign w:val="bottom"/>
          </w:tcPr>
          <w:p>
            <w:pPr>
              <w:spacing w:after="0"/>
              <w:rPr>
                <w:sz w:val="21"/>
                <w:szCs w:val="21"/>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Frutarom</w:t>
            </w: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67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0" w:type="dxa"/>
            <w:vAlign w:val="bottom"/>
          </w:tcPr>
          <w:p>
            <w:pPr>
              <w:jc w:val="right"/>
              <w:ind w:right="207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823" w:right="259" w:bottom="1440" w:gutter="0" w:footer="0" w:header="0"/>
        </w:sectPr>
      </w:pPr>
    </w:p>
    <w:bookmarkStart w:id="34" w:name="page35"/>
    <w:bookmarkEnd w:id="34"/>
    <w:p>
      <w:pPr>
        <w:ind w:left="220"/>
        <w:spacing w:after="0"/>
        <w:rPr>
          <w:sz w:val="20"/>
          <w:szCs w:val="20"/>
          <w:color w:val="auto"/>
        </w:rPr>
      </w:pPr>
      <w:r>
        <w:rPr>
          <w:rFonts w:ascii="Arial" w:cs="Arial" w:eastAsia="Arial" w:hAnsi="Arial"/>
          <w:sz w:val="18"/>
          <w:szCs w:val="18"/>
          <w:b w:val="1"/>
          <w:bCs w:val="1"/>
          <w:i w:val="1"/>
          <w:iCs w:val="1"/>
          <w:color w:val="auto"/>
        </w:rPr>
        <w:t>Taste Segment Profit</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Taste segment profit decreased $11.5 million to $98.1 million in the second quarter of 2019 (22.6% of segment sales) from $109.6 million (24.3% of sales) in the comparable 2018 period. The decrease principally reflected the impact of unfavorable price versus input costs, product mix and volume reductions on existing business, partially offset by the impact of cost savings and productivity initiatives.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Scent Segment Profit</w:t>
      </w:r>
    </w:p>
    <w:p>
      <w:pPr>
        <w:spacing w:after="0" w:line="90"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Scent segment profit increased $10.5 million to $91.2 million in the second quarter of 2019 (19.2% of segment sales) from $80.8 million (17.2% of sales) in the comparable 2018 period. Segment profit as a percentage of sales included the impact of cost savings and productivity initiatives and price to input costs (including the net impact of the BASF supply chain disruption), partially offset by unfavorable foreign exchange rates.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Frutarom Segment Profit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Frutarom segment profit was 9.8% of segment sales in the second quarter of 2019.</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second quarter of 2019, Global expenses were $12.9 million compared to $20.6 million during the second quarter of 2018. The decrease was principally driven by gains from our currency hedging program, and to a lesser extent, higher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Interest expense decreased to $32.6 million in the second quarter of 2019 compared to $53.2 million in the 2018 period driven by $35.7 million of financing fees incurred in the second quarter of 2018 in connection with the acquisition of Frutarom.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effective tax rate for the three months ended June 30, 2019 was 18.1% compared with 18.7% for the three months ended June 30, 2018. The quarter-over-quarter decrease was largely due to a more favorable mix of earnings (including the impact of integration related costs, restructuring charges and Frutarom acquisition related costs), partially offset by higher repatriation costs and the absence of the remeasurement of loss provisions which benefited the second quarter of 2018.</w:t>
      </w:r>
    </w:p>
    <w:p>
      <w:pPr>
        <w:spacing w:after="0" w:line="5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Excluding the $3.4 million tax benefit associated with the pre-tax operational improvement initiatives, integration related costs, restructuring and other charges, net, losses on sale of assets, and Frutarom acquisition related costs, the adjusted effective tax rate for three months ended June 30, 2019 was 18.5%. Excluding the $7.0 million tax benefit associated with the pre-tax operational improvement initiatives, acquisition related costs, integration related costs, restructuring and other charges, net, losses on sale of assets, and Frutarom acquisition related costs, the adjusted effective tax rate for the second quarter of 2018 was 18.4%. The year-over-year increase in the adjusted tax rate was largely due to higher repatriation costs and the absence of the remeasurement of loss provisions which benefited the second quarter of 2018, partially offset by a more favorable mix of earnings.</w:t>
      </w:r>
    </w:p>
    <w:p>
      <w:pPr>
        <w:spacing w:after="0" w:line="107"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u w:val="single" w:color="auto"/>
          <w:color w:val="auto"/>
        </w:rPr>
        <w:t xml:space="preserve">FIRST SIX MONTHS 2019 IN COMPARISON TO FIRST SIX MONTHS 2018 </w:t>
      </w:r>
      <w:r>
        <w:rPr>
          <w:rFonts w:ascii="Arial" w:cs="Arial" w:eastAsia="Arial" w:hAnsi="Arial"/>
          <w:sz w:val="18"/>
          <w:szCs w:val="18"/>
          <w:b w:val="1"/>
          <w:bCs w:val="1"/>
          <w:color w:val="auto"/>
        </w:rPr>
        <w:t>Sales</w:t>
      </w:r>
    </w:p>
    <w:p>
      <w:pPr>
        <w:spacing w:after="0" w:line="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Sales for the first six months of 2019 totaled $2.6 billion, an increase of 40% from the 2018 period. On a currency neutral basis sales increased 44%. The Frutarom acquisition contributed 40% on a reported basis and 41% on a currency neutral basis. Sales growth reflected the additional sales from our acquisition of Frutarom, as well as new win performance (net of losses) and price increases (principally due to increases in raw material input costs) in Scent.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584" w:right="29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b w:val="1"/>
          <w:bCs w:val="1"/>
          <w:i w:val="1"/>
          <w:iCs w:val="1"/>
          <w:color w:val="auto"/>
        </w:rPr>
        <w:t>Sales Performance by Segment</w:t>
      </w:r>
    </w:p>
    <w:p>
      <w:pPr>
        <w:spacing w:after="0" w:line="392"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 Change in Sales - First Six Months 2019 vs. First Six Months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23495</wp:posOffset>
            </wp:positionV>
            <wp:extent cx="3490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Reported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Currency Neutral</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Taste</w:t>
            </w:r>
          </w:p>
        </w:tc>
        <w:tc>
          <w:tcPr>
            <w:tcW w:w="19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b w:val="1"/>
                <w:bCs w:val="1"/>
                <w:color w:val="auto"/>
              </w:rPr>
              <w:t>Scent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
        </w:trPr>
        <w:tc>
          <w:tcPr>
            <w:tcW w:w="5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7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Frutarom</w:t>
            </w:r>
          </w:p>
        </w:tc>
        <w:tc>
          <w:tcPr>
            <w:tcW w:w="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N/A</w:t>
            </w:r>
          </w:p>
        </w:tc>
        <w:tc>
          <w:tcPr>
            <w:tcW w:w="2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N/A</w:t>
            </w:r>
          </w:p>
        </w:tc>
      </w:tr>
      <w:tr>
        <w:trPr>
          <w:trHeight w:val="243"/>
        </w:trPr>
        <w:tc>
          <w:tcPr>
            <w:tcW w:w="7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40 %</w:t>
            </w:r>
          </w:p>
        </w:tc>
        <w:tc>
          <w:tcPr>
            <w:tcW w:w="10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44%</w:t>
            </w: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2019 period.</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Taste</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Taste sales in 2019 decreased 2% on a reported basis and increased 1% on a currency neutral basis versus the prior year period. Overall growth was primarily driven by new win performance (net of losses) partially offset by volume reductions on existing business.</w:t>
      </w:r>
    </w:p>
    <w:p>
      <w:pPr>
        <w:spacing w:after="0" w:line="116"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On a currency neutral basis, Taste sales growth was driven by mid-single digit growth in GA followed by EAME, primarily driven by new win performance (net of losses), with sales flat in NOAM and declining in LA.</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Scent</w:t>
      </w:r>
    </w:p>
    <w:p>
      <w:pPr>
        <w:spacing w:after="0" w:line="17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Scent sales in 2019 increased 1% on a reported basis and 4% on a currency neutral basis. 2019 sales growth reflected new win performance (net of losses) and price increases (principally due to increases in raw material input costs), which were partially offset by volume reductions on existing business.</w:t>
      </w:r>
    </w:p>
    <w:p>
      <w:pPr>
        <w:spacing w:after="0" w:line="7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Sales growth in the Scent business unit was led by Fine Fragrances followed by Consumer Fragrances, which were primarily driven by new win performance (net of losses) partially offset by volume reductions on existing business.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Frutarom</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Frutarom sales in 2019 were $746.2 million, which included approximately $570.7 million in sales of Flavor Compounds and approximately $175.5 million in sales of Ingredient product categories.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17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Cost of goods sold, as a percentage of sales, increased 190 bps to 58.4% in the first six months of 2019 compared to 56.5% in the 2018 period, principally driven by higher raw material costs as a percentage of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175"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Overall R&amp;D expenses, as a percentage of sales, decreased to 6.8% in the first six months of 2019 versus 8.3% in the 2018 period. The decrease as a percentage of sales in 2019 was principally due to lower R&amp;D expenses in our Frutarom segment as a percentage of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17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the first six months of 2019, S&amp;A expenses increased to $423.3 million from $300.1 million, and 16.3% as a percentage of sales, in the 2019 period compared to 16.2% in the 2018 period. The $123.2 million increase was principally due to the addition of the Frutarom business as well as expenses of $25.6 million related to the integration of our Frutarom acquisition. Excluding this expense and $0.2 million of Frutarom acquisition related costs in 2019, as well as $11.9 million of acquisition and Frutarom acquisition related costs in 2018, adjusted S&amp;A expenses increased by $109.3 million, which was 15.4% as a percentage of sales in the 2019 period compared to 15.6% as a percentage of sales in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Frutarom Integration Initiative</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part of the Frutarom Integration Initiative, we expect to close approximately 35 manufacturing sites over the next two years with most of the closures targeted to occur before the end of fiscal 2020. During the six months ended June 30, 2019, we announced the closure of four facilities in Europe, Africa and Middle East, one facility in North America and one in Greater Asia and incurred $5.1 million of costs, of which $1.5 million was for severance and the remainder comprising costs such as contract termination and relocation.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Severance Charges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2019, we incurred severance charges of $13.6 million related to approximately 190 headcount reductions, excluding those previously mentioned under the Frutarom Integration Initiative. The headcount reductions primarily related to the Scent business unit with additional amounts related to headcount reductions in all business units associated with the establishment of a new shared service center in Europe. We made payments of $3.6 million related to personnel costs during the six months ended June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2017 Productivity Program, we recorded $24.5 million of charges related to personnel costs and lease termination costs through 2019. We made payments of $0.6 million and $4.5 million related to personnel costs during the six months ended June 30, 2019 and 2018, as well as lease termination costs for June 30,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Amortization expenses increased to $95.5 million in the first six months of 2019 compared to $18.8 million in the 2018 period. The increase was principally driven by the impact of the Frutarom acquisition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17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11 to the Consolidated Financial Statements) and certain non-recurring items, net, Interest expense, Other (expense) income, net and Taxes on income. See Note 11 to the Consolidated Financial Statements for the reconciliation to Income before taxes.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Taste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206,536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221,169</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Scent</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177,059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174,056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Frutarom</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66,584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(31,559)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(44,398)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Related Costs</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(18,699)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Sale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FDA Mandated Product Recall</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363,807</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329,363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Taste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Scent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Frutarom</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Taste Segment Profit</w:t>
      </w:r>
    </w:p>
    <w:p>
      <w:pPr>
        <w:spacing w:after="0" w:line="17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Taste segment profit decreased to $206.5 million in the first six months of 2019, or 23.5% as a percentage of sales, compared to $221.2 million, or 24.6% as a percentage of sales, in the comparable 2018 period. The decrease in segment profit principally reflected the impact of unfavorable price versus input costs.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Scent Segment Profit</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Scent segment profit increased to $177.1 million in the first six months of 2019 compared to $174.1 million in the comparable 2018 period. Scent segment profit as a percentage of sales increased to 18.4% in the first six months of 2019 compared to 18.3% in the comparable 2018 period. Segment profit as a percentage of sales included the benefit of cost savings and productivity initiatives, partially offset by the impact of unfavorable price versus input costs (including the net impact of the BASF supply chain disruption).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six months of 2019, Global expenses were $31.6 million compared to $44.4 million during the first six months of 2018. The decrease was principally driven by gains from our currency hedging program, and to a lesser extent, higher incentive compensation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Interest expense decreased to $69.2 million in the first six months of 2019 compared to $69.8 million in the 2018 period, primarily driven by $35.7 million of financing fees incurred in the second quarter of 2018 in connection with the acquisition of Frutarom, which was partially offset by increased borrowings issued in the third quarter of 2018 to finance the acquisition of Frutarom. Average cost of debt was 2.9% for the 2019 period compared to 3.9% for the 2018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Other (income) expense, net decreased by $11.8 million to $9.4 million of income in the first six months of 2019 versus $21.2 million of income in the comparable 2018 period. The year-over-year decrease was primarily driven by an $11.0 million mark-to-market adjustment on a foreign currency derivative entered into in connection with the pending acquisition of Frutarom, which was recorded in Other income, net for the six months ended 2018.</w:t>
      </w:r>
    </w:p>
    <w:p>
      <w:pPr>
        <w:sectPr>
          <w:pgSz w:w="11900" w:h="16838" w:orient="portrait"/>
          <w:cols w:equalWidth="0" w:num="1">
            <w:col w:w="11400"/>
          </w:cols>
          <w:pgMar w:left="240" w:top="904" w:right="2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904" w:right="2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effective tax rate for the six months ended June 30, 2019 was 17.8% compared with 18.6% for the six months ended June 30, 2018. The year-over-year decrease was largely due to a more favorable mix of earnings (including the impact of integration related costs, restructuring charges and Frutarom acquisition relates costs), partially offset by higher repatriation costs and the absence of the remeasurement of loss provisions which benefited 2018.</w:t>
      </w:r>
    </w:p>
    <w:p>
      <w:pPr>
        <w:spacing w:after="0" w:line="12" w:lineRule="exact"/>
        <w:rPr>
          <w:sz w:val="20"/>
          <w:szCs w:val="20"/>
          <w:color w:val="auto"/>
        </w:rPr>
      </w:pPr>
    </w:p>
    <w:p>
      <w:pPr>
        <w:jc w:val="both"/>
        <w:ind w:right="20" w:firstLine="432"/>
        <w:spacing w:after="0" w:line="334" w:lineRule="auto"/>
        <w:rPr>
          <w:sz w:val="20"/>
          <w:szCs w:val="20"/>
          <w:color w:val="auto"/>
        </w:rPr>
      </w:pPr>
      <w:r>
        <w:rPr>
          <w:rFonts w:ascii="Arial" w:cs="Arial" w:eastAsia="Arial" w:hAnsi="Arial"/>
          <w:sz w:val="16"/>
          <w:szCs w:val="16"/>
          <w:color w:val="auto"/>
        </w:rPr>
        <w:t>Excluding the $12.4 million tax benefit associated with the pre-tax operational improvement initiatives, integration related costs, restructuring and other charges, net, losses on sale of assets, and Frutarom acquisition related costs, the adjusted effective tax rate for the six months ended June 30, 2019 was 18.5%.</w:t>
      </w:r>
    </w:p>
    <w:p>
      <w:pPr>
        <w:spacing w:after="0" w:line="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the six months of 2018, the adjusted tax rate was 18.4% excluding the $7.9 million tax benefit associated with the pre-tax restructuring, operational improvement initiatives, losses on sales of fixed assets, FDA mandated product recall costs and Frutarom acquisition related costs, which were partially offset by the tax charge associated with acquisition-related costs and the impact of the U.S. tax reform. The year-over-year increase was largely due to higher repatriation costs and the absence of the remeasurement of loss provisions which benefited 2018, partially offset by a more favorable mix of earnings.</w:t>
      </w:r>
    </w:p>
    <w:p>
      <w:pPr>
        <w:spacing w:after="0" w:line="96"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had cash and cash equivalents of $426.7 million at June 30, 2019 compared to $634.9 million at December 31, 2018, of which $370.8 million of the balance at June 30, 2019 was held outside the United States. Cash balances held in foreign jurisdictions are, in most circumstances, available to be repatriated to the United States.</w:t>
      </w:r>
    </w:p>
    <w:p>
      <w:pPr>
        <w:spacing w:after="0" w:line="12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Effective utilization of the cash generated by our international operations is a critical component of our strategy. We regularly repatriate cash from our non-U.S. subsidiaries to fund financial obligations in the U.S. As we repatriate these funds to the U.S. we will be required to pay income taxes in certain U.S. states and applicable foreign withholding taxes during the period when such repatriation occurs. Accordingly, as of June 30, 2019, we have a deferred tax liability of $85.8 million for the effect of repatriating the funds to the U.S. This balance consists of $42.1 million attributable to IFF non-U.S. subsidiaries, and $43.7 million associated with Frutarom which is still preliminary and will be refined through the purchase accounting measurement period.</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Restricted cash of $28.1 million relates to amounts escrowed related to certain payments to be made to former Frutarom option holders in future periods and amounts escrowed in connection with guarantees of purchases, principally of land.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7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Cash flows provided by operations for the six months ended June 30, 2019 was $184.9 million or 7.1% of sales, compared to cash provided by operations of $55.2 million or 3.0% of sales for the six months ended June 30, 2018. The increase in cash provided by operating activities during 2019 was principally driven by higher earnings, product recall claim settlements in the prior year, and slightly higher cash inflows related to working capital in the current year.</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Working capital (current assets less current liabilities) totaled $1.8 billion at June 30, 2019 and December 31, 2018.</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increased $24.0 million for the six months ended June 30, 2019 compared to a decrease of $25.5 million for the six months ended June 30, 2018. The cost of participating in these programs was immaterial to our results in all periods.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investing activities during the first six months of 2019 used $146.2 million compared to $69.5 million in the prior year period. Additions to property, plant and equipment were $119.1 million during the first six months of 2019 compared to $67.4 million in the first six months of 2018. The increase in cash used in investing activities during 2019 was further driven by acquisition activities in the current year, which were offset by proceeds from the disposal of assets related to site closures and restructuring initiatives.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9" w:name="page40"/>
    <w:bookmarkEnd w:id="39"/>
    <w:p>
      <w:pPr>
        <w:ind w:right="100" w:firstLine="432"/>
        <w:spacing w:after="0" w:line="264" w:lineRule="auto"/>
        <w:rPr>
          <w:sz w:val="20"/>
          <w:szCs w:val="20"/>
          <w:color w:val="auto"/>
        </w:rPr>
      </w:pPr>
      <w:r>
        <w:rPr>
          <w:rFonts w:ascii="Arial" w:cs="Arial" w:eastAsia="Arial" w:hAnsi="Arial"/>
          <w:sz w:val="18"/>
          <w:szCs w:val="18"/>
          <w:color w:val="auto"/>
        </w:rPr>
        <w:t>In light of our requirement to relocate one of our Fragrance Ingredients facilities in China, the ongoing construction of new facilities in India and Indonesia, and capital requirements to integrate our recently acquired Frutarom business, we expect that capital spending in 2019 will be about 4-5% of sales (net of potential grants and other reimbursements from government authorities).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Frutarom Integration Initiative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expects to incur costs related to the Frutarom Integration Initiative. Initially, integration projects will primarily be focused on driving cost synergies in the manufacturing and creative networks, procurement and overhead functions. Restructuring costs associated with these initiatives are expected to include employee-related cash costs, including severance, retirement and other termination benefits, asset write-offs and contract termination and other costs. In addition, other costs associated with the Frutarom Integration Initiative are expected to include advisory and personnel costs for managing and implementing integration projects.</w:t>
      </w:r>
    </w:p>
    <w:p>
      <w:pPr>
        <w:spacing w:after="0" w:line="13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first six months of 2019, we incurred $5.1 million in costs related to the closure of four sites. The costs principally related to severance and fixed asset write-offs, with the remainder comprising costs such as contract termination and relocation. Additionally, during the first six months of 2019, we recorded $26.3 million in advisory services, retention bonuses and performance stock awards costs related to the integration of the Frutarom acquisition.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used in financing activities in the first six months of 2019 was $234.4 million compared to $24.5 million in the comparable 2018 period, principally driven by decreased borrowings on our revolving credit facility, repayments of debt during the first quarter of 2019, increased dividend payments and contingent consideration paid, which were offset by treasury stock purchases made in the prior year.</w:t>
      </w:r>
    </w:p>
    <w:p>
      <w:pPr>
        <w:spacing w:after="0" w:line="12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paid dividends totaling $155.6 million in the 2019 period. We declared a cash dividend per share of $0.73 in the second quarter of 2019 that was paid on July 5, 2019 to all shareholders of record as of June 24, 2019.</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capital allocation strategy is primarily focused on debt repayment to maintain our investment grade rating. We will also prioritize capital investment in our businesses to support the strategic long term plans. The company is also committed to maintaining its history of paying a dividend to investors determined by our Board of Directors (“Board”) at its discretion based on various factors, and finally will be very selective in pursuing value creating strategic M&amp;A over the near term.</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currently have a board approved stock repurchase program with a total remaining value of $279.7 million. On May 7, 2018, we announced that we were suspending our share repurchases until our deleveraging target is met following our acquisition of Frutarom.</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service repayments. We anticipate that cash flows from operations and availability under our existing credit facilities will be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The revolving credit facility is used as a backstop for our commercial paper program.</w:t>
      </w:r>
    </w:p>
    <w:p>
      <w:pPr>
        <w:spacing w:after="0" w:line="11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expect to contribute a total of $4.2 million to our U.S. pension plans and a total of $19.3 million to our Non-U.S. plans during 2019. During the six months ended June 30, 2019, there were no contributions made to the qualified U.S. pension plans, $8.3 million of contributions were made to the non-U.S. pension plans, and $2.2 million of benefit payments were made with respect to our non-qualified U.S. pension plan. We also expect to contribute $3.9 million to our postretirement benefits other than pension plans during 2019. During the six months ended June 30, 2019, $1.8 million of contributions were made to postretirement benefits other than pension plans.</w:t>
      </w:r>
    </w:p>
    <w:p>
      <w:pPr>
        <w:spacing w:after="0" w:line="13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Amended Credit Facility and Term Loan contain various covenants, limitations and events of default customary for similar facilities for similarly rated borrowers, including the requirement for us to maintain, at the end of each fiscal quarter, a ratio of net debt for borrowed money to adjusted EBITDA in respect of the previous 12-month period, including the pro forma effect of the acquisition of Frutarom, of not more than 4.5 to 1.0, which shall be reduced to 4.25 to 1.0 as of the end of September 30, 2019, 4.0 to 1.0 as of the end of March 31, 2020 and to 3.5 to 1.0 as of the end of March 31,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p>
      <w:pPr>
        <w:ind w:right="120" w:firstLine="432"/>
        <w:spacing w:after="0" w:line="264" w:lineRule="auto"/>
        <w:rPr>
          <w:sz w:val="20"/>
          <w:szCs w:val="20"/>
          <w:color w:val="auto"/>
        </w:rPr>
      </w:pPr>
      <w:r>
        <w:rPr>
          <w:rFonts w:ascii="Arial" w:cs="Arial" w:eastAsia="Arial" w:hAnsi="Arial"/>
          <w:sz w:val="18"/>
          <w:szCs w:val="18"/>
          <w:color w:val="auto"/>
        </w:rPr>
        <w:t>As of June 30, 2019 we had no outstanding borrowings under our $1 billion Amended Credit Facility and $325 million outstanding for the Term Loan. The amount that we are able to draw down under the Amended Credit Facility is limited by financial covenants as described in more detail below. As of June 30, 2019, our draw down capacity was $978 million under the Amended Credit Facility.</w:t>
      </w:r>
    </w:p>
    <w:p>
      <w:pPr>
        <w:spacing w:after="0" w:line="127" w:lineRule="exact"/>
        <w:rPr>
          <w:sz w:val="20"/>
          <w:szCs w:val="20"/>
          <w:color w:val="auto"/>
        </w:rPr>
      </w:pPr>
    </w:p>
    <w:p>
      <w:pPr>
        <w:ind w:right="80" w:firstLine="432"/>
        <w:spacing w:after="0" w:line="252" w:lineRule="auto"/>
        <w:rPr>
          <w:sz w:val="20"/>
          <w:szCs w:val="20"/>
          <w:color w:val="auto"/>
        </w:rPr>
      </w:pPr>
      <w:r>
        <w:rPr>
          <w:rFonts w:ascii="Arial" w:cs="Arial" w:eastAsia="Arial" w:hAnsi="Arial"/>
          <w:sz w:val="17"/>
          <w:szCs w:val="17"/>
          <w:color w:val="auto"/>
        </w:rPr>
        <w:t>At June 30, 2019, we were in compliance with all financial and other covenants, including the net debt to adjusted EBITDA ratio. At June 30, 2019 our Net Debt/adjusted EBITDA</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was 3.63 to 1.0 as defined by the credit facility agreements,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right="120" w:hanging="412"/>
        <w:spacing w:after="0" w:line="254" w:lineRule="auto"/>
        <w:tabs>
          <w:tab w:leader="none" w:pos="4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Twelve Months Ended June 30,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Net income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i w:val="1"/>
                <w:iCs w:val="1"/>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350.1</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Interest expense</w:t>
            </w:r>
          </w:p>
        </w:tc>
        <w:tc>
          <w:tcPr>
            <w:tcW w:w="1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i w:val="1"/>
                <w:iCs w:val="1"/>
                <w:color w:val="auto"/>
              </w:rPr>
              <w:t>137.2</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118.3</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Depreciation and amortization</w:t>
            </w:r>
          </w:p>
        </w:tc>
        <w:tc>
          <w:tcPr>
            <w:tcW w:w="1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i w:val="1"/>
                <w:iCs w:val="1"/>
                <w:color w:val="auto"/>
              </w:rPr>
              <w:t>281.7</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84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Specified items </w:t>
            </w:r>
            <w:r>
              <w:rPr>
                <w:rFonts w:ascii="Arial" w:cs="Arial" w:eastAsia="Arial" w:hAnsi="Arial"/>
                <w:sz w:val="25"/>
                <w:szCs w:val="25"/>
                <w:i w:val="1"/>
                <w:iCs w:val="1"/>
                <w:color w:val="auto"/>
                <w:vertAlign w:val="superscript"/>
              </w:rPr>
              <w:t>(1)</w:t>
            </w:r>
          </w:p>
        </w:tc>
        <w:tc>
          <w:tcPr>
            <w:tcW w:w="1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206.9</w:t>
            </w:r>
          </w:p>
        </w:tc>
      </w:tr>
      <w:tr>
        <w:trPr>
          <w:trHeight w:val="270"/>
        </w:trPr>
        <w:tc>
          <w:tcPr>
            <w:tcW w:w="84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Non-cash items </w:t>
            </w:r>
            <w:r>
              <w:rPr>
                <w:rFonts w:ascii="Arial" w:cs="Arial" w:eastAsia="Arial" w:hAnsi="Arial"/>
                <w:sz w:val="25"/>
                <w:szCs w:val="25"/>
                <w:i w:val="1"/>
                <w:iCs w:val="1"/>
                <w:color w:val="auto"/>
                <w:vertAlign w:val="superscript"/>
              </w:rPr>
              <w:t>(2)</w:t>
            </w:r>
          </w:p>
        </w:tc>
        <w:tc>
          <w:tcPr>
            <w:tcW w:w="1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31.2</w:t>
            </w:r>
          </w:p>
        </w:tc>
      </w:tr>
      <w:tr>
        <w:trPr>
          <w:trHeight w:val="269"/>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i w:val="1"/>
                <w:iCs w:val="1"/>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1,125.4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420" w:hanging="332"/>
        <w:spacing w:after="0" w:line="274" w:lineRule="auto"/>
        <w:tabs>
          <w:tab w:leader="none" w:pos="34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Specified items for the 12 months ended June 30, 2019 of $206.9 million, consisted of operational improvement initiatives, acquisition related costs, integration related costs, restructuring and other charges, net, FDA mandated product recall, and Frutarom acquisition related costs.</w:t>
      </w:r>
    </w:p>
    <w:p>
      <w:pPr>
        <w:ind w:left="340" w:right="120" w:hanging="332"/>
        <w:spacing w:after="0" w:line="261"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9"/>
                <w:szCs w:val="19"/>
                <w:color w:val="auto"/>
              </w:rPr>
            </w:pPr>
          </w:p>
        </w:tc>
        <w:tc>
          <w:tcPr>
            <w:tcW w:w="2420" w:type="dxa"/>
            <w:vAlign w:val="bottom"/>
          </w:tcPr>
          <w:p>
            <w:pPr>
              <w:jc w:val="right"/>
              <w:ind w:right="870"/>
              <w:spacing w:after="0"/>
              <w:rPr>
                <w:sz w:val="20"/>
                <w:szCs w:val="20"/>
                <w:color w:val="auto"/>
              </w:rPr>
            </w:pPr>
            <w:r>
              <w:rPr>
                <w:rFonts w:ascii="Arial" w:cs="Arial" w:eastAsia="Arial" w:hAnsi="Arial"/>
                <w:sz w:val="18"/>
                <w:szCs w:val="18"/>
                <w:b w:val="1"/>
                <w:bCs w:val="1"/>
                <w:color w:val="auto"/>
              </w:rPr>
              <w:t>June 30,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Total debt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4,512.9</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Adjustments:</w:t>
            </w:r>
          </w:p>
        </w:tc>
        <w:tc>
          <w:tcPr>
            <w:tcW w:w="54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Cash and cash equivalents</w:t>
            </w:r>
          </w:p>
        </w:tc>
        <w:tc>
          <w:tcPr>
            <w:tcW w:w="5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426.7</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4,086.2</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As discussed in Note 15 to the Consolidated Financial Statements, at June 30, 2019,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these arrangements are not reasonably likely to have a material impact on our consolidated financial condition,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Please refer to Note 1 to the Consolidated Financial Statements for a discussion of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use non-GAAP financial measures in this Form 10-Q, including: (i) currency neutral sales, (ii) adjusted gross margin, (iii) adjusted operating profit and adjusted operating margin, (iv) adjusted selling and administrative expenses, and (v) adjusted effective tax rate. We also provide the non-GAAP measures adjusted EBITDA and net debt solely for the purpose of providing information on the extent to which the Company is in compliance with debt covenants contained in its debt agreements. Our non-GAAP financial measures are defined below.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ind w:right="160" w:firstLine="432"/>
        <w:spacing w:after="0" w:line="293" w:lineRule="auto"/>
        <w:rPr>
          <w:sz w:val="20"/>
          <w:szCs w:val="20"/>
          <w:color w:val="auto"/>
        </w:rPr>
      </w:pPr>
      <w:r>
        <w:rPr>
          <w:rFonts w:ascii="Arial" w:cs="Arial" w:eastAsia="Arial" w:hAnsi="Arial"/>
          <w:sz w:val="16"/>
          <w:szCs w:val="16"/>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Currency Neutral metrics eliminate the effects that result from translating international currency to U.S. dollars. We calculate currency neutral numbers by comparing current year results to the prior year results restated at exchange rates in effect for the current year based on the currency of the underlying transaction.</w:t>
      </w:r>
    </w:p>
    <w:p>
      <w:pPr>
        <w:spacing w:after="0" w:line="4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Adjusted gross margin exclude operational improvement initiatives, integration related costs, FDA mandated product recall, and Frutarom acquisition related costs),</w:t>
      </w:r>
    </w:p>
    <w:p>
      <w:pPr>
        <w:spacing w:after="0" w:line="35"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Adjusted operating profit and adjusted operating margin exclude operational improvement initiatives, acquisition related costs, integration related costs, restructuring and other charges, net, losses on sale of assets, FDA mandated product recall, and Frutarom acquisition related costs</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Adjusted selling and administrative expenses exclude acquisition related costs, integration related costs, and Frutarom acquisition related costs.</w:t>
      </w:r>
    </w:p>
    <w:p>
      <w:pPr>
        <w:spacing w:after="0" w:line="102" w:lineRule="exact"/>
        <w:rPr>
          <w:sz w:val="20"/>
          <w:szCs w:val="20"/>
          <w:color w:val="auto"/>
        </w:rPr>
      </w:pPr>
    </w:p>
    <w:p>
      <w:pPr>
        <w:ind w:right="640" w:firstLine="432"/>
        <w:spacing w:after="0" w:line="308" w:lineRule="auto"/>
        <w:rPr>
          <w:sz w:val="20"/>
          <w:szCs w:val="20"/>
          <w:color w:val="auto"/>
        </w:rPr>
      </w:pPr>
      <w:r>
        <w:rPr>
          <w:rFonts w:ascii="Arial" w:cs="Arial" w:eastAsia="Arial" w:hAnsi="Arial"/>
          <w:sz w:val="17"/>
          <w:szCs w:val="17"/>
          <w:color w:val="auto"/>
        </w:rPr>
        <w:t>Adjusted effective tax rate exclude operational improvement initiatives, acquisition related costs, restructuring and other charges, net, Frutarom acquisition related costs, integration related costs, gains on sales of assets, FDA mandated product recall, and U.S. tax reform).</w:t>
      </w:r>
    </w:p>
    <w:p>
      <w:pPr>
        <w:spacing w:after="0" w:line="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Debt to Combined Adjusted EBITDA is the leverage ratio used in our credit agreement and defined as Net Debt (which is long-term debt less cash and cash equivalents) divided by Combined Adjusted EBITDA. However, as Adjusted EBITDA for these purposes were calculated in accordance with the provisions of the credit agreement, it may differ from the calculation used for other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Three Months Ended June 30,</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546,239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398,717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(b)</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546,938</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399,120</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57"/>
        </w:trPr>
        <w:tc>
          <w:tcPr>
            <w:tcW w:w="4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28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157,407</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(b)</w:t>
            </w:r>
          </w:p>
        </w:tc>
        <w:tc>
          <w:tcPr>
            <w:tcW w:w="2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 (d)</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2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200,490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144,956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41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12"/>
          </w:tcPr>
          <w:p>
            <w:pPr>
              <w:ind w:left="36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28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04"/>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199,937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154,509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000" w:type="dxa"/>
            <w:vAlign w:val="bottom"/>
            <w:gridSpan w:val="4"/>
          </w:tcPr>
          <w:p>
            <w:pPr>
              <w:ind w:left="20"/>
              <w:spacing w:after="0"/>
              <w:rPr>
                <w:sz w:val="20"/>
                <w:szCs w:val="20"/>
                <w:color w:val="auto"/>
              </w:rPr>
            </w:pPr>
            <w:r>
              <w:rPr>
                <w:rFonts w:ascii="Arial" w:cs="Arial" w:eastAsia="Arial" w:hAnsi="Arial"/>
                <w:sz w:val="18"/>
                <w:szCs w:val="18"/>
                <w:color w:val="auto"/>
                <w:w w:val="95"/>
              </w:rPr>
              <w:t>Operational Improvement Initiatives (a)</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84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(b)</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11,417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0"/>
              </w:rPr>
              <w:t>Restructuring and Other Charges, net (c)</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2,525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840" w:type="dxa"/>
            <w:vAlign w:val="bottom"/>
            <w:gridSpan w:val="3"/>
          </w:tcPr>
          <w:p>
            <w:pPr>
              <w:ind w:left="20"/>
              <w:spacing w:after="0"/>
              <w:rPr>
                <w:sz w:val="20"/>
                <w:szCs w:val="20"/>
                <w:color w:val="auto"/>
              </w:rPr>
            </w:pPr>
            <w:r>
              <w:rPr>
                <w:rFonts w:ascii="Arial" w:cs="Arial" w:eastAsia="Arial" w:hAnsi="Arial"/>
                <w:sz w:val="18"/>
                <w:szCs w:val="18"/>
                <w:color w:val="auto"/>
              </w:rPr>
              <w:t>Losses on Sale of Assets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0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5"/>
              </w:rPr>
              <w:t>Frutarom Acquisition Related Costs (d)</w:t>
            </w: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w w:val="90"/>
              </w:rPr>
              <w:t>12,455</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2840" w:type="dxa"/>
            <w:vAlign w:val="bottom"/>
            <w:gridSpan w:val="3"/>
          </w:tcPr>
          <w:p>
            <w:pPr>
              <w:ind w:left="20"/>
              <w:spacing w:after="0"/>
              <w:rPr>
                <w:sz w:val="20"/>
                <w:szCs w:val="20"/>
                <w:color w:val="auto"/>
              </w:rPr>
            </w:pPr>
            <w:r>
              <w:rPr>
                <w:rFonts w:ascii="Arial" w:cs="Arial" w:eastAsia="Arial" w:hAnsi="Arial"/>
                <w:sz w:val="18"/>
                <w:szCs w:val="18"/>
                <w:color w:val="auto"/>
              </w:rPr>
              <w:t>Adjusted (Non-GAAP)</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213,932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169,813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8"/>
          </w:tcPr>
          <w:p>
            <w:pPr>
              <w:ind w:left="700"/>
              <w:spacing w:after="0"/>
              <w:rPr>
                <w:sz w:val="20"/>
                <w:szCs w:val="20"/>
                <w:color w:val="auto"/>
              </w:rPr>
            </w:pPr>
            <w:r>
              <w:rPr>
                <w:rFonts w:ascii="Arial" w:cs="Arial" w:eastAsia="Arial" w:hAnsi="Arial"/>
                <w:sz w:val="16"/>
                <w:szCs w:val="16"/>
                <w:b w:val="1"/>
                <w:bCs w:val="1"/>
                <w:color w:val="auto"/>
              </w:rPr>
              <w:t>Reconciliation of Net Income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8"/>
          </w:tcPr>
          <w:p>
            <w:pPr>
              <w:ind w:left="1040"/>
              <w:spacing w:after="0"/>
              <w:rPr>
                <w:sz w:val="20"/>
                <w:szCs w:val="20"/>
                <w:color w:val="auto"/>
              </w:rPr>
            </w:pPr>
            <w:r>
              <w:rPr>
                <w:rFonts w:ascii="Arial" w:cs="Arial" w:eastAsia="Arial" w:hAnsi="Arial"/>
                <w:sz w:val="16"/>
                <w:szCs w:val="16"/>
                <w:b w:val="1"/>
                <w:bCs w:val="1"/>
                <w:color w:val="auto"/>
                <w:w w:val="90"/>
              </w:rPr>
              <w:t>Three Months Ended June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0" w:type="dxa"/>
            <w:vAlign w:val="bottom"/>
            <w:gridSpan w:val="3"/>
          </w:tcPr>
          <w:p>
            <w:pPr>
              <w:jc w:val="center"/>
              <w:ind w:right="965"/>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3"/>
          </w:tcPr>
          <w:p>
            <w:pPr>
              <w:jc w:val="center"/>
              <w:ind w:right="90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Pr>
          <w:p>
            <w:pPr>
              <w:spacing w:after="0"/>
              <w:rPr>
                <w:sz w:val="18"/>
                <w:szCs w:val="18"/>
                <w:color w:val="auto"/>
              </w:rPr>
            </w:pPr>
          </w:p>
        </w:tc>
        <w:tc>
          <w:tcPr>
            <w:tcW w:w="840" w:type="dxa"/>
            <w:vAlign w:val="bottom"/>
          </w:tcPr>
          <w:p>
            <w:pPr>
              <w:jc w:val="right"/>
              <w:ind w:right="86"/>
              <w:spacing w:after="0"/>
              <w:rPr>
                <w:sz w:val="20"/>
                <w:szCs w:val="20"/>
                <w:color w:val="auto"/>
              </w:rPr>
            </w:pPr>
            <w:r>
              <w:rPr>
                <w:rFonts w:ascii="Arial" w:cs="Arial" w:eastAsia="Arial" w:hAnsi="Arial"/>
                <w:sz w:val="16"/>
                <w:szCs w:val="16"/>
                <w:b w:val="1"/>
                <w:bCs w:val="1"/>
                <w:color w:val="auto"/>
                <w:w w:val="95"/>
              </w:rPr>
              <w:t>Taxes 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Diluted</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89"/>
              </w:rPr>
              <w:t>Taxes 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w w:val="92"/>
              </w:rPr>
              <w:t>Diluted</w:t>
            </w:r>
          </w:p>
        </w:tc>
        <w:tc>
          <w:tcPr>
            <w:tcW w:w="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before taxes</w:t>
            </w:r>
          </w:p>
        </w:tc>
        <w:tc>
          <w:tcPr>
            <w:tcW w:w="100" w:type="dxa"/>
            <w:vAlign w:val="bottom"/>
          </w:tcPr>
          <w:p>
            <w:pPr>
              <w:spacing w:after="0"/>
              <w:rPr>
                <w:sz w:val="17"/>
                <w:szCs w:val="17"/>
                <w:color w:val="auto"/>
              </w:rPr>
            </w:pPr>
          </w:p>
        </w:tc>
        <w:tc>
          <w:tcPr>
            <w:tcW w:w="840" w:type="dxa"/>
            <w:vAlign w:val="bottom"/>
          </w:tcPr>
          <w:p>
            <w:pPr>
              <w:jc w:val="right"/>
              <w:ind w:right="46"/>
              <w:spacing w:after="0"/>
              <w:rPr>
                <w:sz w:val="20"/>
                <w:szCs w:val="20"/>
                <w:color w:val="auto"/>
              </w:rPr>
            </w:pPr>
            <w:r>
              <w:rPr>
                <w:rFonts w:ascii="Arial" w:cs="Arial" w:eastAsia="Arial" w:hAnsi="Arial"/>
                <w:sz w:val="16"/>
                <w:szCs w:val="16"/>
                <w:b w:val="1"/>
                <w:bCs w:val="1"/>
                <w:color w:val="auto"/>
                <w:w w:val="87"/>
              </w:rPr>
              <w:t>income (e)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Attributable to</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EPS</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w w:val="91"/>
              </w:rPr>
              <w:t>before taxes</w:t>
            </w:r>
          </w:p>
        </w:tc>
        <w:tc>
          <w:tcPr>
            <w:tcW w:w="80" w:type="dxa"/>
            <w:vAlign w:val="bottom"/>
          </w:tcPr>
          <w:p>
            <w:pPr>
              <w:spacing w:after="0"/>
              <w:rPr>
                <w:sz w:val="17"/>
                <w:szCs w:val="17"/>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b w:val="1"/>
                <w:bCs w:val="1"/>
                <w:color w:val="auto"/>
                <w:w w:val="99"/>
              </w:rPr>
              <w:t>income (e)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Attributable to</w:t>
            </w: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b w:val="1"/>
                <w:bCs w:val="1"/>
                <w:color w:val="auto"/>
                <w:w w:val="91"/>
              </w:rPr>
              <w:t>EPS (g)</w:t>
            </w:r>
          </w:p>
        </w:tc>
        <w:tc>
          <w:tcPr>
            <w:tcW w:w="2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IFF (f)</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IFF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60" w:type="dxa"/>
            <w:vAlign w:val="bottom"/>
            <w:tcBorders>
              <w:bottom w:val="single" w:sz="8" w:color="CCEEFF"/>
            </w:tcBorders>
            <w:gridSpan w:val="2"/>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Reported (GAAP)</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169,481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30,612</w:t>
            </w:r>
          </w:p>
        </w:tc>
        <w:tc>
          <w:tcPr>
            <w:tcW w:w="220" w:type="dxa"/>
            <w:vAlign w:val="bottom"/>
            <w:gridSpan w:val="2"/>
            <w:shd w:val="clear" w:color="auto" w:fill="CCEEFF"/>
          </w:tcPr>
          <w:p>
            <w:pPr>
              <w:jc w:val="center"/>
              <w:ind w:left="65"/>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136,377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121,918</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10"/>
              <w:spacing w:after="0"/>
              <w:rPr>
                <w:sz w:val="20"/>
                <w:szCs w:val="20"/>
                <w:color w:val="auto"/>
              </w:rPr>
            </w:pPr>
            <w:r>
              <w:rPr>
                <w:rFonts w:ascii="Arial" w:cs="Arial" w:eastAsia="Arial" w:hAnsi="Arial"/>
                <w:sz w:val="14"/>
                <w:szCs w:val="14"/>
                <w:color w:val="auto"/>
              </w:rPr>
              <w:t>22,769</w:t>
            </w:r>
          </w:p>
        </w:tc>
        <w:tc>
          <w:tcPr>
            <w:tcW w:w="200" w:type="dxa"/>
            <w:vAlign w:val="bottom"/>
            <w:gridSpan w:val="2"/>
            <w:shd w:val="clear" w:color="auto" w:fill="CCEEFF"/>
          </w:tcPr>
          <w:p>
            <w:pPr>
              <w:jc w:val="center"/>
              <w:ind w:left="65"/>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99,149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22"/>
                <w:szCs w:val="22"/>
                <w:color w:val="auto"/>
              </w:rPr>
            </w:pPr>
          </w:p>
        </w:tc>
      </w:tr>
      <w:tr>
        <w:trPr>
          <w:trHeight w:val="264"/>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Operational Improvement Initiatives (a)</w:t>
            </w:r>
          </w:p>
        </w:tc>
        <w:tc>
          <w:tcPr>
            <w:tcW w:w="1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403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Acquisition Related Costs</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64"/>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Integration Related Costs (b)</w:t>
            </w:r>
          </w:p>
        </w:tc>
        <w:tc>
          <w:tcPr>
            <w:tcW w:w="1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11,417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color w:val="auto"/>
              </w:rPr>
              <w:t>2,574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8,843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4"/>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993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22"/>
                <w:szCs w:val="22"/>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Restructuring and Other Charges, net (c)</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64"/>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Losses on Sale of Assets</w:t>
            </w:r>
          </w:p>
        </w:tc>
        <w:tc>
          <w:tcPr>
            <w:tcW w:w="1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6"/>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4"/>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1,264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14"/>
                <w:szCs w:val="14"/>
                <w:color w:val="auto"/>
              </w:rPr>
              <w:t>1,001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22"/>
                <w:szCs w:val="22"/>
                <w:color w:val="auto"/>
              </w:rPr>
            </w:pPr>
          </w:p>
        </w:tc>
      </w:tr>
      <w:tr>
        <w:trPr>
          <w:trHeight w:val="270"/>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Frutarom Acquisition Related Costs (d)</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(1,433)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36,989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4"/>
                <w:szCs w:val="14"/>
                <w:color w:val="auto"/>
              </w:rPr>
              <w:t>6,543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30,446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20" w:type="dxa"/>
            <w:vAlign w:val="bottom"/>
            <w:tcBorders>
              <w:bottom w:val="single" w:sz="8" w:color="auto"/>
            </w:tcBorders>
            <w:shd w:val="clear" w:color="auto" w:fill="CCEEFF"/>
          </w:tcPr>
          <w:p>
            <w:pPr>
              <w:spacing w:after="0"/>
              <w:rPr>
                <w:sz w:val="23"/>
                <w:szCs w:val="23"/>
                <w:color w:val="auto"/>
              </w:rPr>
            </w:pPr>
          </w:p>
        </w:tc>
      </w:tr>
      <w:tr>
        <w:trPr>
          <w:trHeight w:val="243"/>
        </w:trPr>
        <w:tc>
          <w:tcPr>
            <w:tcW w:w="2880" w:type="dxa"/>
            <w:vAlign w:val="bottom"/>
            <w:gridSpan w:val="4"/>
          </w:tcPr>
          <w:p>
            <w:pPr>
              <w:ind w:left="40"/>
              <w:spacing w:after="0"/>
              <w:rPr>
                <w:sz w:val="20"/>
                <w:szCs w:val="20"/>
                <w:color w:val="auto"/>
              </w:rPr>
            </w:pPr>
            <w:r>
              <w:rPr>
                <w:rFonts w:ascii="Arial" w:cs="Arial" w:eastAsia="Arial" w:hAnsi="Arial"/>
                <w:sz w:val="14"/>
                <w:szCs w:val="14"/>
                <w:color w:val="auto"/>
              </w:rPr>
              <w:t>Adjusted (Non-GAAP)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7"/>
              <w:spacing w:after="0"/>
              <w:rPr>
                <w:sz w:val="20"/>
                <w:szCs w:val="20"/>
                <w:color w:val="auto"/>
              </w:rPr>
            </w:pPr>
            <w:r>
              <w:rPr>
                <w:rFonts w:ascii="Arial" w:cs="Arial" w:eastAsia="Arial" w:hAnsi="Arial"/>
                <w:sz w:val="14"/>
                <w:szCs w:val="14"/>
                <w:color w:val="auto"/>
              </w:rPr>
              <w:t>183,476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6"/>
              <w:spacing w:after="0"/>
              <w:rPr>
                <w:sz w:val="20"/>
                <w:szCs w:val="20"/>
                <w:color w:val="auto"/>
              </w:rPr>
            </w:pPr>
            <w:r>
              <w:rPr>
                <w:rFonts w:ascii="Arial" w:cs="Arial" w:eastAsia="Arial" w:hAnsi="Arial"/>
                <w:sz w:val="14"/>
                <w:szCs w:val="14"/>
                <w:color w:val="auto"/>
              </w:rPr>
              <w:t>34,006</w:t>
            </w:r>
          </w:p>
        </w:tc>
        <w:tc>
          <w:tcPr>
            <w:tcW w:w="220" w:type="dxa"/>
            <w:vAlign w:val="bottom"/>
            <w:gridSpan w:val="2"/>
          </w:tcPr>
          <w:p>
            <w:pPr>
              <w:jc w:val="center"/>
              <w:ind w:left="65"/>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146,978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4"/>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161,756</w:t>
            </w: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10"/>
              <w:spacing w:after="0"/>
              <w:rPr>
                <w:sz w:val="20"/>
                <w:szCs w:val="20"/>
                <w:color w:val="auto"/>
              </w:rPr>
            </w:pPr>
            <w:r>
              <w:rPr>
                <w:rFonts w:ascii="Arial" w:cs="Arial" w:eastAsia="Arial" w:hAnsi="Arial"/>
                <w:sz w:val="14"/>
                <w:szCs w:val="14"/>
                <w:color w:val="auto"/>
              </w:rPr>
              <w:t>29,762</w:t>
            </w:r>
          </w:p>
        </w:tc>
        <w:tc>
          <w:tcPr>
            <w:tcW w:w="200" w:type="dxa"/>
            <w:vAlign w:val="bottom"/>
            <w:gridSpan w:val="2"/>
          </w:tcPr>
          <w:p>
            <w:pPr>
              <w:jc w:val="center"/>
              <w:ind w:left="65"/>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4"/>
              <w:spacing w:after="0"/>
              <w:rPr>
                <w:sz w:val="20"/>
                <w:szCs w:val="20"/>
                <w:color w:val="auto"/>
              </w:rPr>
            </w:pPr>
            <w:r>
              <w:rPr>
                <w:rFonts w:ascii="Arial" w:cs="Arial" w:eastAsia="Arial" w:hAnsi="Arial"/>
                <w:sz w:val="14"/>
                <w:szCs w:val="14"/>
                <w:color w:val="auto"/>
              </w:rPr>
              <w:t>131,994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1.66</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accelerated depreciation related to a plant relocation in India and China.</w:t>
      </w:r>
    </w:p>
    <w:p>
      <w:pPr>
        <w:spacing w:after="0" w:line="63" w:lineRule="exact"/>
        <w:rPr>
          <w:rFonts w:ascii="Arial" w:cs="Arial" w:eastAsia="Arial" w:hAnsi="Arial"/>
          <w:sz w:val="18"/>
          <w:szCs w:val="18"/>
          <w:color w:val="auto"/>
        </w:rPr>
      </w:pPr>
    </w:p>
    <w:p>
      <w:pPr>
        <w:ind w:left="500" w:right="120" w:hanging="465"/>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2019, represents costs related to the integration of the Frutarom acquisition, principally advisory services. For 2018, represents costs related to the integration of David Michael.</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2019, represents severance costs related primarily to Frutarom. For 2018, represents severance costs related to the 2017 Productivity Program.</w:t>
      </w:r>
    </w:p>
    <w:p>
      <w:pPr>
        <w:spacing w:after="0" w:line="86" w:lineRule="exact"/>
        <w:rPr>
          <w:rFonts w:ascii="Arial" w:cs="Arial" w:eastAsia="Arial" w:hAnsi="Arial"/>
          <w:sz w:val="16"/>
          <w:szCs w:val="16"/>
          <w:color w:val="auto"/>
        </w:rPr>
      </w:pPr>
    </w:p>
    <w:p>
      <w:pPr>
        <w:ind w:left="500" w:right="20" w:hanging="465"/>
        <w:spacing w:after="0" w:line="25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transaction-related costs and expenses related to the acquisition of Frutarom, including adjustments that reduce the contingent consideration payable related to certain acquisitions made by Frutarom. In 2019, amount primarily relates to transaction costs included in Selling and administrative expenses. For 2018, amount includes $10.6 million of bridge loan commitment fees included in Interest expense, $25.0 million mark-to-market loss adjustment on an interest rate derivative and an $11.0 million mark-to-market gain adjustment on a foreign currency derivative, and $12.5 million of transaction costs included in administrative expenses.</w:t>
      </w:r>
    </w:p>
    <w:p>
      <w:pPr>
        <w:spacing w:after="0" w:line="26" w:lineRule="exact"/>
        <w:rPr>
          <w:rFonts w:ascii="Arial" w:cs="Arial" w:eastAsia="Arial" w:hAnsi="Arial"/>
          <w:sz w:val="18"/>
          <w:szCs w:val="18"/>
          <w:color w:val="auto"/>
        </w:rPr>
      </w:pPr>
    </w:p>
    <w:p>
      <w:pPr>
        <w:ind w:left="500" w:right="80" w:hanging="465"/>
        <w:spacing w:after="0" w:line="29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fiscal year 2019,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3" w:lineRule="exact"/>
        <w:rPr>
          <w:rFonts w:ascii="Arial" w:cs="Arial" w:eastAsia="Arial" w:hAnsi="Arial"/>
          <w:sz w:val="16"/>
          <w:szCs w:val="16"/>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2019, net income is reduced by income attributable to noncontrolling interest of $2.5M.</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these items does not foot due to rounding.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804,525</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 (e)</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 (g)</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1,086,609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810,381</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300,051</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 (g)</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(12,455)</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397,436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288,114</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27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329,363</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Operational Improvement Initiatives (a)</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 (b)</w:t>
            </w:r>
          </w:p>
        </w:tc>
        <w:tc>
          <w:tcPr>
            <w:tcW w:w="2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(c)</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26,314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 (d)</w:t>
            </w:r>
          </w:p>
        </w:tc>
        <w:tc>
          <w:tcPr>
            <w:tcW w:w="2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Losses on Sale of Assets</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FDA Mandated Product Recall (e)</w:t>
            </w:r>
          </w:p>
        </w:tc>
        <w:tc>
          <w:tcPr>
            <w:tcW w:w="2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Frutarom Acquisition Related Costs (g)</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(Non-GAAP)</w:t>
            </w:r>
          </w:p>
        </w:tc>
        <w:tc>
          <w:tcPr>
            <w:tcW w:w="2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418,620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350,827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43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Reconciliation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9"/>
          </w:tcPr>
          <w:p>
            <w:pPr>
              <w:jc w:val="right"/>
              <w:ind w:right="5"/>
              <w:spacing w:after="0"/>
              <w:rPr>
                <w:sz w:val="20"/>
                <w:szCs w:val="20"/>
                <w:color w:val="auto"/>
              </w:rPr>
            </w:pPr>
            <w:r>
              <w:rPr>
                <w:rFonts w:ascii="Arial" w:cs="Arial" w:eastAsia="Arial" w:hAnsi="Arial"/>
                <w:sz w:val="18"/>
                <w:szCs w:val="18"/>
                <w:b w:val="1"/>
                <w:bCs w:val="1"/>
                <w:color w:val="auto"/>
              </w:rPr>
              <w:t>Six Months Ended 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0" w:type="dxa"/>
            <w:vAlign w:val="bottom"/>
            <w:gridSpan w:val="3"/>
          </w:tcPr>
          <w:p>
            <w:pPr>
              <w:jc w:val="right"/>
              <w:ind w:right="925"/>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40" w:type="dxa"/>
            <w:vAlign w:val="bottom"/>
            <w:gridSpan w:val="3"/>
          </w:tcPr>
          <w:p>
            <w:pPr>
              <w:jc w:val="right"/>
              <w:ind w:right="846"/>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before</w:t>
            </w:r>
          </w:p>
        </w:tc>
        <w:tc>
          <w:tcPr>
            <w:tcW w:w="100" w:type="dxa"/>
            <w:vAlign w:val="bottom"/>
          </w:tcPr>
          <w:p>
            <w:pPr>
              <w:spacing w:after="0"/>
              <w:rPr>
                <w:sz w:val="17"/>
                <w:szCs w:val="17"/>
                <w:color w:val="auto"/>
              </w:rPr>
            </w:pPr>
          </w:p>
        </w:tc>
        <w:tc>
          <w:tcPr>
            <w:tcW w:w="840" w:type="dxa"/>
            <w:vAlign w:val="bottom"/>
          </w:tcPr>
          <w:p>
            <w:pPr>
              <w:jc w:val="right"/>
              <w:ind w:right="87"/>
              <w:spacing w:after="0"/>
              <w:rPr>
                <w:sz w:val="20"/>
                <w:szCs w:val="20"/>
                <w:color w:val="auto"/>
              </w:rPr>
            </w:pPr>
            <w:r>
              <w:rPr>
                <w:rFonts w:ascii="Arial" w:cs="Arial" w:eastAsia="Arial" w:hAnsi="Arial"/>
                <w:sz w:val="16"/>
                <w:szCs w:val="16"/>
                <w:b w:val="1"/>
                <w:bCs w:val="1"/>
                <w:color w:val="auto"/>
                <w:w w:val="95"/>
              </w:rPr>
              <w:t>Taxes 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Attributable to</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Diluted</w:t>
            </w: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before</w:t>
            </w:r>
          </w:p>
        </w:tc>
        <w:tc>
          <w:tcPr>
            <w:tcW w:w="120" w:type="dxa"/>
            <w:vAlign w:val="bottom"/>
          </w:tcPr>
          <w:p>
            <w:pPr>
              <w:spacing w:after="0"/>
              <w:rPr>
                <w:sz w:val="17"/>
                <w:szCs w:val="17"/>
                <w:color w:val="auto"/>
              </w:rPr>
            </w:pPr>
          </w:p>
        </w:tc>
        <w:tc>
          <w:tcPr>
            <w:tcW w:w="780" w:type="dxa"/>
            <w:vAlign w:val="bottom"/>
          </w:tcPr>
          <w:p>
            <w:pPr>
              <w:jc w:val="right"/>
              <w:ind w:right="67"/>
              <w:spacing w:after="0"/>
              <w:rPr>
                <w:sz w:val="20"/>
                <w:szCs w:val="20"/>
                <w:color w:val="auto"/>
              </w:rPr>
            </w:pPr>
            <w:r>
              <w:rPr>
                <w:rFonts w:ascii="Arial" w:cs="Arial" w:eastAsia="Arial" w:hAnsi="Arial"/>
                <w:sz w:val="16"/>
                <w:szCs w:val="16"/>
                <w:b w:val="1"/>
                <w:bCs w:val="1"/>
                <w:color w:val="auto"/>
                <w:w w:val="89"/>
              </w:rPr>
              <w:t>Taxes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Attributable to</w:t>
            </w:r>
          </w:p>
        </w:tc>
        <w:tc>
          <w:tcPr>
            <w:tcW w:w="120" w:type="dxa"/>
            <w:vAlign w:val="bottom"/>
          </w:tcPr>
          <w:p>
            <w:pPr>
              <w:spacing w:after="0"/>
              <w:rPr>
                <w:sz w:val="17"/>
                <w:szCs w:val="17"/>
                <w:color w:val="auto"/>
              </w:rPr>
            </w:pPr>
          </w:p>
        </w:tc>
        <w:tc>
          <w:tcPr>
            <w:tcW w:w="660" w:type="dxa"/>
            <w:vAlign w:val="bottom"/>
          </w:tcPr>
          <w:p>
            <w:pPr>
              <w:jc w:val="right"/>
              <w:ind w:right="67"/>
              <w:spacing w:after="0"/>
              <w:rPr>
                <w:sz w:val="20"/>
                <w:szCs w:val="20"/>
                <w:color w:val="auto"/>
              </w:rPr>
            </w:pPr>
            <w:r>
              <w:rPr>
                <w:rFonts w:ascii="Arial" w:cs="Arial" w:eastAsia="Arial" w:hAnsi="Arial"/>
                <w:sz w:val="16"/>
                <w:szCs w:val="16"/>
                <w:b w:val="1"/>
                <w:bCs w:val="1"/>
                <w:color w:val="auto"/>
                <w:w w:val="92"/>
              </w:rPr>
              <w:t>Diluted</w:t>
            </w:r>
          </w:p>
        </w:tc>
      </w:tr>
      <w:tr>
        <w:trPr>
          <w:trHeight w:val="203"/>
        </w:trPr>
        <w:tc>
          <w:tcPr>
            <w:tcW w:w="31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taxes</w:t>
            </w:r>
          </w:p>
        </w:tc>
        <w:tc>
          <w:tcPr>
            <w:tcW w:w="10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6"/>
                <w:szCs w:val="16"/>
                <w:b w:val="1"/>
                <w:bCs w:val="1"/>
                <w:color w:val="auto"/>
                <w:w w:val="88"/>
              </w:rPr>
              <w:t>income (h)</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IFF (i)</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EPS</w:t>
            </w:r>
          </w:p>
        </w:tc>
        <w:tc>
          <w:tcPr>
            <w:tcW w:w="12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taxes</w:t>
            </w:r>
          </w:p>
        </w:tc>
        <w:tc>
          <w:tcPr>
            <w:tcW w:w="90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w w:val="98"/>
              </w:rPr>
              <w:t>income (h)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IFF</w:t>
            </w:r>
          </w:p>
        </w:tc>
        <w:tc>
          <w:tcPr>
            <w:tcW w:w="120" w:type="dxa"/>
            <w:vAlign w:val="bottom"/>
          </w:tcPr>
          <w:p>
            <w:pPr>
              <w:spacing w:after="0"/>
              <w:rPr>
                <w:sz w:val="17"/>
                <w:szCs w:val="17"/>
                <w:color w:val="auto"/>
              </w:rPr>
            </w:pPr>
          </w:p>
        </w:tc>
        <w:tc>
          <w:tcPr>
            <w:tcW w:w="660" w:type="dxa"/>
            <w:vAlign w:val="bottom"/>
          </w:tcPr>
          <w:p>
            <w:pPr>
              <w:jc w:val="right"/>
              <w:ind w:right="167"/>
              <w:spacing w:after="0"/>
              <w:rPr>
                <w:sz w:val="20"/>
                <w:szCs w:val="20"/>
                <w:color w:val="auto"/>
              </w:rPr>
            </w:pPr>
            <w:r>
              <w:rPr>
                <w:rFonts w:ascii="Arial" w:cs="Arial" w:eastAsia="Arial" w:hAnsi="Arial"/>
                <w:sz w:val="16"/>
                <w:szCs w:val="16"/>
                <w:b w:val="1"/>
                <w:bCs w:val="1"/>
                <w:color w:val="auto"/>
              </w:rPr>
              <w:t>EPS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Reported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304,057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53,974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245,206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280,754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228,564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2.87</w:t>
            </w:r>
          </w:p>
        </w:tc>
      </w:tr>
      <w:tr>
        <w:trPr>
          <w:trHeight w:val="264"/>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Operational Improvement Initiatives (a)</w:t>
            </w:r>
          </w:p>
        </w:tc>
        <w:tc>
          <w:tcPr>
            <w:tcW w:w="120" w:type="dxa"/>
            <w:vAlign w:val="bottom"/>
          </w:tcPr>
          <w:p>
            <w:pPr>
              <w:spacing w:after="0"/>
              <w:rPr>
                <w:sz w:val="22"/>
                <w:szCs w:val="22"/>
                <w:color w:val="auto"/>
              </w:rPr>
            </w:pP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7"/>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r>
      <w:tr>
        <w:trPr>
          <w:trHeight w:val="276"/>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Acquisition Related Costs (b)</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264"/>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Integration Related Costs (c)</w:t>
            </w:r>
          </w:p>
        </w:tc>
        <w:tc>
          <w:tcPr>
            <w:tcW w:w="120" w:type="dxa"/>
            <w:vAlign w:val="bottom"/>
          </w:tcPr>
          <w:p>
            <w:pPr>
              <w:spacing w:after="0"/>
              <w:rPr>
                <w:sz w:val="22"/>
                <w:szCs w:val="22"/>
                <w:color w:val="auto"/>
              </w:rPr>
            </w:pP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26,314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5,923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20,391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r>
      <w:tr>
        <w:trPr>
          <w:trHeight w:val="276"/>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Other Charges, net (d)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18,699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14,116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0.01</w:t>
            </w:r>
          </w:p>
        </w:tc>
      </w:tr>
      <w:tr>
        <w:trPr>
          <w:trHeight w:val="264"/>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Losses on Sale of Assets</w:t>
            </w:r>
          </w:p>
        </w:tc>
        <w:tc>
          <w:tcPr>
            <w:tcW w:w="120" w:type="dxa"/>
            <w:vAlign w:val="bottom"/>
          </w:tcPr>
          <w:p>
            <w:pPr>
              <w:spacing w:after="0"/>
              <w:rPr>
                <w:sz w:val="22"/>
                <w:szCs w:val="22"/>
                <w:color w:val="auto"/>
              </w:rPr>
            </w:pP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7"/>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r>
      <w:tr>
        <w:trPr>
          <w:trHeight w:val="276"/>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FDA Mandated Product Recall (e)</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3,804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0.05</w:t>
            </w:r>
          </w:p>
        </w:tc>
      </w:tr>
      <w:tr>
        <w:trPr>
          <w:trHeight w:val="264"/>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U.S. Tax Reform (f)</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0.01</w:t>
            </w:r>
          </w:p>
        </w:tc>
      </w:tr>
      <w:tr>
        <w:trPr>
          <w:trHeight w:val="276"/>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Frutarom Acquisition Related Costs (g)</w:t>
            </w: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8,096</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1,387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rPr>
              <w:t>6,709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36,989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6,543</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30,446</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0.38</w:t>
            </w:r>
          </w:p>
        </w:tc>
      </w:tr>
      <w:tr>
        <w:trPr>
          <w:trHeight w:val="231"/>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Adjusted (Non-GAAP)</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6"/>
              <w:spacing w:after="0"/>
              <w:rPr>
                <w:sz w:val="20"/>
                <w:szCs w:val="20"/>
                <w:color w:val="auto"/>
              </w:rPr>
            </w:pPr>
            <w:r>
              <w:rPr>
                <w:rFonts w:ascii="Arial" w:cs="Arial" w:eastAsia="Arial" w:hAnsi="Arial"/>
                <w:sz w:val="14"/>
                <w:szCs w:val="14"/>
                <w:color w:val="auto"/>
              </w:rPr>
              <w:t>358,870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7"/>
              <w:spacing w:after="0"/>
              <w:rPr>
                <w:sz w:val="20"/>
                <w:szCs w:val="20"/>
                <w:color w:val="auto"/>
              </w:rPr>
            </w:pPr>
            <w:r>
              <w:rPr>
                <w:rFonts w:ascii="Arial" w:cs="Arial" w:eastAsia="Arial" w:hAnsi="Arial"/>
                <w:sz w:val="14"/>
                <w:szCs w:val="14"/>
                <w:color w:val="auto"/>
              </w:rPr>
              <w:t>66,377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5"/>
              <w:spacing w:after="0"/>
              <w:rPr>
                <w:sz w:val="20"/>
                <w:szCs w:val="20"/>
                <w:color w:val="auto"/>
              </w:rPr>
            </w:pPr>
            <w:r>
              <w:rPr>
                <w:rFonts w:ascii="Arial" w:cs="Arial" w:eastAsia="Arial" w:hAnsi="Arial"/>
                <w:sz w:val="14"/>
                <w:szCs w:val="14"/>
                <w:color w:val="auto"/>
              </w:rPr>
              <w:t>287,616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6"/>
              <w:spacing w:after="0"/>
              <w:rPr>
                <w:sz w:val="20"/>
                <w:szCs w:val="20"/>
                <w:color w:val="auto"/>
              </w:rPr>
            </w:pPr>
            <w:r>
              <w:rPr>
                <w:rFonts w:ascii="Arial" w:cs="Arial" w:eastAsia="Arial" w:hAnsi="Arial"/>
                <w:sz w:val="14"/>
                <w:szCs w:val="14"/>
                <w:color w:val="auto"/>
              </w:rPr>
              <w:t>326,752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7"/>
              <w:spacing w:after="0"/>
              <w:rPr>
                <w:sz w:val="20"/>
                <w:szCs w:val="20"/>
                <w:color w:val="auto"/>
              </w:rPr>
            </w:pPr>
            <w:r>
              <w:rPr>
                <w:rFonts w:ascii="Arial" w:cs="Arial" w:eastAsia="Arial" w:hAnsi="Arial"/>
                <w:sz w:val="14"/>
                <w:szCs w:val="14"/>
                <w:color w:val="auto"/>
              </w:rPr>
              <w:t>60,042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
              <w:spacing w:after="0"/>
              <w:rPr>
                <w:sz w:val="20"/>
                <w:szCs w:val="20"/>
                <w:color w:val="auto"/>
              </w:rPr>
            </w:pPr>
            <w:r>
              <w:rPr>
                <w:rFonts w:ascii="Arial" w:cs="Arial" w:eastAsia="Arial" w:hAnsi="Arial"/>
                <w:sz w:val="14"/>
                <w:szCs w:val="14"/>
                <w:color w:val="auto"/>
              </w:rPr>
              <w:t>266,710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3.35</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accelerated depreciation related to a plant relocation in India and China, as well as a lab closure in Taiwan for 2018.</w:t>
      </w:r>
    </w:p>
    <w:p>
      <w:pPr>
        <w:spacing w:after="0" w:line="63" w:lineRule="exact"/>
        <w:rPr>
          <w:rFonts w:ascii="Arial" w:cs="Arial" w:eastAsia="Arial" w:hAnsi="Arial"/>
          <w:sz w:val="18"/>
          <w:szCs w:val="18"/>
          <w:color w:val="auto"/>
        </w:rPr>
      </w:pPr>
    </w:p>
    <w:p>
      <w:pPr>
        <w:ind w:left="500" w:right="2180" w:hanging="465"/>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2018, represents adjustments to the contingent consideration payable for PowderPure, and transaction costs related to Fragrance Resources and PowderPure within Selling and administrative expenses.</w:t>
      </w:r>
    </w:p>
    <w:p>
      <w:pPr>
        <w:spacing w:after="0" w:line="8" w:lineRule="exact"/>
        <w:rPr>
          <w:rFonts w:ascii="Arial" w:cs="Arial" w:eastAsia="Arial" w:hAnsi="Arial"/>
          <w:sz w:val="18"/>
          <w:szCs w:val="18"/>
          <w:color w:val="auto"/>
        </w:rPr>
      </w:pPr>
    </w:p>
    <w:p>
      <w:pPr>
        <w:ind w:left="500" w:right="120" w:hanging="465"/>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2019, represents costs related to the integration of the Frutarom acquisition, principally advisory services. For 2018, represents costs related to the integration of David Michael.</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2019, represents severance costs related primarily to Scent. For 2018, represents severance costs related to the 2017 Productivity Program.</w:t>
      </w:r>
    </w:p>
    <w:p>
      <w:pPr>
        <w:spacing w:after="0" w:line="74" w:lineRule="exact"/>
        <w:rPr>
          <w:rFonts w:ascii="Arial" w:cs="Arial" w:eastAsia="Arial" w:hAnsi="Arial"/>
          <w:sz w:val="17"/>
          <w:szCs w:val="17"/>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losses related to the FDA mandated recall.</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charges incurred related to enactment of certain U.S. tax legislation changes in December 2017.</w:t>
      </w:r>
    </w:p>
    <w:p>
      <w:pPr>
        <w:spacing w:after="0" w:line="63" w:lineRule="exact"/>
        <w:rPr>
          <w:rFonts w:ascii="Arial" w:cs="Arial" w:eastAsia="Arial" w:hAnsi="Arial"/>
          <w:sz w:val="18"/>
          <w:szCs w:val="18"/>
          <w:color w:val="auto"/>
        </w:rPr>
      </w:pPr>
    </w:p>
    <w:p>
      <w:pPr>
        <w:ind w:left="500" w:right="320" w:hanging="465"/>
        <w:spacing w:after="0" w:line="273"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transaction-related costs and expenses related to the acquisition of Frutarom, including adjustments that reduce the contingent consideration payable related to certain acquisitions made by Frutarom. For 2019, amount primarily includes $7.9 million of amortization for inventory "step-up" costs and $2.5 million of transaction costs which was offset by a $2.3 million reduction to contingent consideration included in Selling and administrative expense. For 2018, amount includes $10.6 million of bridge loan commitment fees included in Interest expense, $25.0 million mark-to-market loss adjustment on an interest rate derivative and an $11.0 million mark-to-market gain adjustment on a foreign currency derivative, and $12.5 million of transaction costs included in administrative expenses.</w:t>
      </w:r>
    </w:p>
    <w:p>
      <w:pPr>
        <w:spacing w:after="0" w:line="16" w:lineRule="exact"/>
        <w:rPr>
          <w:rFonts w:ascii="Arial" w:cs="Arial" w:eastAsia="Arial" w:hAnsi="Arial"/>
          <w:sz w:val="17"/>
          <w:szCs w:val="17"/>
          <w:color w:val="auto"/>
        </w:rPr>
      </w:pPr>
    </w:p>
    <w:p>
      <w:pPr>
        <w:ind w:left="500" w:right="80" w:hanging="465"/>
        <w:spacing w:after="0" w:line="295"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fiscal year 2019,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3" w:lineRule="exact"/>
        <w:rPr>
          <w:rFonts w:ascii="Arial" w:cs="Arial" w:eastAsia="Arial" w:hAnsi="Arial"/>
          <w:sz w:val="16"/>
          <w:szCs w:val="16"/>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2019, net income is reduced by income attributable to noncontrolling interest of $4.9M.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B. Foreign Currency Reconciliation</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296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96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4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3"/>
                <w:szCs w:val="23"/>
                <w:color w:val="auto"/>
              </w:rPr>
            </w:pPr>
          </w:p>
        </w:tc>
        <w:tc>
          <w:tcPr>
            <w:tcW w:w="182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2019</w:t>
            </w:r>
          </w:p>
        </w:tc>
        <w:tc>
          <w:tcPr>
            <w:tcW w:w="18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2019</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29.4%</w:t>
            </w:r>
          </w:p>
        </w:tc>
        <w:tc>
          <w:tcPr>
            <w:tcW w:w="18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7"/>
              </w:rPr>
              <w:t>1.9%</w:t>
            </w:r>
          </w:p>
        </w:tc>
        <w:tc>
          <w:tcPr>
            <w:tcW w:w="100" w:type="dxa"/>
            <w:vAlign w:val="bottom"/>
          </w:tcPr>
          <w:p>
            <w:pPr>
              <w:spacing w:after="0"/>
              <w:rPr>
                <w:sz w:val="21"/>
                <w:szCs w:val="21"/>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10.5%</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16.9%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(3.4)%</w:t>
            </w:r>
          </w:p>
        </w:tc>
        <w:tc>
          <w:tcPr>
            <w:tcW w:w="1840" w:type="dxa"/>
            <w:vAlign w:val="bottom"/>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2"/>
              </w:rPr>
              <w:t>1.5%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8.9%</w:t>
            </w:r>
          </w:p>
        </w:tc>
        <w:tc>
          <w:tcPr>
            <w:tcW w:w="18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26.0%</w:t>
            </w:r>
          </w:p>
        </w:tc>
        <w:tc>
          <w:tcPr>
            <w:tcW w:w="18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7"/>
              </w:rPr>
              <w:t>3.3%</w:t>
            </w:r>
          </w:p>
        </w:tc>
        <w:tc>
          <w:tcPr>
            <w:tcW w:w="100" w:type="dxa"/>
            <w:vAlign w:val="bottom"/>
          </w:tcPr>
          <w:p>
            <w:pPr>
              <w:spacing w:after="0"/>
              <w:rPr>
                <w:sz w:val="21"/>
                <w:szCs w:val="21"/>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19.3%</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97"/>
              </w:rPr>
              <w:t>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3.3%</w:t>
            </w:r>
          </w:p>
        </w:tc>
        <w:tc>
          <w:tcPr>
            <w:tcW w:w="1840" w:type="dxa"/>
            <w:vAlign w:val="bottom"/>
            <w:tcBorders>
              <w:bottom w:val="single" w:sz="8" w:color="CCEEFF"/>
            </w:tcBorders>
            <w:gridSpan w:val="3"/>
            <w:shd w:val="clear" w:color="auto" w:fill="CCEEFF"/>
          </w:tcPr>
          <w:p>
            <w:pPr>
              <w:jc w:val="center"/>
              <w:ind w:left="370"/>
              <w:spacing w:after="0"/>
              <w:rPr>
                <w:sz w:val="20"/>
                <w:szCs w:val="20"/>
                <w:color w:val="auto"/>
              </w:rPr>
            </w:pPr>
            <w:r>
              <w:rPr>
                <w:rFonts w:ascii="Arial" w:cs="Arial" w:eastAsia="Arial" w:hAnsi="Arial"/>
                <w:sz w:val="18"/>
                <w:szCs w:val="18"/>
                <w:color w:val="auto"/>
                <w:w w:val="94"/>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2"/>
              </w:rPr>
              <w:t>2.3%</w:t>
            </w:r>
          </w:p>
        </w:tc>
        <w:tc>
          <w:tcPr>
            <w:tcW w:w="18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5"/>
              </w:rPr>
              <w:t>% Change Year-over-Year - Currency Neutral Adjusted (Non-GAAP)*</w:t>
            </w: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29.3%</w:t>
            </w:r>
          </w:p>
        </w:tc>
        <w:tc>
          <w:tcPr>
            <w:tcW w:w="18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8"/>
              </w:rPr>
              <w:t>(2.4)%</w:t>
            </w:r>
          </w:p>
        </w:tc>
        <w:tc>
          <w:tcPr>
            <w:tcW w:w="100" w:type="dxa"/>
            <w:vAlign w:val="bottom"/>
          </w:tcPr>
          <w:p>
            <w:pPr>
              <w:spacing w:after="0"/>
              <w:rPr>
                <w:sz w:val="21"/>
                <w:szCs w:val="21"/>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21.6%</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97"/>
              </w:rPr>
              <w:t>4.7%</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right="100" w:firstLine="2"/>
        <w:spacing w:after="0" w:line="227" w:lineRule="auto"/>
        <w:tabs>
          <w:tab w:leader="none" w:pos="252"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Includes items impacting comparability of $14.0 million and $15.3 million for the three months ended June 30, 2019 and June 30, 2018, respectively, and $21.5 million and $48.4 million for the six months ended June 30, 2019 and June 30, 2018, respectively.</w:t>
      </w:r>
    </w:p>
    <w:p>
      <w:pPr>
        <w:spacing w:after="0" w:line="1" w:lineRule="exact"/>
        <w:rPr>
          <w:rFonts w:ascii="Arial" w:cs="Arial" w:eastAsia="Arial" w:hAnsi="Arial"/>
          <w:sz w:val="23"/>
          <w:szCs w:val="23"/>
          <w:color w:val="auto"/>
          <w:vertAlign w:val="superscript"/>
        </w:rPr>
      </w:pPr>
    </w:p>
    <w:p>
      <w:pPr>
        <w:ind w:left="60" w:right="3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 Currency neutral amount is calculated by translating prior year amounts at the exchange rates used for the corresponding 2019 period. Currency neutral operating profit also eliminates the year-over-year impact of cash flow hedging.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Statements in this Form 10-Q, that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expected cost synergies from the integration of Frutarom of $30-35 million by the end of 2019, (ii) the status and preliminary results of our ongoing investigations regarding improper payments made in Frutarom businesses operating principally in Russia and the Ukraine and the expected impact of such investigations on our results of operations or financial condition, (iii) expected capital expenditures in 2019, (iv) expected costs associated with our various restructuring activities, (v) our margin expectations for 2019, (vi) expected cash flow and availability of capital resources to fund our operations and meet our debt service requirements, (vii) our ability to continue to generate value for, and return cash to, our shareholders, and (viii) anticipated contributions to our pension plans and other post-retirement programs in 2019.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64" w:lineRule="exact"/>
        <w:rPr>
          <w:sz w:val="20"/>
          <w:szCs w:val="20"/>
          <w:color w:val="auto"/>
        </w:rPr>
      </w:pPr>
    </w:p>
    <w:p>
      <w:pPr>
        <w:ind w:left="660" w:right="6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related to the integration of the Frutarom business, including whether we will realize the benefits anticipated from the acquisition in the expected time frame;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liabilities, charges or expenses resulting from the Frutarom acquisition;</w:t>
      </w:r>
    </w:p>
    <w:p>
      <w:pPr>
        <w:spacing w:after="0" w:line="117"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risks relating to the Company’s ongoing investigations into improper payments made in Frutarom businesses principally operating in Russia and the Ukraine, including expenses incurred with respect to the investigations, the cost of any remedial measures or compliance programs arising out of the investigations, legal proceedings or government investigations that may arise relating to the subject of the Company’s investigations, and the outcome of any such legal or government investigations, such as the imposition of fines, penalties, orders, or injunctions,</w:t>
      </w:r>
    </w:p>
    <w:p>
      <w:pPr>
        <w:spacing w:after="0" w:line="46" w:lineRule="exact"/>
        <w:rPr>
          <w:rFonts w:ascii="Arial" w:cs="Arial" w:eastAsia="Arial" w:hAnsi="Arial"/>
          <w:sz w:val="16"/>
          <w:szCs w:val="16"/>
          <w:color w:val="auto"/>
        </w:rPr>
      </w:pPr>
    </w:p>
    <w:p>
      <w:pPr>
        <w:ind w:left="660" w:right="78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 of the failure to comply with U.S. or foreign anti-corruption and anti-bribery laws and regulations, including with respect to the Company’s ongoing investigations into improper payments made in Frutarom businesses principally operating in Russia and the Ukraine,</w:t>
      </w:r>
    </w:p>
    <w:p>
      <w:pPr>
        <w:spacing w:after="0" w:line="15" w:lineRule="exact"/>
        <w:rPr>
          <w:rFonts w:ascii="Arial" w:cs="Arial" w:eastAsia="Arial" w:hAnsi="Arial"/>
          <w:sz w:val="16"/>
          <w:szCs w:val="16"/>
          <w:color w:val="auto"/>
        </w:rPr>
      </w:pPr>
    </w:p>
    <w:p>
      <w:pPr>
        <w:ind w:left="660" w:right="54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the outcome of legal claims, regulatory investigations and litigation, including any that may arise out of the Company’s ongoing investigations into improper payments made in Frutarom businesses principally operating in Russia and the Ukraine,</w:t>
      </w:r>
    </w:p>
    <w:p>
      <w:pPr>
        <w:spacing w:after="0" w:line="38"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 in our leverage resulting from the additional debt incurred to pay a portion of the consideration for Frutarom and its impact on our liquidity and ability to return capital to its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6" w:name="page47"/>
    <w:bookmarkEnd w:id="46"/>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market to its expanded and decentralized Taste and Frutarom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compete in its market and develop and introduce new products that meet customers’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successfully develop innovative and cost-effective products that allow customers to achieve their own profitability expectations;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disruption in our manufacturing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 disruption in our supply chain, including the inability to obtain ingredients and raw materials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regulatory requirements and industry standards, including regarding product safety, quality, efficacy and environmental impact;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any failure or interruption of our key information technology systems or a breach of information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react in a timely and cost-effective manner to changes in consumer preferences and demands;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establish and manage collaborations, joint ventures or partnership that lead to development or commercialization of products;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benefit from its investments and expansion in emerging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principal foreign markets in which it operates;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regulatory and political risks associated with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global economic uncertainty on demand for consumer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retain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realize the benefits of its cost and productivity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manage its working capital and inventory balances;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failure to comply with U.S. or foreign anti-corruption and anti-bribery laws and regulations, including the U.S. Foreign Corrupt Practices Act;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its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outcome of legal claims, regulatory investigations and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future impairment of our tangible or intangible long-lived assets;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changes in federal, state, local and international tax legislation or policies, including the enacted Tax Cuts and Jobs Act, with respect to transfer pricing and state aid, and adverse results of tax audits, assessments, or disputes;</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potential government regulation on certain product development initiatives, and restrictions or costs that may be imposed on the Company or its operations as a result;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United Kingdom’s expected departure from the European Union in 2019.</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134"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692" w:right="279" w:bottom="1440" w:gutter="0" w:footer="0" w:header="0"/>
        </w:sectPr>
      </w:pPr>
    </w:p>
    <w:bookmarkStart w:id="47" w:name="page48"/>
    <w:bookmarkEnd w:id="47"/>
    <w:p>
      <w:pPr>
        <w:ind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2018 Form 10-K for additional information regarding factors that could affect our results of operations, financial condition and cash flow.</w:t>
      </w:r>
    </w:p>
    <w:p>
      <w:pPr>
        <w:spacing w:after="0" w:line="200" w:lineRule="exact"/>
        <w:rPr>
          <w:sz w:val="20"/>
          <w:szCs w:val="20"/>
          <w:color w:val="auto"/>
        </w:rPr>
      </w:pP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240" w:top="746" w:right="5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2018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 Disclosure Controls and Procedures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7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2019 that have materially affected, or are reasonably likely to materially affect, our internal control over financial reporting.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4, 2018, we completed the acquisition of Frutarom. We are in the process of integrating Frutarom into our systems and control environment.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integration activities, certain controls will be evaluated and may be changed.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Investigations</w:t>
      </w:r>
    </w:p>
    <w:p>
      <w:pPr>
        <w:spacing w:after="0" w:line="17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During the integration of Frutarom, IFF was made aware of allegations that two Frutarom businesses operating principally in Russia and Ukraine made certain improper payments, including to representatives of a number of customers. IFF promptly commenced investigations of such allegations with the assistance of outside legal and accounting firms. IFF’s investigations are not yet complete, but preliminary results indicate that improper payments to representatives of customers were made and that key members of Frutarom’s senior management at the time were aware of such payments. IFF has not uncovered any evidence suggesting that such payments had any connection to the United States.</w:t>
      </w:r>
    </w:p>
    <w:p>
      <w:pPr>
        <w:spacing w:after="0" w:line="119"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Based on the results of the investigations to date, IFF believes that such improper customer payments are no longer being made and the estimated affected sales represented less than 1% of IFF’s and Frutarom’s combined net sales for 2018. IFF does not believe the impact from these matters is or will be material to IFF’s results of operations or financial condition. The costs arising from these matters, however, could be material in a particular fiscal quarter.</w:t>
      </w:r>
    </w:p>
    <w:p>
      <w:pPr>
        <w:spacing w:after="0" w:line="9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IFF is committed to the highest standards of ethics and compliance and has strict compliance policies in place that are regularly reviewed and updated. Consistent with such policies, IFF has taken or will take appropriate remedial actions with respect to the matters described above. Although the investigations are continuing, based on the results to date and other compliance-related integration activities IFF is not currently aware of similar instances of misconduct.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been identified as a PRP at seven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$3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8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6920" w:type="dxa"/>
            <w:vAlign w:val="bottom"/>
            <w:gridSpan w:val="2"/>
          </w:tcPr>
          <w:p>
            <w:pPr>
              <w:spacing w:after="0"/>
              <w:rPr>
                <w:rFonts w:ascii="Arial" w:cs="Arial" w:eastAsia="Arial" w:hAnsi="Arial"/>
                <w:sz w:val="18"/>
                <w:szCs w:val="18"/>
                <w:color w:val="0000FF"/>
                <w:w w:val="96"/>
              </w:rPr>
            </w:pPr>
            <w:hyperlink w:anchor="page53">
              <w:r>
                <w:rPr>
                  <w:rFonts w:ascii="Arial" w:cs="Arial" w:eastAsia="Arial" w:hAnsi="Arial"/>
                  <w:sz w:val="18"/>
                  <w:szCs w:val="18"/>
                  <w:color w:val="0000FF"/>
                  <w:w w:val="96"/>
                </w:rPr>
                <w:t>Certification of Andreas Fibig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6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6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Richard A. O'Leary pursuant to Section 302 of the Sarbanes-Oxley Act of 2002.</w:t>
              </w:r>
            </w:hyperlink>
          </w:p>
        </w:tc>
      </w:tr>
    </w:tbl>
    <w:p>
      <w:pPr>
        <w:spacing w:after="0" w:line="67" w:lineRule="exact"/>
        <w:rPr>
          <w:sz w:val="20"/>
          <w:szCs w:val="20"/>
          <w:color w:val="auto"/>
        </w:rPr>
      </w:pPr>
    </w:p>
    <w:p>
      <w:pPr>
        <w:ind w:left="1080" w:hanging="1045"/>
        <w:spacing w:after="0" w:line="277" w:lineRule="auto"/>
        <w:tabs>
          <w:tab w:leader="none" w:pos="1080" w:val="left"/>
        </w:tabs>
        <w:numPr>
          <w:ilvl w:val="0"/>
          <w:numId w:val="28"/>
        </w:numPr>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Andreas Fibig and Richard A. O'Leary pursuant to 18 U.S.C. Section 1350 as adopted pursuant to the Sarbanes-Oxley Act of</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2002.</w:t>
        </w:r>
      </w:hyperlink>
    </w:p>
    <w:p>
      <w:pPr>
        <w:spacing w:after="0" w:line="8"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742" w:right="419" w:bottom="1440" w:gutter="0" w:footer="0" w:header="0"/>
        </w:sectPr>
      </w:pPr>
    </w:p>
    <w:bookmarkStart w:id="51" w:name="page52"/>
    <w:bookmarkEnd w:id="51"/>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80"/>
          </w:cols>
          <w:pgMar w:left="240" w:top="580" w:right="87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16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161"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ind w:left="1380" w:right="40" w:hanging="715"/>
        <w:spacing w:after="0" w:line="316"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sz w:val="20"/>
          <w:szCs w:val="20"/>
          <w:color w:val="auto"/>
        </w:rPr>
      </w:pPr>
    </w:p>
    <w:p>
      <w:pPr>
        <w:ind w:left="1380" w:right="420" w:hanging="728"/>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Dated: August 5, 2019</w:t>
      </w:r>
    </w:p>
    <w:p>
      <w:pPr>
        <w:spacing w:after="0" w:line="162" w:lineRule="exact"/>
        <w:rPr>
          <w:sz w:val="20"/>
          <w:szCs w:val="20"/>
          <w:color w:val="auto"/>
        </w:rPr>
      </w:pPr>
    </w:p>
    <w:tbl>
      <w:tblPr>
        <w:tblLayout w:type="fixed"/>
        <w:tblInd w:w="206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8400" w:type="dxa"/>
            <w:vAlign w:val="bottom"/>
          </w:tcPr>
          <w:p>
            <w:pPr>
              <w:ind w:left="20"/>
              <w:spacing w:after="0"/>
              <w:rPr>
                <w:sz w:val="20"/>
                <w:szCs w:val="20"/>
                <w:color w:val="auto"/>
              </w:rPr>
            </w:pPr>
            <w:r>
              <w:rPr>
                <w:rFonts w:ascii="Arial" w:cs="Arial" w:eastAsia="Arial" w:hAnsi="Arial"/>
                <w:sz w:val="20"/>
                <w:szCs w:val="20"/>
                <w:color w:val="auto"/>
              </w:rPr>
              <w:t>/s/ Andreas Fibig</w:t>
            </w:r>
          </w:p>
        </w:tc>
      </w:tr>
      <w:tr>
        <w:trPr>
          <w:trHeight w:val="23"/>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54"/>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8400" w:type="dxa"/>
            <w:vAlign w:val="bottom"/>
          </w:tcPr>
          <w:p>
            <w:pPr>
              <w:ind w:left="20"/>
              <w:spacing w:after="0"/>
              <w:rPr>
                <w:sz w:val="20"/>
                <w:szCs w:val="20"/>
                <w:color w:val="auto"/>
              </w:rPr>
            </w:pPr>
            <w:r>
              <w:rPr>
                <w:rFonts w:ascii="Arial" w:cs="Arial" w:eastAsia="Arial" w:hAnsi="Arial"/>
                <w:sz w:val="20"/>
                <w:szCs w:val="20"/>
                <w:color w:val="auto"/>
              </w:rPr>
              <w:t>Andreas Fibig</w:t>
            </w:r>
          </w:p>
        </w:tc>
      </w:tr>
      <w:tr>
        <w:trPr>
          <w:trHeight w:val="284"/>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8400" w:type="dxa"/>
            <w:vAlign w:val="bottom"/>
          </w:tcPr>
          <w:p>
            <w:pPr>
              <w:ind w:left="20"/>
              <w:spacing w:after="0"/>
              <w:rPr>
                <w:sz w:val="20"/>
                <w:szCs w:val="20"/>
                <w:color w:val="auto"/>
              </w:rPr>
            </w:pPr>
            <w:r>
              <w:rPr>
                <w:rFonts w:ascii="Arial" w:cs="Arial" w:eastAsia="Arial" w:hAnsi="Arial"/>
                <w:sz w:val="20"/>
                <w:szCs w:val="20"/>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16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161"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Dated: August 5, 2019</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8180" w:type="dxa"/>
            <w:vAlign w:val="bottom"/>
          </w:tcPr>
          <w:p>
            <w:pPr>
              <w:ind w:left="40"/>
              <w:spacing w:after="0"/>
              <w:rPr>
                <w:sz w:val="20"/>
                <w:szCs w:val="20"/>
                <w:color w:val="auto"/>
              </w:rPr>
            </w:pPr>
            <w:r>
              <w:rPr>
                <w:rFonts w:ascii="Arial" w:cs="Arial" w:eastAsia="Arial" w:hAnsi="Arial"/>
                <w:sz w:val="20"/>
                <w:szCs w:val="20"/>
                <w:color w:val="auto"/>
              </w:rPr>
              <w:t>/s/ Richard A. O'Leary</w:t>
            </w:r>
          </w:p>
        </w:tc>
      </w:tr>
      <w:tr>
        <w:trPr>
          <w:trHeight w:val="23"/>
        </w:trPr>
        <w:tc>
          <w:tcPr>
            <w:tcW w:w="74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54"/>
        </w:trPr>
        <w:tc>
          <w:tcPr>
            <w:tcW w:w="740" w:type="dxa"/>
            <w:vAlign w:val="bottom"/>
          </w:tcPr>
          <w:p>
            <w:pPr>
              <w:spacing w:after="0"/>
              <w:rPr>
                <w:sz w:val="20"/>
                <w:szCs w:val="20"/>
                <w:color w:val="auto"/>
              </w:rPr>
            </w:pPr>
            <w:r>
              <w:rPr>
                <w:rFonts w:ascii="Arial" w:cs="Arial" w:eastAsia="Arial" w:hAnsi="Arial"/>
                <w:sz w:val="20"/>
                <w:szCs w:val="20"/>
                <w:color w:val="auto"/>
              </w:rPr>
              <w:t>Name:</w:t>
            </w:r>
          </w:p>
        </w:tc>
        <w:tc>
          <w:tcPr>
            <w:tcW w:w="8180" w:type="dxa"/>
            <w:vAlign w:val="bottom"/>
          </w:tcPr>
          <w:p>
            <w:pPr>
              <w:ind w:left="40"/>
              <w:spacing w:after="0"/>
              <w:rPr>
                <w:sz w:val="20"/>
                <w:szCs w:val="20"/>
                <w:color w:val="auto"/>
              </w:rPr>
            </w:pPr>
            <w:r>
              <w:rPr>
                <w:rFonts w:ascii="Arial" w:cs="Arial" w:eastAsia="Arial" w:hAnsi="Arial"/>
                <w:sz w:val="20"/>
                <w:szCs w:val="20"/>
                <w:color w:val="auto"/>
              </w:rPr>
              <w:t>Richard A. O'Leary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8180" w:type="dxa"/>
            <w:vAlign w:val="bottom"/>
          </w:tcPr>
          <w:p>
            <w:pPr>
              <w:ind w:left="40"/>
              <w:spacing w:after="0"/>
              <w:rPr>
                <w:sz w:val="20"/>
                <w:szCs w:val="20"/>
                <w:color w:val="auto"/>
              </w:rPr>
            </w:pPr>
            <w:r>
              <w:rPr>
                <w:rFonts w:ascii="Arial" w:cs="Arial" w:eastAsia="Arial" w:hAnsi="Arial"/>
                <w:sz w:val="20"/>
                <w:szCs w:val="20"/>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75"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2019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23" w:lineRule="exact"/>
        <w:rPr>
          <w:sz w:val="20"/>
          <w:szCs w:val="20"/>
          <w:color w:val="auto"/>
        </w:rPr>
      </w:pPr>
    </w:p>
    <w:p>
      <w:pPr>
        <w:ind w:right="2080" w:firstLine="8"/>
        <w:spacing w:after="0" w:line="408" w:lineRule="auto"/>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31559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Andreas Fibig</w:t>
      </w:r>
    </w:p>
    <w:p>
      <w:pPr>
        <w:spacing w:after="0" w:line="5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Title:</w:t>
        <w:tab/>
        <w:t>Chairman of the Board and Chief Executive Officer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August 5, 2019</w:t>
      </w:r>
    </w:p>
    <w:p>
      <w:pPr>
        <w:spacing w:after="0" w:line="189"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3155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Richard A. O'Leary</w:t>
      </w:r>
    </w:p>
    <w:p>
      <w:pPr>
        <w:spacing w:after="0" w:line="5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Title:</w:t>
        <w:tab/>
        <w:t>Executive Vice President and Chief Financial Officer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August 5, 2019</w:t>
      </w: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2"/>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32"/>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2019-12-28T08:24:43Z</dcterms:created>
  <dcterms:modified xsi:type="dcterms:W3CDTF">2019-12-28T08:24:43Z</dcterms:modified>
</cp:coreProperties>
</file>