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-226060</wp:posOffset>
            </wp:positionV>
            <wp:extent cx="120015" cy="1200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-565785</wp:posOffset>
            </wp:positionV>
            <wp:extent cx="120015" cy="120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6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5218430</wp:posOffset>
            </wp:positionH>
            <wp:positionV relativeFrom="paragraph">
              <wp:posOffset>-612775</wp:posOffset>
            </wp:positionV>
            <wp:extent cx="57150" cy="6261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3936365</wp:posOffset>
            </wp:positionH>
            <wp:positionV relativeFrom="paragraph">
              <wp:posOffset>-612775</wp:posOffset>
            </wp:positionV>
            <wp:extent cx="57150" cy="6261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725805</wp:posOffset>
            </wp:positionV>
            <wp:extent cx="6996430" cy="44723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6430" cy="4472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6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Drosos Virginia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77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INTERNATIONAL FLAVORS &amp;</w:t>
              </w:r>
            </w:hyperlink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  <w:gridSpan w:val="6"/>
            <w:vMerge w:val="restart"/>
          </w:tcPr>
          <w:p>
            <w:pPr>
              <w:spacing w:after="0" w:line="207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FRAGRANCES INC 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IFF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521 WEST 57TH STREET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05/01/2026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NY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10019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6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05/01/2026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2,335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 w:line="3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2,434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1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2,335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2,335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70.81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-1807210</wp:posOffset>
            </wp:positionV>
            <wp:extent cx="28575" cy="18122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81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 RSUs granted under the Non-Employee Director Compensation Program.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("RSUs") convert to Common Stock on a one-for-one basis.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July 1, 2025, the reporting person was granted 2,335 restricted stock units, all of which vested on May 1, 2026.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Chrystalla Potamitou,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05/04/2026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0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attorney in fact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3760" w:hanging="1"/>
        <w:spacing w:after="0" w:line="32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54969" TargetMode="External"/><Relationship Id="rId14" Type="http://schemas.openxmlformats.org/officeDocument/2006/relationships/hyperlink" Target="http://www.sec.gov/cgi-bin/browse-edgar?action=getcompany&amp;CIK=0000051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2026-05-04T16:16:57Z</dcterms:created>
  <dcterms:modified xsi:type="dcterms:W3CDTF">2026-05-04T16:16:57Z</dcterms:modified>
</cp:coreProperties>
</file>