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color w:val="auto"/>
        </w:rPr>
        <w:t>Filing pursuant to Rule 425 under the</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Securities Act of 1933, as amended</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Filer: International Flavors &amp; Fragrances Inc.</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5"/>
          <w:szCs w:val="15"/>
          <w:color w:val="auto"/>
        </w:rPr>
        <w:t>Subject Companies: International Flavors &amp; Fragrances Inc.; Frutarom Industries Ltd.</w:t>
      </w:r>
    </w:p>
    <w:p>
      <w:pPr>
        <w:spacing w:after="0" w:line="3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Filer’s Commission File Number: 1-4858</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Date: September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158750</wp:posOffset>
            </wp:positionV>
            <wp:extent cx="7312025" cy="4116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ectPr>
          <w:pgSz w:w="11900" w:h="16838" w:orient="portrait"/>
          <w:cols w:equalWidth="0" w:num="1">
            <w:col w:w="10220"/>
          </w:cols>
          <w:pgMar w:left="1440" w:top="232"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Cautionary Statement Regarding Forward Looking Statements</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ectPr>
          <w:pgSz w:w="11900" w:h="16838" w:orient="portrait"/>
          <w:cols w:equalWidth="0" w:num="1">
            <w:col w:w="11420"/>
          </w:cols>
          <w:pgMar w:left="240" w:top="265" w:right="239" w:bottom="1440" w:gutter="0" w:footer="0" w:header="0"/>
        </w:sectPr>
      </w:pPr>
    </w:p>
    <w:bookmarkStart w:id="42" w:name="page43"/>
    <w:bookmarkEnd w:id="42"/>
    <w:p>
      <w:pPr>
        <w:ind w:right="5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addition to the factors set forth above, other factors that may affect IFF’s plans, results or stock price are set forth in IFF’s Annual Report on Form 10-K, Quarterly Reports on Form 10-Q and Current Reports on Form 8-K.</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Additional Information and Where to Find It</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 connection with the proposed merger, IFF has filed with the SEC a registration statement on Form S-4 (File No. 333-225728), including Amendment No.1 thereto, that constitutes a prospectus of IFF and attaches as an exhibit a proxy statement of Frutarom. The registration statement was declared effective by the SEC on July 3, 2018, and IFF commenced mailing the definitive prospectus to Frutarom shareholders of record on July 6, 2018.</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INVESTORS AND SECURITY HOLDERS OF FRUTAROM ARE URGED TO READ THE DEFINITIVE PROSPECTUS AND OTHER DOCUMENTS FILED WITH THE SEC CAREFULLY AND IN THEIR ENTIRETY BECAUSE THEY WILL CONTAIN IMPORTANT INFORMATION ABOUT THE PROPOSED MERGER. Investors and security holders are able to obtain free copies of the registration statement and other documents filed with the SEC by the parties through the website maintained by the SEC at http://www.sec.gov. Copies of the documents filed with the SEC by IFF will be available free of charge on IFF’s internet website at ir.iff.com.</w:t>
      </w:r>
    </w:p>
    <w:sectPr>
      <w:pgSz w:w="11900" w:h="16838" w:orient="portrait"/>
      <w:cols w:equalWidth="0" w:num="1">
        <w:col w:w="11360"/>
      </w:cols>
      <w:pgMar w:left="240" w:top="2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2019-12-05T06:50:41Z</dcterms:created>
  <dcterms:modified xsi:type="dcterms:W3CDTF">2019-12-05T06:50:41Z</dcterms:modified>
</cp:coreProperties>
</file>