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ind w:left="4580"/>
        <w:spacing w:after="0"/>
        <w:rPr>
          <w:sz w:val="20"/>
          <w:szCs w:val="20"/>
          <w:color w:val="auto"/>
        </w:rPr>
      </w:pPr>
      <w:r>
        <w:rPr>
          <w:rFonts w:ascii="Times New Roman" w:cs="Times New Roman" w:eastAsia="Times New Roman" w:hAnsi="Times New Roman"/>
          <w:sz w:val="20"/>
          <w:szCs w:val="20"/>
          <w:b w:val="1"/>
          <w:bCs w:val="1"/>
          <w:color w:val="auto"/>
        </w:rPr>
        <w:t>_____________________</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_____________________</w:t>
      </w:r>
    </w:p>
    <w:p>
      <w:pPr>
        <w:spacing w:after="0" w:line="95"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spacing w:after="0" w:line="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41" w:lineRule="exact"/>
        <w:rPr>
          <w:sz w:val="24"/>
          <w:szCs w:val="24"/>
          <w:color w:val="auto"/>
        </w:rPr>
      </w:pPr>
    </w:p>
    <w:p>
      <w:pPr>
        <w:ind w:left="2800"/>
        <w:spacing w:after="0"/>
        <w:tabs>
          <w:tab w:leader="none" w:pos="7120" w:val="left"/>
        </w:tabs>
        <w:rPr>
          <w:sz w:val="20"/>
          <w:szCs w:val="20"/>
          <w:color w:val="auto"/>
        </w:rPr>
      </w:pPr>
      <w:r>
        <w:rPr>
          <w:rFonts w:ascii="Times New Roman" w:cs="Times New Roman" w:eastAsia="Times New Roman" w:hAnsi="Times New Roman"/>
          <w:sz w:val="20"/>
          <w:szCs w:val="20"/>
          <w:b w:val="1"/>
          <w:bCs w:val="1"/>
          <w:color w:val="auto"/>
        </w:rPr>
        <w:t>Date of report (Date of earliest event reported):</w:t>
      </w:r>
      <w:r>
        <w:rPr>
          <w:sz w:val="20"/>
          <w:szCs w:val="20"/>
          <w:color w:val="auto"/>
        </w:rPr>
        <w:tab/>
      </w:r>
      <w:r>
        <w:rPr>
          <w:rFonts w:ascii="Times New Roman" w:cs="Times New Roman" w:eastAsia="Times New Roman" w:hAnsi="Times New Roman"/>
          <w:sz w:val="19"/>
          <w:szCs w:val="19"/>
          <w:b w:val="1"/>
          <w:bCs w:val="1"/>
          <w:color w:val="auto"/>
        </w:rPr>
        <w:t>May 5, 2026</w:t>
      </w:r>
    </w:p>
    <w:p>
      <w:pPr>
        <w:spacing w:after="0" w:line="94"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_____________________</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INTERNATIONAL FLAVORS &amp; FRAGRANCES INC.</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Charter)</w:t>
      </w:r>
    </w:p>
    <w:p>
      <w:pPr>
        <w:ind w:left="4580"/>
        <w:spacing w:after="0"/>
        <w:rPr>
          <w:sz w:val="20"/>
          <w:szCs w:val="20"/>
          <w:color w:val="auto"/>
        </w:rPr>
      </w:pPr>
      <w:r>
        <w:rPr>
          <w:rFonts w:ascii="Times New Roman" w:cs="Times New Roman" w:eastAsia="Times New Roman" w:hAnsi="Times New Roman"/>
          <w:sz w:val="20"/>
          <w:szCs w:val="20"/>
          <w:b w:val="1"/>
          <w:bCs w:val="1"/>
          <w:color w:val="auto"/>
        </w:rPr>
        <w:t>_____________________</w:t>
      </w:r>
    </w:p>
    <w:p>
      <w:pPr>
        <w:spacing w:after="0" w:line="95" w:lineRule="exact"/>
        <w:rPr>
          <w:sz w:val="24"/>
          <w:szCs w:val="24"/>
          <w:color w:val="auto"/>
        </w:rPr>
      </w:pPr>
    </w:p>
    <w:tbl>
      <w:tblPr>
        <w:tblLayout w:type="fixed"/>
        <w:tblInd w:w="1700" w:type="dxa"/>
        <w:tblCellMar>
          <w:top w:w="0" w:type="dxa"/>
          <w:left w:w="0" w:type="dxa"/>
          <w:bottom w:w="0" w:type="dxa"/>
          <w:right w:w="0" w:type="dxa"/>
        </w:tblCellMar>
      </w:tblPr>
      <w:tr>
        <w:trPr>
          <w:trHeight w:val="262"/>
        </w:trPr>
        <w:tc>
          <w:tcPr>
            <w:tcW w:w="2960" w:type="dxa"/>
            <w:vAlign w:val="bottom"/>
          </w:tcPr>
          <w:p>
            <w:pPr>
              <w:jc w:val="center"/>
              <w:ind w:right="949"/>
              <w:spacing w:after="0"/>
              <w:rPr>
                <w:sz w:val="20"/>
                <w:szCs w:val="20"/>
                <w:color w:val="auto"/>
              </w:rPr>
            </w:pPr>
            <w:r>
              <w:rPr>
                <w:rFonts w:ascii="Times New Roman" w:cs="Times New Roman" w:eastAsia="Times New Roman" w:hAnsi="Times New Roman"/>
                <w:sz w:val="20"/>
                <w:szCs w:val="20"/>
                <w:b w:val="1"/>
                <w:bCs w:val="1"/>
                <w:color w:val="auto"/>
                <w:w w:val="96"/>
              </w:rPr>
              <w:t>New York</w:t>
            </w:r>
          </w:p>
        </w:tc>
        <w:tc>
          <w:tcPr>
            <w:tcW w:w="1460" w:type="dxa"/>
            <w:vAlign w:val="bottom"/>
          </w:tcPr>
          <w:p>
            <w:pPr>
              <w:jc w:val="right"/>
              <w:ind w:right="127"/>
              <w:spacing w:after="0"/>
              <w:rPr>
                <w:sz w:val="20"/>
                <w:szCs w:val="20"/>
                <w:color w:val="auto"/>
              </w:rPr>
            </w:pPr>
            <w:r>
              <w:rPr>
                <w:rFonts w:ascii="Times New Roman" w:cs="Times New Roman" w:eastAsia="Times New Roman" w:hAnsi="Times New Roman"/>
                <w:sz w:val="20"/>
                <w:szCs w:val="20"/>
                <w:b w:val="1"/>
                <w:bCs w:val="1"/>
                <w:color w:val="auto"/>
              </w:rPr>
              <w:t>1-4858</w:t>
            </w:r>
          </w:p>
        </w:tc>
        <w:tc>
          <w:tcPr>
            <w:tcW w:w="1040" w:type="dxa"/>
            <w:vAlign w:val="bottom"/>
          </w:tcPr>
          <w:p>
            <w:pPr>
              <w:spacing w:after="0"/>
              <w:rPr>
                <w:sz w:val="22"/>
                <w:szCs w:val="22"/>
                <w:color w:val="auto"/>
              </w:rPr>
            </w:pPr>
          </w:p>
        </w:tc>
        <w:tc>
          <w:tcPr>
            <w:tcW w:w="2060" w:type="dxa"/>
            <w:vAlign w:val="bottom"/>
          </w:tcPr>
          <w:p>
            <w:pPr>
              <w:jc w:val="center"/>
              <w:ind w:left="689"/>
              <w:spacing w:after="0"/>
              <w:rPr>
                <w:sz w:val="20"/>
                <w:szCs w:val="20"/>
                <w:color w:val="auto"/>
              </w:rPr>
            </w:pPr>
            <w:r>
              <w:rPr>
                <w:rFonts w:ascii="Times New Roman" w:cs="Times New Roman" w:eastAsia="Times New Roman" w:hAnsi="Times New Roman"/>
                <w:sz w:val="20"/>
                <w:szCs w:val="20"/>
                <w:b w:val="1"/>
                <w:bCs w:val="1"/>
                <w:color w:val="auto"/>
                <w:w w:val="99"/>
              </w:rPr>
              <w:t>13-1432060</w:t>
            </w:r>
          </w:p>
        </w:tc>
      </w:tr>
      <w:tr>
        <w:trPr>
          <w:trHeight w:val="210"/>
        </w:trPr>
        <w:tc>
          <w:tcPr>
            <w:tcW w:w="2960" w:type="dxa"/>
            <w:vAlign w:val="bottom"/>
          </w:tcPr>
          <w:p>
            <w:pPr>
              <w:jc w:val="center"/>
              <w:ind w:right="949"/>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146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1040" w:type="dxa"/>
            <w:vAlign w:val="bottom"/>
          </w:tcPr>
          <w:p>
            <w:pPr>
              <w:spacing w:after="0"/>
              <w:rPr>
                <w:sz w:val="18"/>
                <w:szCs w:val="18"/>
                <w:color w:val="auto"/>
              </w:rPr>
            </w:pPr>
          </w:p>
        </w:tc>
        <w:tc>
          <w:tcPr>
            <w:tcW w:w="2060" w:type="dxa"/>
            <w:vAlign w:val="bottom"/>
          </w:tcPr>
          <w:p>
            <w:pPr>
              <w:jc w:val="center"/>
              <w:ind w:left="66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2960" w:type="dxa"/>
            <w:vAlign w:val="bottom"/>
          </w:tcPr>
          <w:p>
            <w:pPr>
              <w:jc w:val="center"/>
              <w:ind w:right="949"/>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146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040" w:type="dxa"/>
            <w:vAlign w:val="bottom"/>
          </w:tcPr>
          <w:p>
            <w:pPr>
              <w:spacing w:after="0"/>
              <w:rPr>
                <w:sz w:val="18"/>
                <w:szCs w:val="18"/>
                <w:color w:val="auto"/>
              </w:rPr>
            </w:pPr>
          </w:p>
        </w:tc>
        <w:tc>
          <w:tcPr>
            <w:tcW w:w="2060" w:type="dxa"/>
            <w:vAlign w:val="bottom"/>
          </w:tcPr>
          <w:p>
            <w:pPr>
              <w:jc w:val="center"/>
              <w:ind w:left="70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88"/>
        </w:trPr>
        <w:tc>
          <w:tcPr>
            <w:tcW w:w="2960" w:type="dxa"/>
            <w:vAlign w:val="bottom"/>
          </w:tcPr>
          <w:p>
            <w:pPr>
              <w:jc w:val="center"/>
              <w:ind w:left="909"/>
              <w:spacing w:after="0"/>
              <w:rPr>
                <w:sz w:val="20"/>
                <w:szCs w:val="20"/>
                <w:color w:val="auto"/>
              </w:rPr>
            </w:pPr>
            <w:r>
              <w:rPr>
                <w:rFonts w:ascii="Times New Roman" w:cs="Times New Roman" w:eastAsia="Times New Roman" w:hAnsi="Times New Roman"/>
                <w:sz w:val="20"/>
                <w:szCs w:val="20"/>
                <w:b w:val="1"/>
                <w:bCs w:val="1"/>
                <w:color w:val="auto"/>
                <w:w w:val="98"/>
              </w:rPr>
              <w:t>521 West 57th Street,</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New York,</w:t>
            </w:r>
          </w:p>
        </w:tc>
        <w:tc>
          <w:tcPr>
            <w:tcW w:w="10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New York</w:t>
            </w:r>
          </w:p>
        </w:tc>
        <w:tc>
          <w:tcPr>
            <w:tcW w:w="2060" w:type="dxa"/>
            <w:vAlign w:val="bottom"/>
          </w:tcPr>
          <w:p>
            <w:pPr>
              <w:jc w:val="center"/>
              <w:ind w:right="449"/>
              <w:spacing w:after="0"/>
              <w:rPr>
                <w:sz w:val="20"/>
                <w:szCs w:val="20"/>
                <w:color w:val="auto"/>
              </w:rPr>
            </w:pPr>
            <w:r>
              <w:rPr>
                <w:rFonts w:ascii="Times New Roman" w:cs="Times New Roman" w:eastAsia="Times New Roman" w:hAnsi="Times New Roman"/>
                <w:sz w:val="20"/>
                <w:szCs w:val="20"/>
                <w:b w:val="1"/>
                <w:bCs w:val="1"/>
                <w:color w:val="auto"/>
                <w:w w:val="95"/>
              </w:rPr>
              <w:t>10019</w:t>
            </w:r>
          </w:p>
        </w:tc>
      </w:tr>
      <w:tr>
        <w:trPr>
          <w:trHeight w:val="270"/>
        </w:trPr>
        <w:tc>
          <w:tcPr>
            <w:tcW w:w="2960" w:type="dxa"/>
            <w:vAlign w:val="bottom"/>
          </w:tcPr>
          <w:p>
            <w:pPr>
              <w:jc w:val="center"/>
              <w:ind w:left="909"/>
              <w:spacing w:after="0"/>
              <w:rPr>
                <w:sz w:val="20"/>
                <w:szCs w:val="20"/>
                <w:color w:val="auto"/>
              </w:rPr>
            </w:pPr>
            <w:r>
              <w:rPr>
                <w:rFonts w:ascii="Times New Roman" w:cs="Times New Roman" w:eastAsia="Times New Roman" w:hAnsi="Times New Roman"/>
                <w:sz w:val="20"/>
                <w:szCs w:val="20"/>
                <w:b w:val="1"/>
                <w:bCs w:val="1"/>
                <w:color w:val="auto"/>
                <w:w w:val="99"/>
              </w:rPr>
              <w:t>200 Powder Mill Road,</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Wilmington,</w:t>
            </w:r>
          </w:p>
        </w:tc>
        <w:tc>
          <w:tcPr>
            <w:tcW w:w="10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Delaware</w:t>
            </w:r>
          </w:p>
        </w:tc>
        <w:tc>
          <w:tcPr>
            <w:tcW w:w="2060" w:type="dxa"/>
            <w:vAlign w:val="bottom"/>
          </w:tcPr>
          <w:p>
            <w:pPr>
              <w:jc w:val="center"/>
              <w:ind w:right="449"/>
              <w:spacing w:after="0"/>
              <w:rPr>
                <w:sz w:val="20"/>
                <w:szCs w:val="20"/>
                <w:color w:val="auto"/>
              </w:rPr>
            </w:pPr>
            <w:r>
              <w:rPr>
                <w:rFonts w:ascii="Times New Roman" w:cs="Times New Roman" w:eastAsia="Times New Roman" w:hAnsi="Times New Roman"/>
                <w:sz w:val="20"/>
                <w:szCs w:val="20"/>
                <w:b w:val="1"/>
                <w:bCs w:val="1"/>
                <w:color w:val="auto"/>
                <w:w w:val="95"/>
              </w:rPr>
              <w:t>19803</w:t>
            </w:r>
          </w:p>
        </w:tc>
      </w:tr>
      <w:tr>
        <w:trPr>
          <w:trHeight w:val="272"/>
        </w:trPr>
        <w:tc>
          <w:tcPr>
            <w:tcW w:w="5460" w:type="dxa"/>
            <w:vAlign w:val="bottom"/>
            <w:gridSpan w:val="3"/>
          </w:tcPr>
          <w:p>
            <w:pPr>
              <w:ind w:left="182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060" w:type="dxa"/>
            <w:vAlign w:val="bottom"/>
          </w:tcPr>
          <w:p>
            <w:pPr>
              <w:jc w:val="center"/>
              <w:ind w:right="449"/>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377"/>
        </w:trPr>
        <w:tc>
          <w:tcPr>
            <w:tcW w:w="5460" w:type="dxa"/>
            <w:vAlign w:val="bottom"/>
            <w:gridSpan w:val="3"/>
          </w:tcPr>
          <w:p>
            <w:pPr>
              <w:ind w:left="960"/>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w:t>
            </w:r>
          </w:p>
        </w:tc>
        <w:tc>
          <w:tcPr>
            <w:tcW w:w="2060" w:type="dxa"/>
            <w:vAlign w:val="bottom"/>
          </w:tcPr>
          <w:p>
            <w:pPr>
              <w:jc w:val="right"/>
              <w:ind w:right="649"/>
              <w:spacing w:after="0"/>
              <w:rPr>
                <w:sz w:val="20"/>
                <w:szCs w:val="20"/>
                <w:color w:val="auto"/>
              </w:rPr>
            </w:pPr>
            <w:r>
              <w:rPr>
                <w:rFonts w:ascii="Times New Roman" w:cs="Times New Roman" w:eastAsia="Times New Roman" w:hAnsi="Times New Roman"/>
                <w:sz w:val="20"/>
                <w:szCs w:val="20"/>
                <w:b w:val="1"/>
                <w:bCs w:val="1"/>
                <w:color w:val="auto"/>
              </w:rPr>
              <w:t>(212) 765-5500</w:t>
            </w:r>
          </w:p>
        </w:tc>
      </w:tr>
      <w:tr>
        <w:trPr>
          <w:trHeight w:val="337"/>
        </w:trPr>
        <w:tc>
          <w:tcPr>
            <w:tcW w:w="2960" w:type="dxa"/>
            <w:vAlign w:val="bottom"/>
          </w:tcPr>
          <w:p>
            <w:pPr>
              <w:spacing w:after="0"/>
              <w:rPr>
                <w:sz w:val="24"/>
                <w:szCs w:val="24"/>
                <w:color w:val="auto"/>
              </w:rPr>
            </w:pPr>
          </w:p>
        </w:tc>
        <w:tc>
          <w:tcPr>
            <w:tcW w:w="2500" w:type="dxa"/>
            <w:vAlign w:val="bottom"/>
            <w:gridSpan w:val="2"/>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w w:val="98"/>
              </w:rPr>
              <w:t>___________________</w:t>
            </w:r>
          </w:p>
        </w:tc>
        <w:tc>
          <w:tcPr>
            <w:tcW w:w="2060" w:type="dxa"/>
            <w:vAlign w:val="bottom"/>
          </w:tcPr>
          <w:p>
            <w:pPr>
              <w:spacing w:after="0"/>
              <w:rPr>
                <w:sz w:val="24"/>
                <w:szCs w:val="24"/>
                <w:color w:val="auto"/>
              </w:rPr>
            </w:pPr>
          </w:p>
        </w:tc>
      </w:tr>
    </w:tbl>
    <w:p>
      <w:pPr>
        <w:spacing w:after="0" w:line="147"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119"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10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121"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121" w:lineRule="exact"/>
        <w:rPr>
          <w:rFonts w:ascii="MS PGothic" w:cs="MS PGothic" w:eastAsia="MS PGothic" w:hAnsi="MS PGothic"/>
          <w:sz w:val="18"/>
          <w:szCs w:val="18"/>
          <w:color w:val="auto"/>
        </w:rPr>
      </w:pPr>
    </w:p>
    <w:p>
      <w:pPr>
        <w:ind w:right="2140" w:firstLine="48"/>
        <w:spacing w:after="0" w:line="381" w:lineRule="auto"/>
        <w:tabs>
          <w:tab w:leader="none" w:pos="24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color w:val="auto"/>
        </w:rPr>
        <w:t>Pre-commencement communications pursuant to Rule 13e-4(c) under the Exchange Act (17 CFR 240.13e-4(c)) Securities registered pursuant to Section 12(b) of the Act:</w:t>
      </w:r>
    </w:p>
    <w:tbl>
      <w:tblPr>
        <w:tblLayout w:type="fixed"/>
        <w:tblInd w:w="230" w:type="dxa"/>
        <w:tblCellMar>
          <w:top w:w="0" w:type="dxa"/>
          <w:left w:w="0" w:type="dxa"/>
          <w:bottom w:w="0" w:type="dxa"/>
          <w:right w:w="0" w:type="dxa"/>
        </w:tblCellMar>
      </w:tblPr>
      <w:tr>
        <w:trPr>
          <w:trHeight w:val="222"/>
        </w:trPr>
        <w:tc>
          <w:tcPr>
            <w:tcW w:w="4820" w:type="dxa"/>
            <w:vAlign w:val="bottom"/>
            <w:tcBorders>
              <w:top w:val="single" w:sz="8" w:color="auto"/>
              <w:left w:val="single" w:sz="8" w:color="auto"/>
              <w:right w:val="single" w:sz="8" w:color="auto"/>
            </w:tcBorders>
          </w:tcPr>
          <w:p>
            <w:pPr>
              <w:spacing w:after="0"/>
              <w:rPr>
                <w:sz w:val="19"/>
                <w:szCs w:val="19"/>
                <w:color w:val="auto"/>
              </w:rPr>
            </w:pPr>
          </w:p>
        </w:tc>
        <w:tc>
          <w:tcPr>
            <w:tcW w:w="1580" w:type="dxa"/>
            <w:vAlign w:val="bottom"/>
            <w:tcBorders>
              <w:top w:val="single" w:sz="8" w:color="auto"/>
              <w:right w:val="single" w:sz="8" w:color="auto"/>
            </w:tcBorders>
          </w:tcPr>
          <w:p>
            <w:pPr>
              <w:spacing w:after="0"/>
              <w:rPr>
                <w:sz w:val="19"/>
                <w:szCs w:val="19"/>
                <w:color w:val="auto"/>
              </w:rPr>
            </w:pPr>
          </w:p>
        </w:tc>
        <w:tc>
          <w:tcPr>
            <w:tcW w:w="4420" w:type="dxa"/>
            <w:vAlign w:val="bottom"/>
            <w:tcBorders>
              <w:top w:val="single" w:sz="8" w:color="auto"/>
              <w:right w:val="single" w:sz="8" w:color="auto"/>
            </w:tcBorders>
          </w:tcPr>
          <w:p>
            <w:pPr>
              <w:jc w:val="center"/>
              <w:spacing w:after="0" w:line="222" w:lineRule="exact"/>
              <w:rPr>
                <w:sz w:val="20"/>
                <w:szCs w:val="20"/>
                <w:color w:val="auto"/>
              </w:rPr>
            </w:pPr>
            <w:r>
              <w:rPr>
                <w:rFonts w:ascii="Times New Roman" w:cs="Times New Roman" w:eastAsia="Times New Roman" w:hAnsi="Times New Roman"/>
                <w:sz w:val="20"/>
                <w:szCs w:val="20"/>
                <w:color w:val="auto"/>
                <w:w w:val="99"/>
              </w:rPr>
              <w:t>Name of each exchange</w:t>
            </w:r>
          </w:p>
        </w:tc>
      </w:tr>
      <w:tr>
        <w:trPr>
          <w:trHeight w:val="303"/>
        </w:trPr>
        <w:tc>
          <w:tcPr>
            <w:tcW w:w="4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Title of each class</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Trading Symbol(s)</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on which registered</w:t>
            </w:r>
          </w:p>
        </w:tc>
      </w:tr>
      <w:tr>
        <w:trPr>
          <w:trHeight w:val="254"/>
        </w:trPr>
        <w:tc>
          <w:tcPr>
            <w:tcW w:w="4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Common Stock, par value 12 1/2¢ per share</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IFF</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New York Stock Exchange</w:t>
            </w:r>
          </w:p>
        </w:tc>
      </w:tr>
      <w:tr>
        <w:trPr>
          <w:trHeight w:val="250"/>
        </w:trPr>
        <w:tc>
          <w:tcPr>
            <w:tcW w:w="4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1.800% Senior Notes due 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IFF 26</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New York Stock Exchange</w:t>
            </w:r>
          </w:p>
        </w:tc>
      </w:tr>
    </w:tbl>
    <w:p>
      <w:pPr>
        <w:spacing w:after="0" w:line="139" w:lineRule="exact"/>
        <w:rPr>
          <w:sz w:val="24"/>
          <w:szCs w:val="24"/>
          <w:color w:val="auto"/>
        </w:rPr>
      </w:pPr>
    </w:p>
    <w:p>
      <w:pPr>
        <w:ind w:firstLine="274"/>
        <w:spacing w:after="0" w:line="254"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40"/>
        <w:spacing w:after="0" w:line="219" w:lineRule="exact"/>
        <w:rPr>
          <w:sz w:val="20"/>
          <w:szCs w:val="20"/>
          <w:color w:val="auto"/>
        </w:rPr>
      </w:pPr>
      <w:r>
        <w:rPr>
          <w:rFonts w:ascii="Times New Roman" w:cs="Times New Roman" w:eastAsia="Times New Roman" w:hAnsi="Times New Roman"/>
          <w:sz w:val="19"/>
          <w:szCs w:val="19"/>
          <w:color w:val="auto"/>
        </w:rPr>
        <w:t xml:space="preserve">Emerging growth company </w:t>
      </w:r>
      <w:r>
        <w:rPr>
          <w:rFonts w:ascii="MS PGothic" w:cs="MS PGothic" w:eastAsia="MS PGothic" w:hAnsi="MS PGothic"/>
          <w:sz w:val="16"/>
          <w:szCs w:val="16"/>
          <w:color w:val="auto"/>
        </w:rPr>
        <w:t>☐</w:t>
      </w:r>
    </w:p>
    <w:p>
      <w:pPr>
        <w:spacing w:after="0" w:line="158" w:lineRule="exact"/>
        <w:rPr>
          <w:sz w:val="24"/>
          <w:szCs w:val="24"/>
          <w:color w:val="auto"/>
        </w:rPr>
      </w:pPr>
    </w:p>
    <w:p>
      <w:pPr>
        <w:ind w:left="40" w:right="380" w:firstLine="648"/>
        <w:spacing w:after="0" w:line="266"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Attached and being furnished hereby as Exhibit 99.1 is a copy of a press release of International Flavors &amp; Fragrances Inc. (“IFF” or the “Company”), dated May 5, 2026, reporting IFF’s financial results for the quarter ended March 31, 2026.</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A live webcast to discuss the Company’s first quarter 2026 financial results will be held on May 6, 2026, at 9:00 a.m. ET. The webcast and accompanying slide presentation may be accessed on the Company’s IR website at </w:t>
      </w:r>
      <w:r>
        <w:rPr>
          <w:rFonts w:ascii="Times New Roman" w:cs="Times New Roman" w:eastAsia="Times New Roman" w:hAnsi="Times New Roman"/>
          <w:sz w:val="20"/>
          <w:szCs w:val="20"/>
          <w:u w:val="single" w:color="auto"/>
          <w:color w:val="auto"/>
        </w:rPr>
        <w:t>ir.iff.com</w:t>
      </w:r>
      <w:r>
        <w:rPr>
          <w:rFonts w:ascii="Times New Roman" w:cs="Times New Roman" w:eastAsia="Times New Roman" w:hAnsi="Times New Roman"/>
          <w:sz w:val="20"/>
          <w:szCs w:val="20"/>
          <w:color w:val="auto"/>
        </w:rPr>
        <w:t>. For those unable to listen to the live webcast, a recorded version will be made available on the Company’s website approximately one hour after the event and will remain available on IFF’s website for one year.</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Exhibit 99.1 is being furnished under Item 2.02 and shall not be deemed “filed” for purposes of Section 18 of the Securities Exchange Act of 1934, as amended (the “Exchange Act”), or otherwise subject to the liability of such section, nor shall such exhibit be deemed incorporated by reference in any filing under the Securities Act of 1993, as amended, or the Exchange Act.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 Exhibits</w:t>
            </w:r>
          </w:p>
        </w:tc>
        <w:tc>
          <w:tcPr>
            <w:tcW w:w="92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318"/>
        </w:trPr>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w w:val="97"/>
              </w:rPr>
              <w:t>Number</w:t>
            </w:r>
          </w:p>
        </w:tc>
        <w:tc>
          <w:tcPr>
            <w:tcW w:w="30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Description</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99.1</w:t>
            </w:r>
          </w:p>
        </w:tc>
        <w:tc>
          <w:tcPr>
            <w:tcW w:w="300" w:type="dxa"/>
            <w:vAlign w:val="bottom"/>
          </w:tcPr>
          <w:p>
            <w:pPr>
              <w:spacing w:after="0"/>
              <w:rPr>
                <w:sz w:val="20"/>
                <w:szCs w:val="20"/>
                <w:color w:val="auto"/>
              </w:rPr>
            </w:pPr>
          </w:p>
        </w:tc>
        <w:tc>
          <w:tcPr>
            <w:tcW w:w="60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Press Release dated May 6, 2025 of International Flavors &amp; Fragrances Inc.</w:t>
            </w:r>
          </w:p>
        </w:tc>
        <w:tc>
          <w:tcPr>
            <w:tcW w:w="4240" w:type="dxa"/>
            <w:vAlign w:val="bottom"/>
          </w:tcPr>
          <w:p>
            <w:pPr>
              <w:spacing w:after="0"/>
              <w:rPr>
                <w:sz w:val="20"/>
                <w:szCs w:val="20"/>
                <w:color w:val="auto"/>
              </w:rPr>
            </w:pPr>
          </w:p>
        </w:tc>
      </w:tr>
      <w:tr>
        <w:trPr>
          <w:trHeight w:val="283"/>
        </w:trPr>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30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014"/>
        </w:trPr>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color w:val="auto"/>
        </w:rPr>
        <w:t>SIGNATURE</w:t>
      </w:r>
    </w:p>
    <w:p>
      <w:pPr>
        <w:spacing w:after="0" w:line="216" w:lineRule="exact"/>
        <w:rPr>
          <w:sz w:val="20"/>
          <w:szCs w:val="20"/>
          <w:color w:val="auto"/>
        </w:rPr>
      </w:pPr>
    </w:p>
    <w:p>
      <w:pPr>
        <w:ind w:firstLine="18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INTERNATIONAL FLAVORS &amp; FRAGRANCES INC.</w:t>
      </w:r>
    </w:p>
    <w:p>
      <w:pPr>
        <w:spacing w:after="0" w:line="310" w:lineRule="exact"/>
        <w:rPr>
          <w:sz w:val="20"/>
          <w:szCs w:val="20"/>
          <w:color w:val="auto"/>
        </w:rPr>
      </w:pPr>
    </w:p>
    <w:p>
      <w:pPr>
        <w:ind w:left="5640"/>
        <w:spacing w:after="0"/>
        <w:tabs>
          <w:tab w:leader="none" w:pos="63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Michael DeVeau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22860</wp:posOffset>
            </wp:positionV>
            <wp:extent cx="31203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0" w:lineRule="exact"/>
        <w:rPr>
          <w:sz w:val="20"/>
          <w:szCs w:val="20"/>
          <w:color w:val="auto"/>
        </w:rPr>
      </w:pPr>
    </w:p>
    <w:p>
      <w:pPr>
        <w:ind w:left="5640"/>
        <w:spacing w:after="0"/>
        <w:tabs>
          <w:tab w:leader="none" w:pos="63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Michael DeVeau</w:t>
      </w:r>
    </w:p>
    <w:p>
      <w:pPr>
        <w:spacing w:after="0" w:line="243" w:lineRule="exact"/>
        <w:rPr>
          <w:sz w:val="20"/>
          <w:szCs w:val="20"/>
          <w:color w:val="auto"/>
        </w:rPr>
      </w:pPr>
    </w:p>
    <w:p>
      <w:pPr>
        <w:ind w:left="5640"/>
        <w:spacing w:after="0"/>
        <w:tabs>
          <w:tab w:leader="none" w:pos="6320" w:val="left"/>
        </w:tabs>
        <w:rPr>
          <w:sz w:val="20"/>
          <w:szCs w:val="20"/>
          <w:color w:val="auto"/>
        </w:rPr>
      </w:pPr>
      <w:r>
        <w:rPr>
          <w:rFonts w:ascii="Times New Roman" w:cs="Times New Roman" w:eastAsia="Times New Roman" w:hAnsi="Times New Roman"/>
          <w:sz w:val="20"/>
          <w:szCs w:val="20"/>
          <w:color w:val="auto"/>
        </w:rPr>
        <w:t>Title:</w:t>
        <w:tab/>
        <w:t>Executive Vice President, Chief Financial Officer</w:t>
      </w:r>
    </w:p>
    <w:p>
      <w:pPr>
        <w:spacing w:after="0" w:line="40" w:lineRule="exact"/>
        <w:rPr>
          <w:sz w:val="20"/>
          <w:szCs w:val="20"/>
          <w:color w:val="auto"/>
        </w:rPr>
      </w:pPr>
    </w:p>
    <w:p>
      <w:pPr>
        <w:ind w:left="5640"/>
        <w:spacing w:after="0"/>
        <w:tabs>
          <w:tab w:leader="none" w:pos="632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19"/>
          <w:szCs w:val="19"/>
          <w:color w:val="auto"/>
        </w:rPr>
        <w:t>May 5, 2026</w:t>
      </w:r>
    </w:p>
    <w:p>
      <w:pPr>
        <w:sectPr>
          <w:pgSz w:w="11900" w:h="16838" w:orient="portrait"/>
          <w:cols w:equalWidth="0" w:num="1">
            <w:col w:w="11020"/>
          </w:cols>
          <w:pgMar w:left="320" w:top="1129" w:right="55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FOR IMMEDIATE RELEASE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Media Relations: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Paulina Heinkel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332.877.5339</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Media.request@iff.com</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Michael Bender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212.708.7263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Investor.Relations@iff.com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60065" cy="685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6006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IFF Reports First Quarter 2026 Results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Delivered solid top and bottom line Q1 results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Progressing disciplined sale process for Food Ingredients business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Reaffirms Full Year 2026 Financial Guidance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NEW YORK - May 5, 2026 </w:t>
      </w:r>
      <w:r>
        <w:rPr>
          <w:rFonts w:ascii="Arial" w:cs="Arial" w:eastAsia="Arial" w:hAnsi="Arial"/>
          <w:sz w:val="16"/>
          <w:szCs w:val="16"/>
          <w:color w:val="auto"/>
        </w:rPr>
        <w:t>- IFF (NYSE: IFF) reported financial results for the first quarter ended March 31, 2026.</w:t>
      </w:r>
    </w:p>
    <w:p>
      <w:pPr>
        <w:sectPr>
          <w:pgSz w:w="11900" w:h="16838" w:orient="portrait"/>
          <w:cols w:equalWidth="0" w:num="1">
            <w:col w:w="11240"/>
          </w:cols>
          <w:pgMar w:left="320" w:top="935"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Quarter 2026 Consolidated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3317240" cy="660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17240" cy="660400"/>
                    </a:xfrm>
                    <a:prstGeom prst="rect">
                      <a:avLst/>
                    </a:prstGeom>
                    <a:noFill/>
                  </pic:spPr>
                </pic:pic>
              </a:graphicData>
            </a:graphic>
          </wp:anchor>
        </w:drawing>
      </w:r>
    </w:p>
    <w:p>
      <w:pPr>
        <w:spacing w:after="0" w:line="128" w:lineRule="exact"/>
        <w:rPr>
          <w:sz w:val="20"/>
          <w:szCs w:val="20"/>
          <w:color w:val="auto"/>
        </w:rPr>
      </w:pPr>
    </w:p>
    <w:p>
      <w:pPr>
        <w:jc w:val="right"/>
        <w:ind w:right="1880"/>
        <w:spacing w:after="0"/>
        <w:rPr>
          <w:sz w:val="20"/>
          <w:szCs w:val="20"/>
          <w:color w:val="auto"/>
        </w:rPr>
      </w:pPr>
      <w:r>
        <w:rPr>
          <w:rFonts w:ascii="Arial" w:cs="Arial" w:eastAsia="Arial" w:hAnsi="Arial"/>
          <w:sz w:val="16"/>
          <w:szCs w:val="16"/>
          <w:b w:val="1"/>
          <w:bCs w:val="1"/>
          <w:color w:val="auto"/>
        </w:rPr>
        <w:t>Reported</w:t>
      </w:r>
    </w:p>
    <w:p>
      <w:pPr>
        <w:jc w:val="right"/>
        <w:ind w:right="1940"/>
        <w:spacing w:after="0"/>
        <w:rPr>
          <w:sz w:val="20"/>
          <w:szCs w:val="20"/>
          <w:color w:val="auto"/>
        </w:rPr>
      </w:pPr>
      <w:r>
        <w:rPr>
          <w:rFonts w:ascii="Arial" w:cs="Arial" w:eastAsia="Arial" w:hAnsi="Arial"/>
          <w:sz w:val="16"/>
          <w:szCs w:val="16"/>
          <w:b w:val="1"/>
          <w:bCs w:val="1"/>
          <w:color w:val="auto"/>
        </w:rPr>
        <w:t>(GAAP)</w:t>
      </w:r>
    </w:p>
    <w:p>
      <w:pPr>
        <w:spacing w:after="0" w:line="111" w:lineRule="exact"/>
        <w:rPr>
          <w:sz w:val="20"/>
          <w:szCs w:val="20"/>
          <w:color w:val="auto"/>
        </w:rPr>
      </w:pPr>
    </w:p>
    <w:p>
      <w:pPr>
        <w:ind w:left="480"/>
        <w:spacing w:after="0"/>
        <w:tabs>
          <w:tab w:leader="none" w:pos="1780" w:val="left"/>
          <w:tab w:leader="none" w:pos="4340" w:val="left"/>
        </w:tabs>
        <w:rPr>
          <w:sz w:val="20"/>
          <w:szCs w:val="20"/>
          <w:color w:val="auto"/>
        </w:rPr>
      </w:pPr>
      <w:r>
        <w:rPr>
          <w:rFonts w:ascii="Arial" w:cs="Arial" w:eastAsia="Arial" w:hAnsi="Arial"/>
          <w:sz w:val="16"/>
          <w:szCs w:val="16"/>
          <w:b w:val="1"/>
          <w:bCs w:val="1"/>
          <w:color w:val="auto"/>
        </w:rPr>
        <w:t>Sales</w:t>
      </w:r>
      <w:r>
        <w:rPr>
          <w:sz w:val="20"/>
          <w:szCs w:val="20"/>
          <w:color w:val="auto"/>
        </w:rPr>
        <w:tab/>
      </w:r>
      <w:r>
        <w:rPr>
          <w:rFonts w:ascii="Arial" w:cs="Arial" w:eastAsia="Arial" w:hAnsi="Arial"/>
          <w:sz w:val="16"/>
          <w:szCs w:val="16"/>
          <w:b w:val="1"/>
          <w:bCs w:val="1"/>
          <w:color w:val="auto"/>
        </w:rPr>
        <w:t>Income Before Taxes</w:t>
      </w:r>
      <w:r>
        <w:rPr>
          <w:sz w:val="20"/>
          <w:szCs w:val="20"/>
          <w:color w:val="auto"/>
        </w:rPr>
        <w:tab/>
      </w:r>
      <w:r>
        <w:rPr>
          <w:rFonts w:ascii="Arial" w:cs="Arial" w:eastAsia="Arial" w:hAnsi="Arial"/>
          <w:sz w:val="16"/>
          <w:szCs w:val="16"/>
          <w:b w:val="1"/>
          <w:bCs w:val="1"/>
          <w:color w:val="auto"/>
        </w:rPr>
        <w:t>EPS</w:t>
      </w:r>
    </w:p>
    <w:p>
      <w:pPr>
        <w:spacing w:after="0" w:line="113" w:lineRule="exact"/>
        <w:rPr>
          <w:sz w:val="20"/>
          <w:szCs w:val="20"/>
          <w:color w:val="auto"/>
        </w:rPr>
      </w:pPr>
    </w:p>
    <w:p>
      <w:pPr>
        <w:ind w:left="460"/>
        <w:spacing w:after="0"/>
        <w:tabs>
          <w:tab w:leader="none" w:pos="2300" w:val="left"/>
          <w:tab w:leader="none" w:pos="4300" w:val="left"/>
        </w:tabs>
        <w:rPr>
          <w:sz w:val="20"/>
          <w:szCs w:val="20"/>
          <w:color w:val="auto"/>
        </w:rPr>
      </w:pPr>
      <w:r>
        <w:rPr>
          <w:rFonts w:ascii="Arial" w:cs="Arial" w:eastAsia="Arial" w:hAnsi="Arial"/>
          <w:sz w:val="16"/>
          <w:szCs w:val="16"/>
          <w:color w:val="auto"/>
        </w:rPr>
        <w:t>$2.7 B</w:t>
      </w:r>
      <w:r>
        <w:rPr>
          <w:sz w:val="20"/>
          <w:szCs w:val="20"/>
          <w:color w:val="auto"/>
        </w:rPr>
        <w:tab/>
      </w:r>
      <w:r>
        <w:rPr>
          <w:rFonts w:ascii="Arial" w:cs="Arial" w:eastAsia="Arial" w:hAnsi="Arial"/>
          <w:sz w:val="16"/>
          <w:szCs w:val="16"/>
          <w:color w:val="auto"/>
        </w:rPr>
        <w:t>$209 M</w:t>
      </w:r>
      <w:r>
        <w:rPr>
          <w:sz w:val="20"/>
          <w:szCs w:val="20"/>
          <w:color w:val="auto"/>
        </w:rPr>
        <w:tab/>
      </w:r>
      <w:r>
        <w:rPr>
          <w:rFonts w:ascii="Arial" w:cs="Arial" w:eastAsia="Arial" w:hAnsi="Arial"/>
          <w:sz w:val="16"/>
          <w:szCs w:val="16"/>
          <w:color w:val="auto"/>
        </w:rPr>
        <w:t>$0.66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ind w:left="2400"/>
        <w:spacing w:after="0"/>
        <w:rPr>
          <w:sz w:val="20"/>
          <w:szCs w:val="20"/>
          <w:color w:val="auto"/>
        </w:rPr>
      </w:pPr>
      <w:r>
        <w:rPr>
          <w:rFonts w:ascii="Arial" w:cs="Arial" w:eastAsia="Arial" w:hAnsi="Arial"/>
          <w:sz w:val="16"/>
          <w:szCs w:val="16"/>
          <w:b w:val="1"/>
          <w:bCs w:val="1"/>
          <w:color w:val="auto"/>
        </w:rPr>
        <w:t>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-120650</wp:posOffset>
            </wp:positionV>
            <wp:extent cx="3711575" cy="660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11575" cy="660400"/>
                    </a:xfrm>
                    <a:prstGeom prst="rect">
                      <a:avLst/>
                    </a:prstGeom>
                    <a:noFill/>
                  </pic:spPr>
                </pic:pic>
              </a:graphicData>
            </a:graphic>
          </wp:anchor>
        </w:drawing>
      </w:r>
    </w:p>
    <w:p>
      <w:pPr>
        <w:ind w:left="2260"/>
        <w:spacing w:after="0" w:line="234" w:lineRule="auto"/>
        <w:rPr>
          <w:sz w:val="20"/>
          <w:szCs w:val="20"/>
          <w:color w:val="auto"/>
        </w:rPr>
      </w:pPr>
      <w:r>
        <w:rPr>
          <w:rFonts w:ascii="Arial" w:cs="Arial" w:eastAsia="Arial" w:hAnsi="Arial"/>
          <w:sz w:val="16"/>
          <w:szCs w:val="16"/>
          <w:b w:val="1"/>
          <w:bCs w:val="1"/>
          <w:color w:val="auto"/>
        </w:rPr>
        <w:t>(Non-GAAP)</w:t>
      </w:r>
      <w:r>
        <w:rPr>
          <w:rFonts w:ascii="Arial" w:cs="Arial" w:eastAsia="Arial" w:hAnsi="Arial"/>
          <w:sz w:val="21"/>
          <w:szCs w:val="21"/>
          <w:b w:val="1"/>
          <w:bCs w:val="1"/>
          <w:color w:val="auto"/>
          <w:vertAlign w:val="superscript"/>
        </w:rPr>
        <w:t>1</w:t>
      </w:r>
    </w:p>
    <w:tbl>
      <w:tblPr>
        <w:tblLayout w:type="fixed"/>
        <w:tblInd w:w="0" w:type="dxa"/>
        <w:tblCellMar>
          <w:top w:w="0" w:type="dxa"/>
          <w:left w:w="0" w:type="dxa"/>
          <w:bottom w:w="0" w:type="dxa"/>
          <w:right w:w="0" w:type="dxa"/>
        </w:tblCellMar>
      </w:tblPr>
      <w:tr>
        <w:trPr>
          <w:trHeight w:val="168"/>
        </w:trPr>
        <w:tc>
          <w:tcPr>
            <w:tcW w:w="170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rPr>
              <w:t>Operating EBITDA</w:t>
            </w:r>
          </w:p>
        </w:tc>
        <w:tc>
          <w:tcPr>
            <w:tcW w:w="196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Operating EBITDA</w:t>
            </w:r>
          </w:p>
        </w:tc>
        <w:tc>
          <w:tcPr>
            <w:tcW w:w="1860" w:type="dxa"/>
            <w:vAlign w:val="bottom"/>
            <w:vMerge w:val="restart"/>
          </w:tcPr>
          <w:p>
            <w:pPr>
              <w:jc w:val="center"/>
              <w:ind w:left="199"/>
              <w:spacing w:after="0"/>
              <w:rPr>
                <w:sz w:val="20"/>
                <w:szCs w:val="20"/>
                <w:color w:val="auto"/>
              </w:rPr>
            </w:pPr>
            <w:r>
              <w:rPr>
                <w:rFonts w:ascii="Arial" w:cs="Arial" w:eastAsia="Arial" w:hAnsi="Arial"/>
                <w:sz w:val="16"/>
                <w:szCs w:val="16"/>
                <w:b w:val="1"/>
                <w:bCs w:val="1"/>
                <w:color w:val="auto"/>
              </w:rPr>
              <w:t>EPS ex Amortization</w:t>
            </w:r>
          </w:p>
        </w:tc>
        <w:tc>
          <w:tcPr>
            <w:tcW w:w="0" w:type="dxa"/>
            <w:vAlign w:val="bottom"/>
          </w:tcPr>
          <w:p>
            <w:pPr>
              <w:spacing w:after="0"/>
              <w:rPr>
                <w:sz w:val="1"/>
                <w:szCs w:val="1"/>
                <w:color w:val="auto"/>
              </w:rPr>
            </w:pPr>
          </w:p>
        </w:tc>
      </w:tr>
      <w:tr>
        <w:trPr>
          <w:trHeight w:val="141"/>
        </w:trPr>
        <w:tc>
          <w:tcPr>
            <w:tcW w:w="1700" w:type="dxa"/>
            <w:vAlign w:val="bottom"/>
            <w:vMerge w:val="continue"/>
          </w:tcPr>
          <w:p>
            <w:pPr>
              <w:spacing w:after="0"/>
              <w:rPr>
                <w:sz w:val="12"/>
                <w:szCs w:val="12"/>
                <w:color w:val="auto"/>
              </w:rPr>
            </w:pPr>
          </w:p>
        </w:tc>
        <w:tc>
          <w:tcPr>
            <w:tcW w:w="1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Margin</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700" w:type="dxa"/>
            <w:vAlign w:val="bottom"/>
          </w:tcPr>
          <w:p>
            <w:pPr>
              <w:spacing w:after="0"/>
              <w:rPr>
                <w:sz w:val="6"/>
                <w:szCs w:val="6"/>
                <w:color w:val="auto"/>
              </w:rPr>
            </w:pPr>
          </w:p>
        </w:tc>
        <w:tc>
          <w:tcPr>
            <w:tcW w:w="1960" w:type="dxa"/>
            <w:vAlign w:val="bottom"/>
            <w:vMerge w:val="continue"/>
          </w:tcPr>
          <w:p>
            <w:pPr>
              <w:spacing w:after="0"/>
              <w:rPr>
                <w:sz w:val="6"/>
                <w:szCs w:val="6"/>
                <w:color w:val="auto"/>
              </w:rPr>
            </w:pPr>
          </w:p>
        </w:tc>
        <w:tc>
          <w:tcPr>
            <w:tcW w:w="1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1700" w:type="dxa"/>
            <w:vAlign w:val="bottom"/>
          </w:tcPr>
          <w:p>
            <w:pPr>
              <w:jc w:val="center"/>
              <w:ind w:right="199"/>
              <w:spacing w:after="0"/>
              <w:rPr>
                <w:sz w:val="20"/>
                <w:szCs w:val="20"/>
                <w:color w:val="auto"/>
              </w:rPr>
            </w:pPr>
            <w:r>
              <w:rPr>
                <w:rFonts w:ascii="Arial" w:cs="Arial" w:eastAsia="Arial" w:hAnsi="Arial"/>
                <w:sz w:val="16"/>
                <w:szCs w:val="16"/>
                <w:color w:val="auto"/>
              </w:rPr>
              <w:t>$568 M</w:t>
            </w:r>
          </w:p>
        </w:tc>
        <w:tc>
          <w:tcPr>
            <w:tcW w:w="1960" w:type="dxa"/>
            <w:vAlign w:val="bottom"/>
          </w:tcPr>
          <w:p>
            <w:pPr>
              <w:jc w:val="center"/>
              <w:spacing w:after="0"/>
              <w:rPr>
                <w:sz w:val="20"/>
                <w:szCs w:val="20"/>
                <w:color w:val="auto"/>
              </w:rPr>
            </w:pPr>
            <w:r>
              <w:rPr>
                <w:rFonts w:ascii="Arial" w:cs="Arial" w:eastAsia="Arial" w:hAnsi="Arial"/>
                <w:sz w:val="16"/>
                <w:szCs w:val="16"/>
                <w:color w:val="auto"/>
              </w:rPr>
              <w:t>20.7%</w:t>
            </w:r>
          </w:p>
        </w:tc>
        <w:tc>
          <w:tcPr>
            <w:tcW w:w="1860" w:type="dxa"/>
            <w:vAlign w:val="bottom"/>
          </w:tcPr>
          <w:p>
            <w:pPr>
              <w:jc w:val="right"/>
              <w:ind w:right="49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840" w:space="720"/>
            <w:col w:w="5680"/>
          </w:cols>
          <w:pgMar w:left="320" w:top="935" w:right="339" w:bottom="1440" w:gutter="0" w:footer="0" w:header="0"/>
          <w:type w:val="continuous"/>
        </w:sectPr>
      </w:pP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Commentary</w:t>
      </w:r>
    </w:p>
    <w:p>
      <w:pPr>
        <w:spacing w:after="0" w:line="3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“IFF is off to a solid start in 2026, with first quarter results that reflect the customer focus and operational execution we’ve been building across the company,” said Erik Fyrwald, CEO of IFF. “We delivered volume growth in all four segments, improved profitability, and generated strong cash flow in the first quarter.</w:t>
      </w:r>
    </w:p>
    <w:p>
      <w:pPr>
        <w:spacing w:after="0" w:line="200" w:lineRule="exact"/>
        <w:rPr>
          <w:sz w:val="20"/>
          <w:szCs w:val="20"/>
          <w:color w:val="auto"/>
        </w:rPr>
      </w:pP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we look ahead, we are maintaining a disciplined approach to how we are planning the balance of the year as the current operating environment remains unsettled. We remained focused on advancing our commercial and innovation pipelines, driving productivity, and working with customers to offset inflation. This – when combined with our solid start to the year – derisks the balance of the year and gives us the confidence to reaffirm our full-year 2026 financial guidance ranges in an uncertain environment. At the same time, we are running a disciplined sale process for Food Ingredients to ensure we maximize value for shareholders.”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Quarter 2026 Consolidated Financial Results</w:t>
      </w:r>
    </w:p>
    <w:p>
      <w:pPr>
        <w:spacing w:after="0" w:line="18" w:lineRule="exact"/>
        <w:rPr>
          <w:sz w:val="20"/>
          <w:szCs w:val="20"/>
          <w:color w:val="auto"/>
        </w:rPr>
      </w:pPr>
    </w:p>
    <w:p>
      <w:pPr>
        <w:ind w:left="660" w:right="20" w:hanging="328"/>
        <w:spacing w:after="0" w:line="195"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Reported net sales for the first quarter were $2.74 billion, a decrease of 4% versus the prior-year period. On a comparable basis</w:t>
      </w:r>
      <w:r>
        <w:rPr>
          <w:rFonts w:ascii="Arial" w:cs="Arial" w:eastAsia="Arial" w:hAnsi="Arial"/>
          <w:sz w:val="21"/>
          <w:szCs w:val="21"/>
          <w:color w:val="auto"/>
          <w:vertAlign w:val="superscript"/>
        </w:rPr>
        <w:t>2</w:t>
      </w:r>
      <w:r>
        <w:rPr>
          <w:rFonts w:ascii="Arial" w:cs="Arial" w:eastAsia="Arial" w:hAnsi="Arial"/>
          <w:sz w:val="16"/>
          <w:szCs w:val="16"/>
          <w:color w:val="auto"/>
        </w:rPr>
        <w:t>, currency neutral sales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increased 3% versus the prior-year period with broad based growth across all businesses.</w:t>
      </w:r>
    </w:p>
    <w:p>
      <w:pPr>
        <w:spacing w:after="0" w:line="1" w:lineRule="exact"/>
        <w:rPr>
          <w:rFonts w:ascii="Arial" w:cs="Arial" w:eastAsia="Arial" w:hAnsi="Arial"/>
          <w:sz w:val="16"/>
          <w:szCs w:val="16"/>
          <w:color w:val="auto"/>
        </w:rPr>
      </w:pPr>
    </w:p>
    <w:p>
      <w:pPr>
        <w:ind w:left="660" w:right="60" w:hanging="328"/>
        <w:spacing w:after="0" w:line="212"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Income before taxes on a reported basis for the first quarter was $209 million. Adjusted operating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for the first quarter was $568 million. On a comparable basis</w:t>
      </w:r>
      <w:r>
        <w:rPr>
          <w:rFonts w:ascii="Arial" w:cs="Arial" w:eastAsia="Arial" w:hAnsi="Arial"/>
          <w:sz w:val="21"/>
          <w:szCs w:val="21"/>
          <w:color w:val="auto"/>
          <w:vertAlign w:val="superscript"/>
        </w:rPr>
        <w:t>2</w:t>
      </w:r>
      <w:r>
        <w:rPr>
          <w:rFonts w:ascii="Arial" w:cs="Arial" w:eastAsia="Arial" w:hAnsi="Arial"/>
          <w:sz w:val="16"/>
          <w:szCs w:val="16"/>
          <w:color w:val="auto"/>
        </w:rPr>
        <w:t>, currency neutral adjusted operating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improved 8% versus the prior-year period, driven by volume growth and productivity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714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4" w:lineRule="exact"/>
        <w:rPr>
          <w:sz w:val="20"/>
          <w:szCs w:val="20"/>
          <w:color w:val="auto"/>
        </w:rPr>
      </w:pPr>
    </w:p>
    <w:p>
      <w:pPr>
        <w:ind w:right="580" w:firstLine="8"/>
        <w:spacing w:after="0" w:line="226" w:lineRule="auto"/>
        <w:tabs>
          <w:tab w:leader="none" w:pos="103"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i w:val="1"/>
          <w:iCs w:val="1"/>
          <w:color w:val="auto"/>
        </w:rPr>
        <w:t>Schedules at the end of this release contain reconciliations of reported GAAP to Non-GAAP metrics. See Use of Non-GAAP Financial Measures for explanations of our Non-GAAP metrics.</w:t>
      </w:r>
    </w:p>
    <w:p>
      <w:pPr>
        <w:spacing w:after="0"/>
        <w:rPr>
          <w:rFonts w:ascii="Arial" w:cs="Arial" w:eastAsia="Arial" w:hAnsi="Arial"/>
          <w:sz w:val="21"/>
          <w:szCs w:val="21"/>
          <w:color w:val="auto"/>
          <w:vertAlign w:val="superscript"/>
        </w:rPr>
      </w:pPr>
      <w:r>
        <w:rPr>
          <w:rFonts w:ascii="Arial" w:cs="Arial" w:eastAsia="Arial" w:hAnsi="Arial"/>
          <w:sz w:val="21"/>
          <w:szCs w:val="21"/>
          <w:color w:val="auto"/>
          <w:vertAlign w:val="superscript"/>
        </w:rPr>
        <w:t>2</w:t>
      </w:r>
      <w:r>
        <w:rPr>
          <w:rFonts w:ascii="Arial" w:cs="Arial" w:eastAsia="Arial" w:hAnsi="Arial"/>
          <w:sz w:val="16"/>
          <w:szCs w:val="16"/>
          <w:i w:val="1"/>
          <w:iCs w:val="1"/>
          <w:color w:val="auto"/>
        </w:rPr>
        <w:t xml:space="preserve"> Comparable results for the first quarter exclude the impact of divestitures.</w:t>
      </w:r>
    </w:p>
    <w:p>
      <w:pPr>
        <w:sectPr>
          <w:pgSz w:w="11900" w:h="16838" w:orient="portrait"/>
          <w:cols w:equalWidth="0" w:num="1">
            <w:col w:w="11240"/>
          </w:cols>
          <w:pgMar w:left="320" w:top="935" w:right="33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935" w:right="339" w:bottom="1440" w:gutter="0" w:footer="0" w:header="0"/>
          <w:type w:val="continuous"/>
        </w:sectPr>
      </w:pPr>
    </w:p>
    <w:bookmarkStart w:id="4" w:name="page5"/>
    <w:bookmarkEnd w:id="4"/>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Reported earnings per share (EPS) for the first quarter was $0.66. Adjusted EPS excluding amortization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$1.25 per diluted share.</w:t>
      </w:r>
    </w:p>
    <w:p>
      <w:pPr>
        <w:jc w:val="both"/>
        <w:ind w:left="660" w:hanging="328"/>
        <w:spacing w:after="0" w:line="237"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Cash flows from operations for the first quarter were $257 million, increasing $130 million year-over-year, and free cash flow</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defined as cash flows from operations less capital expenditures totaled $92 million, increasing $144 million year-over-year. Total debt to trailing twelve months net income at the end of the first quarter was 7.2x. Net debt to credit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at the end of the first quarter was 2.5x.</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40" w:type="dxa"/>
            <w:vAlign w:val="bottom"/>
            <w:gridSpan w:val="2"/>
          </w:tcPr>
          <w:p>
            <w:pPr>
              <w:spacing w:after="0"/>
              <w:rPr>
                <w:sz w:val="20"/>
                <w:szCs w:val="20"/>
                <w:color w:val="auto"/>
              </w:rPr>
            </w:pPr>
            <w:r>
              <w:rPr>
                <w:rFonts w:ascii="Arial" w:cs="Arial" w:eastAsia="Arial" w:hAnsi="Arial"/>
                <w:sz w:val="16"/>
                <w:szCs w:val="16"/>
                <w:b w:val="1"/>
                <w:bCs w:val="1"/>
                <w:color w:val="auto"/>
              </w:rPr>
              <w:t>First Quarter 2026 Segment Summary: Growth vs. Prior Year</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680" w:type="dxa"/>
            <w:vAlign w:val="bottom"/>
            <w:tcBorders>
              <w:right w:val="single" w:sz="8" w:color="auto"/>
            </w:tcBorders>
          </w:tcPr>
          <w:p>
            <w:pPr>
              <w:spacing w:after="0"/>
              <w:rPr>
                <w:sz w:val="22"/>
                <w:szCs w:val="22"/>
                <w:color w:val="auto"/>
              </w:rPr>
            </w:pPr>
          </w:p>
        </w:tc>
        <w:tc>
          <w:tcPr>
            <w:tcW w:w="1360" w:type="dxa"/>
            <w:vAlign w:val="bottom"/>
            <w:tcBorders>
              <w:top w:val="single" w:sz="8" w:color="auto"/>
              <w:right w:val="single" w:sz="8" w:color="auto"/>
            </w:tcBorders>
            <w:vMerge w:val="restart"/>
          </w:tcPr>
          <w:p>
            <w:pPr>
              <w:jc w:val="center"/>
              <w:ind w:right="119"/>
              <w:spacing w:after="0"/>
              <w:rPr>
                <w:sz w:val="20"/>
                <w:szCs w:val="20"/>
                <w:color w:val="auto"/>
              </w:rPr>
            </w:pPr>
            <w:r>
              <w:rPr>
                <w:rFonts w:ascii="Arial" w:cs="Arial" w:eastAsia="Arial" w:hAnsi="Arial"/>
                <w:sz w:val="16"/>
                <w:szCs w:val="16"/>
                <w:b w:val="1"/>
                <w:bCs w:val="1"/>
                <w:color w:val="auto"/>
              </w:rPr>
              <w:t>Reported</w:t>
            </w: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Comparable</w:t>
            </w:r>
          </w:p>
        </w:tc>
        <w:tc>
          <w:tcPr>
            <w:tcW w:w="140" w:type="dxa"/>
            <w:vAlign w:val="bottom"/>
            <w:tcBorders>
              <w:right w:val="single" w:sz="8" w:color="auto"/>
            </w:tcBorders>
          </w:tcPr>
          <w:p>
            <w:pPr>
              <w:spacing w:after="0"/>
              <w:rPr>
                <w:sz w:val="22"/>
                <w:szCs w:val="22"/>
                <w:color w:val="auto"/>
              </w:rPr>
            </w:pPr>
          </w:p>
        </w:tc>
        <w:tc>
          <w:tcPr>
            <w:tcW w:w="1400" w:type="dxa"/>
            <w:vAlign w:val="bottom"/>
            <w:tcBorders>
              <w:top w:val="single" w:sz="8" w:color="auto"/>
              <w:right w:val="single" w:sz="8" w:color="auto"/>
            </w:tcBorders>
            <w:vMerge w:val="restart"/>
          </w:tcPr>
          <w:p>
            <w:pPr>
              <w:jc w:val="center"/>
              <w:ind w:right="80"/>
              <w:spacing w:after="0"/>
              <w:rPr>
                <w:sz w:val="20"/>
                <w:szCs w:val="20"/>
                <w:color w:val="auto"/>
              </w:rPr>
            </w:pPr>
            <w:r>
              <w:rPr>
                <w:rFonts w:ascii="Arial" w:cs="Arial" w:eastAsia="Arial" w:hAnsi="Arial"/>
                <w:sz w:val="16"/>
                <w:szCs w:val="16"/>
                <w:b w:val="1"/>
                <w:bCs w:val="1"/>
                <w:color w:val="auto"/>
                <w:w w:val="99"/>
              </w:rPr>
              <w:t>Adjusted</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Comparable</w:t>
            </w:r>
          </w:p>
        </w:tc>
        <w:tc>
          <w:tcPr>
            <w:tcW w:w="0" w:type="dxa"/>
            <w:vAlign w:val="bottom"/>
          </w:tcPr>
          <w:p>
            <w:pPr>
              <w:spacing w:after="0"/>
              <w:rPr>
                <w:sz w:val="1"/>
                <w:szCs w:val="1"/>
                <w:color w:val="auto"/>
              </w:rPr>
            </w:pPr>
          </w:p>
        </w:tc>
      </w:tr>
      <w:tr>
        <w:trPr>
          <w:trHeight w:val="162"/>
        </w:trPr>
        <w:tc>
          <w:tcPr>
            <w:tcW w:w="368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vMerge w:val="continue"/>
          </w:tcPr>
          <w:p>
            <w:pPr>
              <w:spacing w:after="0"/>
              <w:rPr>
                <w:sz w:val="14"/>
                <w:szCs w:val="14"/>
                <w:color w:val="auto"/>
              </w:rPr>
            </w:pPr>
          </w:p>
        </w:tc>
        <w:tc>
          <w:tcPr>
            <w:tcW w:w="13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Currency</w:t>
            </w:r>
          </w:p>
        </w:tc>
        <w:tc>
          <w:tcPr>
            <w:tcW w:w="14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vMerge w:val="continue"/>
          </w:tcPr>
          <w:p>
            <w:pPr>
              <w:spacing w:after="0"/>
              <w:rPr>
                <w:sz w:val="14"/>
                <w:szCs w:val="14"/>
                <w:color w:val="auto"/>
              </w:rPr>
            </w:pPr>
          </w:p>
        </w:tc>
        <w:tc>
          <w:tcPr>
            <w:tcW w:w="14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Currency Neutral</w:t>
            </w:r>
          </w:p>
        </w:tc>
        <w:tc>
          <w:tcPr>
            <w:tcW w:w="0" w:type="dxa"/>
            <w:vAlign w:val="bottom"/>
          </w:tcPr>
          <w:p>
            <w:pPr>
              <w:spacing w:after="0"/>
              <w:rPr>
                <w:sz w:val="1"/>
                <w:szCs w:val="1"/>
                <w:color w:val="auto"/>
              </w:rPr>
            </w:pPr>
          </w:p>
        </w:tc>
      </w:tr>
      <w:tr>
        <w:trPr>
          <w:trHeight w:val="162"/>
        </w:trPr>
        <w:tc>
          <w:tcPr>
            <w:tcW w:w="368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jc w:val="center"/>
              <w:ind w:right="79"/>
              <w:spacing w:after="0" w:line="162" w:lineRule="exact"/>
              <w:rPr>
                <w:sz w:val="20"/>
                <w:szCs w:val="20"/>
                <w:color w:val="auto"/>
              </w:rPr>
            </w:pPr>
            <w:r>
              <w:rPr>
                <w:rFonts w:ascii="Arial" w:cs="Arial" w:eastAsia="Arial" w:hAnsi="Arial"/>
                <w:sz w:val="16"/>
                <w:szCs w:val="16"/>
                <w:b w:val="1"/>
                <w:bCs w:val="1"/>
                <w:color w:val="auto"/>
                <w:w w:val="98"/>
              </w:rPr>
              <w:t>(GAAP)</w:t>
            </w:r>
          </w:p>
        </w:tc>
        <w:tc>
          <w:tcPr>
            <w:tcW w:w="13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Neutral</w:t>
            </w:r>
          </w:p>
        </w:tc>
        <w:tc>
          <w:tcPr>
            <w:tcW w:w="14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jc w:val="center"/>
              <w:ind w:right="80"/>
              <w:spacing w:after="0" w:line="162" w:lineRule="exact"/>
              <w:rPr>
                <w:sz w:val="20"/>
                <w:szCs w:val="20"/>
                <w:color w:val="auto"/>
              </w:rPr>
            </w:pPr>
            <w:r>
              <w:rPr>
                <w:rFonts w:ascii="Arial" w:cs="Arial" w:eastAsia="Arial" w:hAnsi="Arial"/>
                <w:sz w:val="14"/>
                <w:szCs w:val="14"/>
                <w:b w:val="1"/>
                <w:bCs w:val="1"/>
                <w:color w:val="auto"/>
              </w:rPr>
              <w:t>(Non-GAAP)</w:t>
            </w:r>
            <w:r>
              <w:rPr>
                <w:rFonts w:ascii="Arial" w:cs="Arial" w:eastAsia="Arial" w:hAnsi="Arial"/>
                <w:sz w:val="18"/>
                <w:szCs w:val="18"/>
                <w:b w:val="1"/>
                <w:bCs w:val="1"/>
                <w:color w:val="auto"/>
                <w:vertAlign w:val="superscript"/>
              </w:rPr>
              <w:t>1</w:t>
            </w:r>
          </w:p>
        </w:tc>
        <w:tc>
          <w:tcPr>
            <w:tcW w:w="14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Adjusted</w:t>
            </w:r>
          </w:p>
        </w:tc>
        <w:tc>
          <w:tcPr>
            <w:tcW w:w="0" w:type="dxa"/>
            <w:vAlign w:val="bottom"/>
          </w:tcPr>
          <w:p>
            <w:pPr>
              <w:spacing w:after="0"/>
              <w:rPr>
                <w:sz w:val="1"/>
                <w:szCs w:val="1"/>
                <w:color w:val="auto"/>
              </w:rPr>
            </w:pPr>
          </w:p>
        </w:tc>
      </w:tr>
      <w:tr>
        <w:trPr>
          <w:trHeight w:val="289"/>
        </w:trPr>
        <w:tc>
          <w:tcPr>
            <w:tcW w:w="368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(Non-GAAP)</w:t>
            </w:r>
            <w:r>
              <w:rPr>
                <w:rFonts w:ascii="Arial" w:cs="Arial" w:eastAsia="Arial" w:hAnsi="Arial"/>
                <w:sz w:val="21"/>
                <w:szCs w:val="21"/>
                <w:b w:val="1"/>
                <w:bCs w:val="1"/>
                <w:color w:val="auto"/>
                <w:w w:val="99"/>
                <w:vertAlign w:val="superscript"/>
              </w:rPr>
              <w:t>1 2</w:t>
            </w:r>
          </w:p>
        </w:tc>
        <w:tc>
          <w:tcPr>
            <w:tcW w:w="1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(Non-GAAP)</w:t>
            </w:r>
            <w:r>
              <w:rPr>
                <w:rFonts w:ascii="Arial" w:cs="Arial" w:eastAsia="Arial" w:hAnsi="Arial"/>
                <w:sz w:val="21"/>
                <w:szCs w:val="21"/>
                <w:b w:val="1"/>
                <w:bCs w:val="1"/>
                <w:color w:val="auto"/>
                <w:w w:val="97"/>
                <w:vertAlign w:val="superscript"/>
              </w:rPr>
              <w:t>1 2</w:t>
            </w:r>
          </w:p>
        </w:tc>
        <w:tc>
          <w:tcPr>
            <w:tcW w:w="0" w:type="dxa"/>
            <w:vAlign w:val="bottom"/>
          </w:tcPr>
          <w:p>
            <w:pPr>
              <w:spacing w:after="0"/>
              <w:rPr>
                <w:sz w:val="1"/>
                <w:szCs w:val="1"/>
                <w:color w:val="auto"/>
              </w:rPr>
            </w:pPr>
          </w:p>
        </w:tc>
      </w:tr>
      <w:tr>
        <w:trPr>
          <w:trHeight w:val="22"/>
        </w:trPr>
        <w:tc>
          <w:tcPr>
            <w:tcW w:w="3680" w:type="dxa"/>
            <w:vAlign w:val="bottom"/>
            <w:tcBorders>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680" w:type="dxa"/>
            <w:vAlign w:val="bottom"/>
            <w:tcBorders>
              <w:right w:val="single" w:sz="8" w:color="auto"/>
            </w:tcBorders>
          </w:tcPr>
          <w:p>
            <w:pPr>
              <w:spacing w:after="0"/>
              <w:rPr>
                <w:sz w:val="15"/>
                <w:szCs w:val="15"/>
                <w:color w:val="auto"/>
              </w:rPr>
            </w:pPr>
          </w:p>
        </w:tc>
        <w:tc>
          <w:tcPr>
            <w:tcW w:w="136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Sales</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Sales</w:t>
            </w:r>
          </w:p>
        </w:tc>
        <w:tc>
          <w:tcPr>
            <w:tcW w:w="140" w:type="dxa"/>
            <w:vAlign w:val="bottom"/>
            <w:tcBorders>
              <w:right w:val="single" w:sz="8" w:color="auto"/>
            </w:tcBorders>
          </w:tcPr>
          <w:p>
            <w:pPr>
              <w:spacing w:after="0"/>
              <w:rPr>
                <w:sz w:val="15"/>
                <w:szCs w:val="15"/>
                <w:color w:val="auto"/>
              </w:rPr>
            </w:pPr>
          </w:p>
        </w:tc>
        <w:tc>
          <w:tcPr>
            <w:tcW w:w="1400" w:type="dxa"/>
            <w:vAlign w:val="bottom"/>
          </w:tcPr>
          <w:p>
            <w:pPr>
              <w:jc w:val="center"/>
              <w:ind w:right="80"/>
              <w:spacing w:after="0" w:line="183" w:lineRule="exact"/>
              <w:rPr>
                <w:sz w:val="20"/>
                <w:szCs w:val="20"/>
                <w:color w:val="auto"/>
              </w:rPr>
            </w:pPr>
            <w:r>
              <w:rPr>
                <w:rFonts w:ascii="Arial" w:cs="Arial" w:eastAsia="Arial" w:hAnsi="Arial"/>
                <w:sz w:val="16"/>
                <w:szCs w:val="16"/>
                <w:b w:val="1"/>
                <w:bCs w:val="1"/>
                <w:color w:val="auto"/>
              </w:rPr>
              <w:t>Operating</w:t>
            </w:r>
          </w:p>
        </w:tc>
        <w:tc>
          <w:tcPr>
            <w:tcW w:w="14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Operating</w:t>
            </w:r>
          </w:p>
        </w:tc>
        <w:tc>
          <w:tcPr>
            <w:tcW w:w="0" w:type="dxa"/>
            <w:vAlign w:val="bottom"/>
          </w:tcPr>
          <w:p>
            <w:pPr>
              <w:spacing w:after="0"/>
              <w:rPr>
                <w:sz w:val="1"/>
                <w:szCs w:val="1"/>
                <w:color w:val="auto"/>
              </w:rPr>
            </w:pPr>
          </w:p>
        </w:tc>
      </w:tr>
      <w:tr>
        <w:trPr>
          <w:trHeight w:val="223"/>
        </w:trPr>
        <w:tc>
          <w:tcPr>
            <w:tcW w:w="3680" w:type="dxa"/>
            <w:vAlign w:val="bottom"/>
            <w:tcBorders>
              <w:right w:val="single" w:sz="8" w:color="auto"/>
            </w:tcBorders>
          </w:tcPr>
          <w:p>
            <w:pPr>
              <w:spacing w:after="0"/>
              <w:rPr>
                <w:sz w:val="19"/>
                <w:szCs w:val="19"/>
                <w:color w:val="auto"/>
              </w:rPr>
            </w:pPr>
          </w:p>
        </w:tc>
        <w:tc>
          <w:tcPr>
            <w:tcW w:w="1360" w:type="dxa"/>
            <w:vAlign w:val="bottom"/>
            <w:vMerge w:val="continue"/>
          </w:tcPr>
          <w:p>
            <w:pPr>
              <w:spacing w:after="0"/>
              <w:rPr>
                <w:sz w:val="19"/>
                <w:szCs w:val="19"/>
                <w:color w:val="auto"/>
              </w:rPr>
            </w:pPr>
          </w:p>
        </w:tc>
        <w:tc>
          <w:tcPr>
            <w:tcW w:w="1300" w:type="dxa"/>
            <w:vAlign w:val="bottom"/>
            <w:tcBorders>
              <w:right w:val="single" w:sz="8" w:color="auto"/>
            </w:tcBorders>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400" w:type="dxa"/>
            <w:vAlign w:val="bottom"/>
          </w:tcPr>
          <w:p>
            <w:pPr>
              <w:jc w:val="center"/>
              <w:ind w:right="80"/>
              <w:spacing w:after="0"/>
              <w:rPr>
                <w:sz w:val="20"/>
                <w:szCs w:val="20"/>
                <w:color w:val="auto"/>
              </w:rPr>
            </w:pPr>
            <w:r>
              <w:rPr>
                <w:rFonts w:ascii="Arial" w:cs="Arial" w:eastAsia="Arial" w:hAnsi="Arial"/>
                <w:sz w:val="16"/>
                <w:szCs w:val="16"/>
                <w:b w:val="1"/>
                <w:bCs w:val="1"/>
                <w:color w:val="auto"/>
              </w:rPr>
              <w:t>EBITDA</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61"/>
        </w:trPr>
        <w:tc>
          <w:tcPr>
            <w:tcW w:w="36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Taste</w:t>
            </w:r>
          </w:p>
        </w:tc>
        <w:tc>
          <w:tcPr>
            <w:tcW w:w="1360" w:type="dxa"/>
            <w:vAlign w:val="bottom"/>
          </w:tcPr>
          <w:p>
            <w:pPr>
              <w:jc w:val="center"/>
              <w:ind w:right="79"/>
              <w:spacing w:after="0"/>
              <w:rPr>
                <w:sz w:val="20"/>
                <w:szCs w:val="20"/>
                <w:color w:val="auto"/>
              </w:rPr>
            </w:pPr>
            <w:r>
              <w:rPr>
                <w:rFonts w:ascii="Arial" w:cs="Arial" w:eastAsia="Arial" w:hAnsi="Arial"/>
                <w:sz w:val="16"/>
                <w:szCs w:val="16"/>
                <w:color w:val="auto"/>
              </w:rPr>
              <w:t>5%</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2%</w:t>
            </w:r>
          </w:p>
        </w:tc>
        <w:tc>
          <w:tcPr>
            <w:tcW w:w="140" w:type="dxa"/>
            <w:vAlign w:val="bottom"/>
            <w:tcBorders>
              <w:right w:val="single" w:sz="8" w:color="auto"/>
            </w:tcBorders>
          </w:tcPr>
          <w:p>
            <w:pPr>
              <w:spacing w:after="0"/>
              <w:rPr>
                <w:sz w:val="22"/>
                <w:szCs w:val="22"/>
                <w:color w:val="auto"/>
              </w:rPr>
            </w:pPr>
          </w:p>
        </w:tc>
        <w:tc>
          <w:tcPr>
            <w:tcW w:w="1400" w:type="dxa"/>
            <w:vAlign w:val="bottom"/>
          </w:tcPr>
          <w:p>
            <w:pPr>
              <w:jc w:val="center"/>
              <w:ind w:right="80"/>
              <w:spacing w:after="0"/>
              <w:rPr>
                <w:sz w:val="20"/>
                <w:szCs w:val="20"/>
                <w:color w:val="auto"/>
              </w:rPr>
            </w:pPr>
            <w:r>
              <w:rPr>
                <w:rFonts w:ascii="Arial" w:cs="Arial" w:eastAsia="Arial" w:hAnsi="Arial"/>
                <w:sz w:val="16"/>
                <w:szCs w:val="16"/>
                <w:color w:val="auto"/>
                <w:w w:val="99"/>
              </w:rPr>
              <w:t>17%</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18%</w:t>
            </w:r>
          </w:p>
        </w:tc>
        <w:tc>
          <w:tcPr>
            <w:tcW w:w="0" w:type="dxa"/>
            <w:vAlign w:val="bottom"/>
          </w:tcPr>
          <w:p>
            <w:pPr>
              <w:spacing w:after="0"/>
              <w:rPr>
                <w:sz w:val="1"/>
                <w:szCs w:val="1"/>
                <w:color w:val="auto"/>
              </w:rPr>
            </w:pPr>
          </w:p>
        </w:tc>
      </w:tr>
      <w:tr>
        <w:trPr>
          <w:trHeight w:val="270"/>
        </w:trPr>
        <w:tc>
          <w:tcPr>
            <w:tcW w:w="36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Health &amp; Biosciences</w:t>
            </w:r>
          </w:p>
        </w:tc>
        <w:tc>
          <w:tcPr>
            <w:tcW w:w="1360" w:type="dxa"/>
            <w:vAlign w:val="bottom"/>
          </w:tcPr>
          <w:p>
            <w:pPr>
              <w:jc w:val="center"/>
              <w:ind w:right="79"/>
              <w:spacing w:after="0"/>
              <w:rPr>
                <w:sz w:val="20"/>
                <w:szCs w:val="20"/>
                <w:color w:val="auto"/>
              </w:rPr>
            </w:pPr>
            <w:r>
              <w:rPr>
                <w:rFonts w:ascii="Arial" w:cs="Arial" w:eastAsia="Arial" w:hAnsi="Arial"/>
                <w:sz w:val="16"/>
                <w:szCs w:val="16"/>
                <w:color w:val="auto"/>
                <w:w w:val="99"/>
              </w:rPr>
              <w:t>10%</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5%</w:t>
            </w:r>
          </w:p>
        </w:tc>
        <w:tc>
          <w:tcPr>
            <w:tcW w:w="140" w:type="dxa"/>
            <w:vAlign w:val="bottom"/>
            <w:tcBorders>
              <w:right w:val="single" w:sz="8" w:color="auto"/>
            </w:tcBorders>
          </w:tcPr>
          <w:p>
            <w:pPr>
              <w:spacing w:after="0"/>
              <w:rPr>
                <w:sz w:val="23"/>
                <w:szCs w:val="23"/>
                <w:color w:val="auto"/>
              </w:rPr>
            </w:pPr>
          </w:p>
        </w:tc>
        <w:tc>
          <w:tcPr>
            <w:tcW w:w="1400" w:type="dxa"/>
            <w:vAlign w:val="bottom"/>
          </w:tcPr>
          <w:p>
            <w:pPr>
              <w:jc w:val="center"/>
              <w:ind w:right="80"/>
              <w:spacing w:after="0"/>
              <w:rPr>
                <w:sz w:val="20"/>
                <w:szCs w:val="20"/>
                <w:color w:val="auto"/>
              </w:rPr>
            </w:pPr>
            <w:r>
              <w:rPr>
                <w:rFonts w:ascii="Arial" w:cs="Arial" w:eastAsia="Arial" w:hAnsi="Arial"/>
                <w:sz w:val="16"/>
                <w:szCs w:val="16"/>
                <w:color w:val="auto"/>
                <w:w w:val="99"/>
              </w:rPr>
              <w:t>11%</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7%</w:t>
            </w:r>
          </w:p>
        </w:tc>
        <w:tc>
          <w:tcPr>
            <w:tcW w:w="0" w:type="dxa"/>
            <w:vAlign w:val="bottom"/>
          </w:tcPr>
          <w:p>
            <w:pPr>
              <w:spacing w:after="0"/>
              <w:rPr>
                <w:sz w:val="1"/>
                <w:szCs w:val="1"/>
                <w:color w:val="auto"/>
              </w:rPr>
            </w:pPr>
          </w:p>
        </w:tc>
      </w:tr>
      <w:tr>
        <w:trPr>
          <w:trHeight w:val="270"/>
        </w:trPr>
        <w:tc>
          <w:tcPr>
            <w:tcW w:w="36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Scent</w:t>
            </w:r>
          </w:p>
        </w:tc>
        <w:tc>
          <w:tcPr>
            <w:tcW w:w="1360" w:type="dxa"/>
            <w:vAlign w:val="bottom"/>
          </w:tcPr>
          <w:p>
            <w:pPr>
              <w:jc w:val="center"/>
              <w:ind w:right="79"/>
              <w:spacing w:after="0"/>
              <w:rPr>
                <w:sz w:val="20"/>
                <w:szCs w:val="20"/>
                <w:color w:val="auto"/>
              </w:rPr>
            </w:pPr>
            <w:r>
              <w:rPr>
                <w:rFonts w:ascii="Arial" w:cs="Arial" w:eastAsia="Arial" w:hAnsi="Arial"/>
                <w:sz w:val="16"/>
                <w:szCs w:val="16"/>
                <w:color w:val="auto"/>
              </w:rPr>
              <w:t>6%</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1%</w:t>
            </w:r>
          </w:p>
        </w:tc>
        <w:tc>
          <w:tcPr>
            <w:tcW w:w="140" w:type="dxa"/>
            <w:vAlign w:val="bottom"/>
            <w:tcBorders>
              <w:right w:val="single" w:sz="8" w:color="auto"/>
            </w:tcBorders>
          </w:tcPr>
          <w:p>
            <w:pPr>
              <w:spacing w:after="0"/>
              <w:rPr>
                <w:sz w:val="23"/>
                <w:szCs w:val="23"/>
                <w:color w:val="auto"/>
              </w:rPr>
            </w:pPr>
          </w:p>
        </w:tc>
        <w:tc>
          <w:tcPr>
            <w:tcW w:w="1400" w:type="dxa"/>
            <w:vAlign w:val="bottom"/>
          </w:tcPr>
          <w:p>
            <w:pPr>
              <w:jc w:val="center"/>
              <w:ind w:right="80"/>
              <w:spacing w:after="0"/>
              <w:rPr>
                <w:sz w:val="20"/>
                <w:szCs w:val="20"/>
                <w:color w:val="auto"/>
              </w:rPr>
            </w:pPr>
            <w:r>
              <w:rPr>
                <w:rFonts w:ascii="Arial" w:cs="Arial" w:eastAsia="Arial" w:hAnsi="Arial"/>
                <w:sz w:val="16"/>
                <w:szCs w:val="16"/>
                <w:color w:val="auto"/>
              </w:rPr>
              <w:t>3%</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36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Food Ingredients</w:t>
            </w:r>
          </w:p>
        </w:tc>
        <w:tc>
          <w:tcPr>
            <w:tcW w:w="1360" w:type="dxa"/>
            <w:vAlign w:val="bottom"/>
          </w:tcPr>
          <w:p>
            <w:pPr>
              <w:jc w:val="center"/>
              <w:ind w:right="79"/>
              <w:spacing w:after="0"/>
              <w:rPr>
                <w:sz w:val="20"/>
                <w:szCs w:val="20"/>
                <w:color w:val="auto"/>
              </w:rPr>
            </w:pPr>
            <w:r>
              <w:rPr>
                <w:rFonts w:ascii="Arial" w:cs="Arial" w:eastAsia="Arial" w:hAnsi="Arial"/>
                <w:sz w:val="16"/>
                <w:szCs w:val="16"/>
                <w:color w:val="auto"/>
              </w:rPr>
              <w:t>5%</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3%</w:t>
            </w:r>
          </w:p>
        </w:tc>
        <w:tc>
          <w:tcPr>
            <w:tcW w:w="140" w:type="dxa"/>
            <w:vAlign w:val="bottom"/>
            <w:tcBorders>
              <w:right w:val="single" w:sz="8" w:color="auto"/>
            </w:tcBorders>
          </w:tcPr>
          <w:p>
            <w:pPr>
              <w:spacing w:after="0"/>
              <w:rPr>
                <w:sz w:val="23"/>
                <w:szCs w:val="23"/>
                <w:color w:val="auto"/>
              </w:rPr>
            </w:pPr>
          </w:p>
        </w:tc>
        <w:tc>
          <w:tcPr>
            <w:tcW w:w="1400" w:type="dxa"/>
            <w:vAlign w:val="bottom"/>
          </w:tcPr>
          <w:p>
            <w:pPr>
              <w:jc w:val="center"/>
              <w:ind w:right="80"/>
              <w:spacing w:after="0"/>
              <w:rPr>
                <w:sz w:val="20"/>
                <w:szCs w:val="20"/>
                <w:color w:val="auto"/>
              </w:rPr>
            </w:pPr>
            <w:r>
              <w:rPr>
                <w:rFonts w:ascii="Arial" w:cs="Arial" w:eastAsia="Arial" w:hAnsi="Arial"/>
                <w:sz w:val="16"/>
                <w:szCs w:val="16"/>
                <w:color w:val="auto"/>
              </w:rPr>
              <w:t>3%</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12%</w:t>
            </w:r>
          </w:p>
        </w:tc>
        <w:tc>
          <w:tcPr>
            <w:tcW w:w="0" w:type="dxa"/>
            <w:vAlign w:val="bottom"/>
          </w:tcPr>
          <w:p>
            <w:pPr>
              <w:spacing w:after="0"/>
              <w:rPr>
                <w:sz w:val="1"/>
                <w:szCs w:val="1"/>
                <w:color w:val="auto"/>
              </w:rPr>
            </w:pPr>
          </w:p>
        </w:tc>
      </w:tr>
      <w:tr>
        <w:trPr>
          <w:trHeight w:val="272"/>
        </w:trPr>
        <w:tc>
          <w:tcPr>
            <w:tcW w:w="36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Consolidated</w:t>
            </w:r>
          </w:p>
        </w:tc>
        <w:tc>
          <w:tcPr>
            <w:tcW w:w="1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(4)%</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3%</w:t>
            </w:r>
          </w:p>
        </w:tc>
        <w:tc>
          <w:tcPr>
            <w:tcW w:w="140" w:type="dxa"/>
            <w:vAlign w:val="bottom"/>
            <w:tcBorders>
              <w:right w:val="single" w:sz="8" w:color="auto"/>
            </w:tcBorders>
          </w:tcPr>
          <w:p>
            <w:pPr>
              <w:spacing w:after="0"/>
              <w:rPr>
                <w:sz w:val="23"/>
                <w:szCs w:val="23"/>
                <w:color w:val="auto"/>
              </w:rPr>
            </w:pPr>
          </w:p>
        </w:tc>
        <w:tc>
          <w:tcPr>
            <w:tcW w:w="140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color w:val="auto"/>
              </w:rPr>
              <w:t>(2)%</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8%</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Taste Segment</w:t>
      </w:r>
    </w:p>
    <w:p>
      <w:pPr>
        <w:spacing w:after="0" w:line="18" w:lineRule="exact"/>
        <w:rPr>
          <w:sz w:val="20"/>
          <w:szCs w:val="20"/>
          <w:color w:val="auto"/>
        </w:rPr>
      </w:pPr>
    </w:p>
    <w:p>
      <w:pPr>
        <w:ind w:left="660" w:hanging="328"/>
        <w:spacing w:after="0" w:line="22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a reported basis, first quarter sales were $656 million. On a comparable basis</w:t>
      </w:r>
      <w:r>
        <w:rPr>
          <w:rFonts w:ascii="Arial" w:cs="Arial" w:eastAsia="Arial" w:hAnsi="Arial"/>
          <w:sz w:val="21"/>
          <w:szCs w:val="21"/>
          <w:color w:val="auto"/>
          <w:vertAlign w:val="superscript"/>
        </w:rPr>
        <w:t>2</w:t>
      </w:r>
      <w:r>
        <w:rPr>
          <w:rFonts w:ascii="Arial" w:cs="Arial" w:eastAsia="Arial" w:hAnsi="Arial"/>
          <w:sz w:val="16"/>
          <w:szCs w:val="16"/>
          <w:color w:val="auto"/>
        </w:rPr>
        <w:t>, currency neutral sales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increased 2% with broad-based growth in all regions.</w:t>
      </w:r>
    </w:p>
    <w:p>
      <w:pPr>
        <w:ind w:left="660" w:right="20" w:hanging="328"/>
        <w:spacing w:after="0" w:line="229"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Taste adjusted operating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$153 million and adjusted operating EBITDA margin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23.3% in the first quarter. On a comparable basis</w:t>
      </w:r>
      <w:r>
        <w:rPr>
          <w:rFonts w:ascii="Arial" w:cs="Arial" w:eastAsia="Arial" w:hAnsi="Arial"/>
          <w:sz w:val="21"/>
          <w:szCs w:val="21"/>
          <w:color w:val="auto"/>
          <w:vertAlign w:val="superscript"/>
        </w:rPr>
        <w:t>2</w:t>
      </w:r>
      <w:r>
        <w:rPr>
          <w:rFonts w:ascii="Arial" w:cs="Arial" w:eastAsia="Arial" w:hAnsi="Arial"/>
          <w:sz w:val="16"/>
          <w:szCs w:val="16"/>
          <w:color w:val="auto"/>
        </w:rPr>
        <w:t>, currency neutral adjusted operating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increased 18% led by volume growth, favorable net pricing and productivity gains.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Health &amp; Biosciences Segment</w:t>
      </w:r>
    </w:p>
    <w:p>
      <w:pPr>
        <w:spacing w:after="0" w:line="18" w:lineRule="exact"/>
        <w:rPr>
          <w:sz w:val="20"/>
          <w:szCs w:val="20"/>
          <w:color w:val="auto"/>
        </w:rPr>
      </w:pPr>
    </w:p>
    <w:p>
      <w:pPr>
        <w:ind w:left="660" w:hanging="328"/>
        <w:spacing w:after="0" w:line="222"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a reported basis, first quarter sales were $595 million. On a comparable basis</w:t>
      </w:r>
      <w:r>
        <w:rPr>
          <w:rFonts w:ascii="Arial" w:cs="Arial" w:eastAsia="Arial" w:hAnsi="Arial"/>
          <w:sz w:val="21"/>
          <w:szCs w:val="21"/>
          <w:color w:val="auto"/>
          <w:vertAlign w:val="superscript"/>
        </w:rPr>
        <w:t>2</w:t>
      </w:r>
      <w:r>
        <w:rPr>
          <w:rFonts w:ascii="Arial" w:cs="Arial" w:eastAsia="Arial" w:hAnsi="Arial"/>
          <w:sz w:val="16"/>
          <w:szCs w:val="16"/>
          <w:color w:val="auto"/>
        </w:rPr>
        <w:t>, currency neutral sales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increased 5% with growth in nearly all businesses, led by Animal Nutrition and Food Biosciences.</w:t>
      </w:r>
    </w:p>
    <w:p>
      <w:pPr>
        <w:ind w:left="660" w:hanging="328"/>
        <w:spacing w:after="0" w:line="227"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Health &amp; Biosciences adjusted operating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$153 million and adjusted operating EBITDA margin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25.7% in the first quarter. On a comparable basis</w:t>
      </w:r>
      <w:r>
        <w:rPr>
          <w:rFonts w:ascii="Arial" w:cs="Arial" w:eastAsia="Arial" w:hAnsi="Arial"/>
          <w:sz w:val="21"/>
          <w:szCs w:val="21"/>
          <w:color w:val="auto"/>
          <w:vertAlign w:val="superscript"/>
        </w:rPr>
        <w:t>2</w:t>
      </w:r>
      <w:r>
        <w:rPr>
          <w:rFonts w:ascii="Arial" w:cs="Arial" w:eastAsia="Arial" w:hAnsi="Arial"/>
          <w:sz w:val="16"/>
          <w:szCs w:val="16"/>
          <w:color w:val="auto"/>
        </w:rPr>
        <w:t>, currency neutral adjusted operating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increased 7% primarily driven by volume growth.</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Scent Segment</w:t>
      </w:r>
    </w:p>
    <w:p>
      <w:pPr>
        <w:spacing w:after="0" w:line="32" w:lineRule="exact"/>
        <w:rPr>
          <w:sz w:val="20"/>
          <w:szCs w:val="20"/>
          <w:color w:val="auto"/>
        </w:rPr>
      </w:pPr>
    </w:p>
    <w:p>
      <w:pPr>
        <w:ind w:left="660" w:hanging="328"/>
        <w:spacing w:after="0" w:line="220"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a reported basis, first quarter sales were $651 million. On a comparable basis</w:t>
      </w:r>
      <w:r>
        <w:rPr>
          <w:rFonts w:ascii="Arial" w:cs="Arial" w:eastAsia="Arial" w:hAnsi="Arial"/>
          <w:sz w:val="21"/>
          <w:szCs w:val="21"/>
          <w:color w:val="auto"/>
          <w:vertAlign w:val="superscript"/>
        </w:rPr>
        <w:t>2</w:t>
      </w:r>
      <w:r>
        <w:rPr>
          <w:rFonts w:ascii="Arial" w:cs="Arial" w:eastAsia="Arial" w:hAnsi="Arial"/>
          <w:sz w:val="16"/>
          <w:szCs w:val="16"/>
          <w:color w:val="auto"/>
        </w:rPr>
        <w:t>, currency neutral sales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increased 1% as growth in Consumer Fragrances and Fine Fragrances was partially offset by a decline in Fragrance Ingredients.</w:t>
      </w:r>
    </w:p>
    <w:p>
      <w:pPr>
        <w:jc w:val="both"/>
        <w:ind w:left="660" w:hanging="328"/>
        <w:spacing w:after="0" w:line="208"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Scent adjusted operating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$148 million and adjusted operating EBITDA margin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22.7% in the first quarter. On a comparable basis</w:t>
      </w:r>
      <w:r>
        <w:rPr>
          <w:rFonts w:ascii="Arial" w:cs="Arial" w:eastAsia="Arial" w:hAnsi="Arial"/>
          <w:sz w:val="21"/>
          <w:szCs w:val="21"/>
          <w:color w:val="auto"/>
          <w:vertAlign w:val="superscript"/>
        </w:rPr>
        <w:t>2</w:t>
      </w:r>
      <w:r>
        <w:rPr>
          <w:rFonts w:ascii="Arial" w:cs="Arial" w:eastAsia="Arial" w:hAnsi="Arial"/>
          <w:sz w:val="16"/>
          <w:szCs w:val="16"/>
          <w:color w:val="auto"/>
        </w:rPr>
        <w:t>, currency neutral adjusted operating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decreased (2)% as volume growth and productivity gains were more than offset by unfavorable price to input cost.</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Food Ingredients Segment</w:t>
      </w:r>
    </w:p>
    <w:p>
      <w:pPr>
        <w:spacing w:after="0" w:line="18" w:lineRule="exact"/>
        <w:rPr>
          <w:sz w:val="20"/>
          <w:szCs w:val="20"/>
          <w:color w:val="auto"/>
        </w:rPr>
      </w:pPr>
    </w:p>
    <w:p>
      <w:pPr>
        <w:ind w:left="660" w:right="20" w:hanging="328"/>
        <w:spacing w:after="0" w:line="220"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a reported basis, first quarter sales were $839 million. On a comparable basis</w:t>
      </w:r>
      <w:r>
        <w:rPr>
          <w:rFonts w:ascii="Arial" w:cs="Arial" w:eastAsia="Arial" w:hAnsi="Arial"/>
          <w:sz w:val="21"/>
          <w:szCs w:val="21"/>
          <w:color w:val="auto"/>
          <w:vertAlign w:val="superscript"/>
        </w:rPr>
        <w:t>2</w:t>
      </w:r>
      <w:r>
        <w:rPr>
          <w:rFonts w:ascii="Arial" w:cs="Arial" w:eastAsia="Arial" w:hAnsi="Arial"/>
          <w:sz w:val="16"/>
          <w:szCs w:val="16"/>
          <w:color w:val="auto"/>
        </w:rPr>
        <w:t>, currency neutral sales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increased 3% led by volume growth in nearly all businesses.</w:t>
      </w:r>
    </w:p>
    <w:p>
      <w:pPr>
        <w:ind w:left="660" w:hanging="328"/>
        <w:spacing w:after="0" w:line="229"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Food Ingredients adjusted operating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$114 million and adjusted operating EBITDA margin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13.6% in the first quarter. On a comparable basis</w:t>
      </w:r>
      <w:r>
        <w:rPr>
          <w:rFonts w:ascii="Arial" w:cs="Arial" w:eastAsia="Arial" w:hAnsi="Arial"/>
          <w:sz w:val="21"/>
          <w:szCs w:val="21"/>
          <w:color w:val="auto"/>
          <w:vertAlign w:val="superscript"/>
        </w:rPr>
        <w:t>2</w:t>
      </w:r>
      <w:r>
        <w:rPr>
          <w:rFonts w:ascii="Arial" w:cs="Arial" w:eastAsia="Arial" w:hAnsi="Arial"/>
          <w:sz w:val="16"/>
          <w:szCs w:val="16"/>
          <w:color w:val="auto"/>
        </w:rPr>
        <w:t>, currency neutral adjusted operating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increased 12% driven by volume growth and productivity gains.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Financial Guidance</w:t>
      </w:r>
    </w:p>
    <w:p>
      <w:pPr>
        <w:spacing w:after="0" w:line="2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Company continues to expect full year 2026 sales to be in the range of $10.5 billion to $10.8 billion and full year 2026 adjusted operating EBITDA to be in the range of $2.05 billion to $2.15 billion. Full year guidance now includes two months (previously three months) of Soy Crush, Concentrates, and Lecithin business results with the divestiture closing on March 2, 2026 (previously expected to close on April 1, 2026).</w:t>
      </w:r>
    </w:p>
    <w:p>
      <w:pPr>
        <w:spacing w:after="0" w:line="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continues to expect comparable currency neutral sales growth to be between 1% to 4%, and comparable currency neutral adjusted operating EBITDA growth to be 3% to 8%.</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899" w:right="339" w:bottom="1440" w:gutter="0" w:footer="0" w:header="0"/>
        </w:sectPr>
      </w:pPr>
    </w:p>
    <w:bookmarkStart w:id="5" w:name="page6"/>
    <w:bookmarkEnd w:id="5"/>
    <w:p>
      <w:pPr>
        <w:jc w:val="both"/>
        <w:spacing w:after="0" w:line="286" w:lineRule="auto"/>
        <w:rPr>
          <w:sz w:val="20"/>
          <w:szCs w:val="20"/>
          <w:color w:val="auto"/>
        </w:rPr>
      </w:pPr>
      <w:r>
        <w:rPr>
          <w:rFonts w:ascii="Arial" w:cs="Arial" w:eastAsia="Arial" w:hAnsi="Arial"/>
          <w:sz w:val="16"/>
          <w:szCs w:val="16"/>
          <w:color w:val="auto"/>
        </w:rPr>
        <w:t>Based on recent market foreign exchange rates, the Company continues to expect that foreign exchange will have an approximately 1% positive impact on sales growth and have no impact on adjusted operating EBITDA growth in 2026.</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also continues to expect that divestitures will have an approximately 5% adverse impact on both sales and adjusted operating EBITDA growth in 2026.</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Audio Webcast</w:t>
      </w:r>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A live webcast to discuss the Company’s first quarter 2026 financial results will be held on May 6, 2026, at 9:00 a.m. ET. The webcast and accompanying slide presentation may be accessed on the Company’s IR website at </w:t>
      </w:r>
      <w:r>
        <w:rPr>
          <w:rFonts w:ascii="Arial" w:cs="Arial" w:eastAsia="Arial" w:hAnsi="Arial"/>
          <w:sz w:val="16"/>
          <w:szCs w:val="16"/>
          <w:u w:val="single" w:color="auto"/>
          <w:color w:val="auto"/>
        </w:rPr>
        <w:t>ir.iff.com</w:t>
      </w:r>
      <w:r>
        <w:rPr>
          <w:rFonts w:ascii="Arial" w:cs="Arial" w:eastAsia="Arial" w:hAnsi="Arial"/>
          <w:sz w:val="16"/>
          <w:szCs w:val="16"/>
          <w:color w:val="auto"/>
        </w:rPr>
        <w:t>. For those unable to listen to the live webcast, a recorded version will be made available on the Company’s website approximately one hour after the event and will remain available on IFF’s website for one year.</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Cautionary Statement Under The Private Securities Litigation Reform Act of 1995</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press release includes statements that are not historical facts and are “forward-looking statements” within the meaning of The Private Securities Litigation Reform Act of 1995. Such forward-looking statements are based on management’s current assumptions, estimates and expectations, including with respect to our financial and operational outlook (sales, adjusted operating EBITDA and cash flow), portfolio optimization initiatives (including the ongoing sale process for our Food Ingredients division), pricing, productivity and cost-discipline actions, capital allocation, future operations, growth potential, strategic investments and the expected effects of foreign exchange. These statements reflect management’s present views, are based on a series of expectations, assumptions, estimates and projections about the Company, are subject to change, and involve uncertainties that could cause actual results to differ materially.</w:t>
      </w:r>
    </w:p>
    <w:p>
      <w:pPr>
        <w:spacing w:after="0" w:line="2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Certain of such forward-looking information may be identified by such terms as “expect”, “anticipate”, “believe”, “intend”, “outlook”, “may”, “will”, “would”, “estimate”, “should”, “predict”, “plan”, “project”, “could”, “potential”, “seek”, “target”, “continue”, “future”, and similar terms or variations thereof. These statements are not guarantees of future performance and are subject to risks and uncertainties that could lead to materially different outcomes.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Such risks, uncertainties and other factors include, among others, the following: (1) demand trends, competitive dynamics and customer concentration in our end markets; (2) execution of our strategic transformation and other strategic transactions, divestitures, acquisitions, collaborations and joint ventures; (3) working capital and inventory management; (4) outcomes of legal claims, disputes, regulatory investigations and litigation; (5) tariffs and trade actions, supply chain disruptions and macro events, including geopolitical developments, climate events, natural disasters, public health crises; (6) volatility in input costs (such as raw materials, transportation and energy); (7) attraction, retention and turnover of key employees and executives; (8) product innovation, time-to-market, product safety and quality; (9) cybersecurity incidents, artificial intelligence related risks, data privacy and compliance with data protection laws; (10) exposure to emerging markets, foreign currency fluctuations and international regulatory and political risks; (11) capital allocation, dividend policy and potential impairments of tangible or intangible assets; (12) our indebtedness, credit rating, liquidity, and access to capital; (13) pension and postretirement obligations; (14) compliance with federal, state, local and international rules and regulations, and regulatory, environmental, anti-corruption and sanctions laws and related ethical business practices; (15) protection and enforcement of intellectual property; (16) changes in tax laws and policies, tax audits and outcomes, including potential tax liabilities related to prior transactions; and (17) changes in federal, state, local and international rules and regulations.</w:t>
      </w:r>
    </w:p>
    <w:p>
      <w:pPr>
        <w:spacing w:after="0" w:line="200" w:lineRule="exact"/>
        <w:rPr>
          <w:sz w:val="20"/>
          <w:szCs w:val="20"/>
          <w:color w:val="auto"/>
        </w:rPr>
      </w:pP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foregoing list of important factors does not include all such factors, nor necessarily present them in order of importance. Important factors are described under “Risk Factors” in our most recent Annual Report on Form 10-K and in our subsequent filings with the SEC, and those disclosures are incorporated herein by reference.</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intend our forward-looking statements to speak only as of the time of such statements and do not undertake or plan to update or revise them as more information becomes available or to reflect changes in expectations, assumptions or results, whether as a result of new information, future events or otherwise. We can give no assurance that such expectations or forward-looking statements will prove to be correct. An occurrence of, or any material adverse change in, one or more of the risk factors or risks and uncertainties referred to in this press release or included in our other periodic</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93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reports filed with the SEC could materially and adversely impact our operations and our future financial results.</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Any public statements or disclosures made by us following this press release that modify or impact any of the forward-looking statements contained in or accompanying this press release will be deemed to modify or supersede such outlook or other forward-looking statements in or accompanying this press release.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Use of Non-GAAP Financial Measures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provide in this press release non-GAAP financial measures, including: (i) comparable currency neutral sales; (ii) adjusted operating EBITDA and comparable currency neutral adjusted operating EBITDA; (iii) adjusted operating EBITDA margin; (iv) adjusted EPS ex amortization; (v) free cash flow; and (vi) net debt to credit adjusted EBITDA.</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Our non-GAAP financial measures are defined below.</w:t>
      </w:r>
    </w:p>
    <w:p>
      <w:pPr>
        <w:spacing w:after="0" w:line="26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Currency Neutral metrics eliminate the effects that result from translating non-U.S. currencies to U.S. dollars. We calculate currency neutral numbers by translating current year invoiced sale amounts at the exchange rates used for the corresponding prior year period. We use currency neutral results in our analysis of segment performance. We also use currency neutral numbers when analyzing our performance against that of our competitors.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Comparable results for the first quarter exclude the impact of divestitures.</w:t>
      </w:r>
    </w:p>
    <w:p>
      <w:pPr>
        <w:spacing w:after="0" w:line="24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Adjusted operating EBITDA and adjusted operating EBITDA margin exclude depreciation and amortization, interest expense, other expense, net, and certain non-recurring or unusual items that are not part of recurring operations such as impairment of goodwill, restructuring and other charges, divestiture costs, strategic initiatives costs, regulatory costs and other items.</w:t>
      </w:r>
    </w:p>
    <w:p>
      <w:pPr>
        <w:spacing w:after="0" w:line="1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Adjusted EPS ex Amortization excludes the impact of non-operational items including restructuring and other charges, divestiture costs, losses (gains) on business disposals, strategic initiatives costs, regulatory costs and other items that are not a part of recurring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Free Cash Flow is operating cash flow (i.e., cash flow from operations) less capital expenditures.</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debt to credit adjusted EBITDA is the leverage ratio used in our credit agreements and defined as net debt (which is debt for borrowed money less cash and cash equivalents) divided by the trailing 12-month credit adjusted EBITDA. Credit adjusted EBITDA is defined as income (loss) before interest expense, income taxes, depreciation and amortization, specified items and non-cash items.</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These non-GAAP measures are intended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 and expected future results and financial condition, we believe it is meaningful for investors to be made aware of and to be assisted in a better understanding of, on a period-to-period comparable basis, financial amounts both including and excluding these identified items, as well as the impact of exchange rate fluctuations. These non-GAAP measures should not be considered in isolation or as substitutes for analysis of the Company’s results under GAAP and may not be comparable to other companies’ calculation of such metrics.</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cannot reconcile its expected adjusted operating EBITDA under "Financial Guidance" without unreasonable effort because certain items that impact net income and other reconciling metrics are out of the Company's control and/or cannot be reasonably predicted at this time. These items include but are not limited to divestiture costs, gains (losses) on business disposals, and regulatory costs.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Welcome to IFF</w:t>
      </w:r>
    </w:p>
    <w:p>
      <w:pPr>
        <w:spacing w:after="0" w:line="26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At IFF (NYSE: IFF), we make joy through science, creativity and heart. As the global leader in flavors, fragrances, food ingredients, health and biosciences, we deliver groundbreaking, sustainable innovations that elevate everyday products—advancing wellness, delighting the senses and enhancing the human experience. Learn more at iff.com, LinkedIn, Instagram and Facebook.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935"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6"/>
          <w:szCs w:val="16"/>
          <w:b w:val="1"/>
          <w:bCs w:val="1"/>
          <w:color w:val="auto"/>
        </w:rPr>
        <w:t>International Flavors &amp; Fragrances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Income (Loss)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millions except per share data)</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right"/>
              <w:ind w:right="43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7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sales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1,808</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776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164</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17"/>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and administrative expenses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7760" w:type="dxa"/>
            <w:vAlign w:val="bottom"/>
          </w:tcPr>
          <w:p>
            <w:pPr>
              <w:ind w:left="20"/>
              <w:spacing w:after="0"/>
              <w:rPr>
                <w:sz w:val="20"/>
                <w:szCs w:val="20"/>
                <w:color w:val="auto"/>
              </w:rPr>
            </w:pPr>
            <w:r>
              <w:rPr>
                <w:rFonts w:ascii="Arial" w:cs="Arial" w:eastAsia="Arial" w:hAnsi="Arial"/>
                <w:sz w:val="16"/>
                <w:szCs w:val="16"/>
                <w:color w:val="auto"/>
              </w:rPr>
              <w:t>Amortization of acquisition-related intangibles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217"/>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NMF</w:t>
            </w:r>
          </w:p>
        </w:tc>
      </w:tr>
      <w:tr>
        <w:trPr>
          <w:trHeight w:val="215"/>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Restructuring and other charges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(65)%</w:t>
            </w:r>
          </w:p>
        </w:tc>
      </w:tr>
      <w:tr>
        <w:trPr>
          <w:trHeight w:val="210"/>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(loss)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15"/>
        </w:trPr>
        <w:tc>
          <w:tcPr>
            <w:tcW w:w="77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(38)%</w:t>
            </w:r>
          </w:p>
        </w:tc>
      </w:tr>
      <w:tr>
        <w:trPr>
          <w:trHeight w:val="217"/>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Losses on business disposals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NMF</w:t>
            </w:r>
          </w:p>
        </w:tc>
      </w:tr>
      <w:tr>
        <w:trPr>
          <w:trHeight w:val="215"/>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 net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(35)%</w:t>
            </w:r>
          </w:p>
        </w:tc>
      </w:tr>
      <w:tr>
        <w:trPr>
          <w:trHeight w:val="210"/>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taxes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5"/>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70 %</w:t>
            </w:r>
          </w:p>
        </w:tc>
      </w:tr>
      <w:tr>
        <w:trPr>
          <w:trHeight w:val="210"/>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09"/>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 %</w:t>
            </w:r>
          </w:p>
        </w:tc>
      </w:tr>
      <w:tr>
        <w:trPr>
          <w:trHeight w:val="235"/>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IFF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203"/>
        </w:trPr>
        <w:tc>
          <w:tcPr>
            <w:tcW w:w="7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per share - basic and diluted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70"/>
        </w:trPr>
        <w:tc>
          <w:tcPr>
            <w:tcW w:w="7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number of shares outstanding - basic</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7760" w:type="dxa"/>
            <w:vAlign w:val="bottom"/>
          </w:tcPr>
          <w:p>
            <w:pPr>
              <w:ind w:left="20"/>
              <w:spacing w:after="0"/>
              <w:rPr>
                <w:sz w:val="20"/>
                <w:szCs w:val="20"/>
                <w:color w:val="auto"/>
              </w:rPr>
            </w:pPr>
            <w:r>
              <w:rPr>
                <w:rFonts w:ascii="Arial" w:cs="Arial" w:eastAsia="Arial" w:hAnsi="Arial"/>
                <w:sz w:val="16"/>
                <w:szCs w:val="16"/>
                <w:color w:val="auto"/>
              </w:rPr>
              <w:t>Average number of shares outstanding - diluted</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NMF </w:t>
      </w:r>
      <w:r>
        <w:rPr>
          <w:rFonts w:ascii="Arial" w:cs="Arial" w:eastAsia="Arial" w:hAnsi="Arial"/>
          <w:sz w:val="16"/>
          <w:szCs w:val="16"/>
          <w:color w:val="auto"/>
        </w:rPr>
        <w:t>Not meaningful</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20"/>
          </w:cols>
          <w:pgMar w:left="320" w:top="895" w:right="3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6"/>
          <w:szCs w:val="16"/>
          <w:b w:val="1"/>
          <w:bCs w:val="1"/>
          <w:color w:val="auto"/>
        </w:rPr>
        <w:t>International Flavors &amp; Fragrances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(Amounts in millions)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8"/>
                <w:szCs w:val="18"/>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7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r>
      <w:tr>
        <w:trPr>
          <w:trHeight w:val="209"/>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r>
      <w:tr>
        <w:trPr>
          <w:trHeight w:val="215"/>
        </w:trPr>
        <w:tc>
          <w:tcPr>
            <w:tcW w:w="7900" w:type="dxa"/>
            <w:vAlign w:val="bottom"/>
          </w:tcPr>
          <w:p>
            <w:pPr>
              <w:spacing w:after="0"/>
              <w:rPr>
                <w:sz w:val="20"/>
                <w:szCs w:val="20"/>
                <w:color w:val="auto"/>
              </w:rPr>
            </w:pPr>
            <w:r>
              <w:rPr>
                <w:rFonts w:ascii="Arial" w:cs="Arial" w:eastAsia="Arial" w:hAnsi="Arial"/>
                <w:sz w:val="16"/>
                <w:szCs w:val="16"/>
                <w:color w:val="auto"/>
              </w:rPr>
              <w:t>Receivables, net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1,731</w:t>
            </w:r>
          </w:p>
        </w:tc>
      </w:tr>
      <w:tr>
        <w:trPr>
          <w:trHeight w:val="217"/>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w:t>
            </w:r>
          </w:p>
        </w:tc>
      </w:tr>
      <w:tr>
        <w:trPr>
          <w:trHeight w:val="215"/>
        </w:trPr>
        <w:tc>
          <w:tcPr>
            <w:tcW w:w="7900" w:type="dxa"/>
            <w:vAlign w:val="bottom"/>
          </w:tcPr>
          <w:p>
            <w:pPr>
              <w:spacing w:after="0"/>
              <w:rPr>
                <w:sz w:val="20"/>
                <w:szCs w:val="20"/>
                <w:color w:val="auto"/>
              </w:rPr>
            </w:pPr>
            <w:r>
              <w:rPr>
                <w:rFonts w:ascii="Arial" w:cs="Arial" w:eastAsia="Arial" w:hAnsi="Arial"/>
                <w:sz w:val="16"/>
                <w:szCs w:val="16"/>
                <w:color w:val="auto"/>
              </w:rPr>
              <w:t>Assets held for sale</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17"/>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w:t>
            </w:r>
          </w:p>
        </w:tc>
      </w:tr>
      <w:tr>
        <w:trPr>
          <w:trHeight w:val="209"/>
        </w:trPr>
        <w:tc>
          <w:tcPr>
            <w:tcW w:w="7900" w:type="dxa"/>
            <w:vAlign w:val="bottom"/>
          </w:tcPr>
          <w:p>
            <w:pPr>
              <w:ind w:left="14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5,594</w:t>
            </w:r>
          </w:p>
        </w:tc>
      </w:tr>
      <w:tr>
        <w:trPr>
          <w:trHeight w:val="257"/>
        </w:trPr>
        <w:tc>
          <w:tcPr>
            <w:tcW w:w="79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15"/>
        </w:trPr>
        <w:tc>
          <w:tcPr>
            <w:tcW w:w="7900" w:type="dxa"/>
            <w:vAlign w:val="bottom"/>
          </w:tcPr>
          <w:p>
            <w:pPr>
              <w:ind w:left="3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4,029</w:t>
            </w:r>
          </w:p>
        </w:tc>
      </w:tr>
      <w:tr>
        <w:trPr>
          <w:trHeight w:val="217"/>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Goodwill and other intangibles, net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14,312</w:t>
            </w:r>
          </w:p>
        </w:tc>
      </w:tr>
      <w:tr>
        <w:trPr>
          <w:trHeight w:val="215"/>
        </w:trPr>
        <w:tc>
          <w:tcPr>
            <w:tcW w:w="79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1,604</w:t>
            </w:r>
          </w:p>
        </w:tc>
      </w:tr>
      <w:tr>
        <w:trPr>
          <w:trHeight w:val="235"/>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25,144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25,539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borrowings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w:t>
            </w:r>
          </w:p>
        </w:tc>
      </w:tr>
      <w:tr>
        <w:trPr>
          <w:trHeight w:val="215"/>
        </w:trPr>
        <w:tc>
          <w:tcPr>
            <w:tcW w:w="7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2,679</w:t>
            </w:r>
          </w:p>
        </w:tc>
      </w:tr>
      <w:tr>
        <w:trPr>
          <w:trHeight w:val="210"/>
        </w:trPr>
        <w:tc>
          <w:tcPr>
            <w:tcW w:w="7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3,933</w:t>
            </w:r>
          </w:p>
        </w:tc>
      </w:tr>
      <w:tr>
        <w:trPr>
          <w:trHeight w:val="257"/>
        </w:trPr>
        <w:tc>
          <w:tcPr>
            <w:tcW w:w="7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4,740</w:t>
            </w:r>
          </w:p>
        </w:tc>
      </w:tr>
      <w:tr>
        <w:trPr>
          <w:trHeight w:val="215"/>
        </w:trPr>
        <w:tc>
          <w:tcPr>
            <w:tcW w:w="7900" w:type="dxa"/>
            <w:vAlign w:val="bottom"/>
          </w:tcPr>
          <w:p>
            <w:pPr>
              <w:spacing w:after="0"/>
              <w:rPr>
                <w:sz w:val="20"/>
                <w:szCs w:val="20"/>
                <w:color w:val="auto"/>
              </w:rPr>
            </w:pPr>
            <w:r>
              <w:rPr>
                <w:rFonts w:ascii="Arial" w:cs="Arial" w:eastAsia="Arial" w:hAnsi="Arial"/>
                <w:sz w:val="16"/>
                <w:szCs w:val="16"/>
                <w:color w:val="auto"/>
              </w:rPr>
              <w:t>Non-current liabilities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2,680</w:t>
            </w:r>
          </w:p>
        </w:tc>
      </w:tr>
      <w:tr>
        <w:trPr>
          <w:trHeight w:val="257"/>
        </w:trPr>
        <w:tc>
          <w:tcPr>
            <w:tcW w:w="79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15"/>
        </w:trPr>
        <w:tc>
          <w:tcPr>
            <w:tcW w:w="7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Shareholders' equity including Non-controlling interests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14,186</w:t>
            </w:r>
          </w:p>
        </w:tc>
      </w:tr>
      <w:tr>
        <w:trPr>
          <w:trHeight w:val="235"/>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 and shareholders'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25,144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25,539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180"/>
          </w:cols>
          <w:pgMar w:left="360" w:top="895" w:right="359" w:bottom="1440" w:gutter="0" w:footer="0" w:header="0"/>
        </w:sectPr>
      </w:pPr>
    </w:p>
    <w:bookmarkStart w:id="9" w:name="page10"/>
    <w:bookmarkEnd w:id="9"/>
    <w:p>
      <w:pPr>
        <w:ind w:left="4120"/>
        <w:spacing w:after="0"/>
        <w:rPr>
          <w:sz w:val="20"/>
          <w:szCs w:val="20"/>
          <w:color w:val="auto"/>
        </w:rPr>
      </w:pPr>
      <w:r>
        <w:rPr>
          <w:rFonts w:ascii="Arial" w:cs="Arial" w:eastAsia="Arial" w:hAnsi="Arial"/>
          <w:sz w:val="16"/>
          <w:szCs w:val="16"/>
          <w:b w:val="1"/>
          <w:bCs w:val="1"/>
          <w:color w:val="auto"/>
        </w:rPr>
        <w:t>International Flavors &amp; Fragrances Inc.</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millions)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7"/>
                <w:szCs w:val="17"/>
                <w:color w:val="auto"/>
              </w:rPr>
            </w:pPr>
          </w:p>
        </w:tc>
      </w:tr>
      <w:tr>
        <w:trPr>
          <w:trHeight w:val="195"/>
        </w:trPr>
        <w:tc>
          <w:tcPr>
            <w:tcW w:w="7600" w:type="dxa"/>
            <w:vAlign w:val="bottom"/>
          </w:tcPr>
          <w:p>
            <w:pPr>
              <w:spacing w:after="0"/>
              <w:rPr>
                <w:sz w:val="16"/>
                <w:szCs w:val="16"/>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r>
      <w:tr>
        <w:trPr>
          <w:trHeight w:val="183"/>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0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Adjustments to reconcile to net cash provided by operating activities</w:t>
            </w: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7"/>
        </w:trPr>
        <w:tc>
          <w:tcPr>
            <w:tcW w:w="7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Depreciation and amortization</w:t>
            </w: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r>
      <w:tr>
        <w:trPr>
          <w:trHeight w:val="198"/>
        </w:trPr>
        <w:tc>
          <w:tcPr>
            <w:tcW w:w="760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1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207"/>
        </w:trPr>
        <w:tc>
          <w:tcPr>
            <w:tcW w:w="7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Losses on business disposals</w:t>
            </w: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60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1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7"/>
        </w:trPr>
        <w:tc>
          <w:tcPr>
            <w:tcW w:w="7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Pension contributions</w:t>
            </w: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8"/>
        </w:trPr>
        <w:tc>
          <w:tcPr>
            <w:tcW w:w="7600" w:type="dxa"/>
            <w:vAlign w:val="bottom"/>
          </w:tcPr>
          <w:p>
            <w:pPr>
              <w:ind w:left="340"/>
              <w:spacing w:after="0"/>
              <w:rPr>
                <w:sz w:val="20"/>
                <w:szCs w:val="20"/>
                <w:color w:val="auto"/>
              </w:rPr>
            </w:pPr>
            <w:r>
              <w:rPr>
                <w:rFonts w:ascii="Arial" w:cs="Arial" w:eastAsia="Arial" w:hAnsi="Arial"/>
                <w:sz w:val="14"/>
                <w:szCs w:val="14"/>
                <w:color w:val="auto"/>
              </w:rPr>
              <w:t>Impairment of goodwill</w:t>
            </w:r>
          </w:p>
        </w:tc>
        <w:tc>
          <w:tcPr>
            <w:tcW w:w="12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1,153</w:t>
            </w:r>
          </w:p>
        </w:tc>
      </w:tr>
      <w:tr>
        <w:trPr>
          <w:trHeight w:val="207"/>
        </w:trPr>
        <w:tc>
          <w:tcPr>
            <w:tcW w:w="7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Changes in assets and liabilities, net of acquisitions:</w:t>
            </w: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98"/>
        </w:trPr>
        <w:tc>
          <w:tcPr>
            <w:tcW w:w="7600" w:type="dxa"/>
            <w:vAlign w:val="bottom"/>
          </w:tcPr>
          <w:p>
            <w:pPr>
              <w:ind w:left="660"/>
              <w:spacing w:after="0"/>
              <w:rPr>
                <w:sz w:val="20"/>
                <w:szCs w:val="20"/>
                <w:color w:val="auto"/>
              </w:rPr>
            </w:pPr>
            <w:r>
              <w:rPr>
                <w:rFonts w:ascii="Arial" w:cs="Arial" w:eastAsia="Arial" w:hAnsi="Arial"/>
                <w:sz w:val="14"/>
                <w:szCs w:val="14"/>
                <w:color w:val="auto"/>
              </w:rPr>
              <w:t>Trade receivables</w:t>
            </w:r>
          </w:p>
        </w:tc>
        <w:tc>
          <w:tcPr>
            <w:tcW w:w="1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(116)</w:t>
            </w:r>
          </w:p>
        </w:tc>
      </w:tr>
      <w:tr>
        <w:trPr>
          <w:trHeight w:val="207"/>
        </w:trPr>
        <w:tc>
          <w:tcPr>
            <w:tcW w:w="76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Inventories</w:t>
            </w: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198"/>
        </w:trPr>
        <w:tc>
          <w:tcPr>
            <w:tcW w:w="7600" w:type="dxa"/>
            <w:vAlign w:val="bottom"/>
          </w:tcPr>
          <w:p>
            <w:pPr>
              <w:ind w:left="660"/>
              <w:spacing w:after="0"/>
              <w:rPr>
                <w:sz w:val="20"/>
                <w:szCs w:val="20"/>
                <w:color w:val="auto"/>
              </w:rPr>
            </w:pPr>
            <w:r>
              <w:rPr>
                <w:rFonts w:ascii="Arial" w:cs="Arial" w:eastAsia="Arial" w:hAnsi="Arial"/>
                <w:sz w:val="14"/>
                <w:szCs w:val="14"/>
                <w:color w:val="auto"/>
              </w:rPr>
              <w:t>Accounts payable</w:t>
            </w:r>
          </w:p>
        </w:tc>
        <w:tc>
          <w:tcPr>
            <w:tcW w:w="1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207"/>
        </w:trPr>
        <w:tc>
          <w:tcPr>
            <w:tcW w:w="76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Accruals for incentive compensation</w:t>
            </w: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r>
      <w:tr>
        <w:trPr>
          <w:trHeight w:val="198"/>
        </w:trPr>
        <w:tc>
          <w:tcPr>
            <w:tcW w:w="760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Other assets/liabilities, net</w:t>
            </w:r>
          </w:p>
        </w:tc>
        <w:tc>
          <w:tcPr>
            <w:tcW w:w="1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r>
      <w:tr>
        <w:trPr>
          <w:trHeight w:val="20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2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r>
      <w:tr>
        <w:trPr>
          <w:trHeight w:val="18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03"/>
        </w:trPr>
        <w:tc>
          <w:tcPr>
            <w:tcW w:w="7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Additions to property, plant and equipment</w:t>
            </w: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r>
      <w:tr>
        <w:trPr>
          <w:trHeight w:val="198"/>
        </w:trPr>
        <w:tc>
          <w:tcPr>
            <w:tcW w:w="7600" w:type="dxa"/>
            <w:vAlign w:val="bottom"/>
          </w:tcPr>
          <w:p>
            <w:pPr>
              <w:ind w:left="340"/>
              <w:spacing w:after="0"/>
              <w:rPr>
                <w:sz w:val="20"/>
                <w:szCs w:val="20"/>
                <w:color w:val="auto"/>
              </w:rPr>
            </w:pPr>
            <w:r>
              <w:rPr>
                <w:rFonts w:ascii="Arial" w:cs="Arial" w:eastAsia="Arial" w:hAnsi="Arial"/>
                <w:sz w:val="14"/>
                <w:szCs w:val="14"/>
                <w:color w:val="auto"/>
              </w:rPr>
              <w:t>Net proceeds received from business disposals</w:t>
            </w:r>
          </w:p>
        </w:tc>
        <w:tc>
          <w:tcPr>
            <w:tcW w:w="1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(paid) received on foreign currency forward contracts</w:t>
            </w:r>
          </w:p>
        </w:tc>
        <w:tc>
          <w:tcPr>
            <w:tcW w:w="12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92"/>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r>
      <w:tr>
        <w:trPr>
          <w:trHeight w:val="18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98"/>
        </w:trPr>
        <w:tc>
          <w:tcPr>
            <w:tcW w:w="7600" w:type="dxa"/>
            <w:vAlign w:val="bottom"/>
          </w:tcPr>
          <w:p>
            <w:pPr>
              <w:ind w:left="340"/>
              <w:spacing w:after="0"/>
              <w:rPr>
                <w:sz w:val="20"/>
                <w:szCs w:val="20"/>
                <w:color w:val="auto"/>
              </w:rPr>
            </w:pPr>
            <w:r>
              <w:rPr>
                <w:rFonts w:ascii="Arial" w:cs="Arial" w:eastAsia="Arial" w:hAnsi="Arial"/>
                <w:sz w:val="14"/>
                <w:szCs w:val="14"/>
                <w:color w:val="auto"/>
              </w:rPr>
              <w:t>Cash dividends paid to shareholders</w:t>
            </w:r>
          </w:p>
        </w:tc>
        <w:tc>
          <w:tcPr>
            <w:tcW w:w="1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207"/>
        </w:trPr>
        <w:tc>
          <w:tcPr>
            <w:tcW w:w="7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(repayments) borrowings of commercial paper (maturities less than three months)</w:t>
            </w: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r>
      <w:tr>
        <w:trPr>
          <w:trHeight w:val="199"/>
        </w:trPr>
        <w:tc>
          <w:tcPr>
            <w:tcW w:w="7600" w:type="dxa"/>
            <w:vAlign w:val="bottom"/>
          </w:tcPr>
          <w:p>
            <w:pPr>
              <w:ind w:left="340"/>
              <w:spacing w:after="0"/>
              <w:rPr>
                <w:sz w:val="20"/>
                <w:szCs w:val="20"/>
                <w:color w:val="auto"/>
              </w:rPr>
            </w:pPr>
            <w:r>
              <w:rPr>
                <w:rFonts w:ascii="Arial" w:cs="Arial" w:eastAsia="Arial" w:hAnsi="Arial"/>
                <w:sz w:val="14"/>
                <w:szCs w:val="14"/>
                <w:color w:val="auto"/>
              </w:rPr>
              <w:t>Principal payments of debt</w:t>
            </w:r>
          </w:p>
        </w:tc>
        <w:tc>
          <w:tcPr>
            <w:tcW w:w="12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7"/>
        </w:trPr>
        <w:tc>
          <w:tcPr>
            <w:tcW w:w="7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Purchases of treasury stock</w:t>
            </w: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net</w:t>
            </w:r>
          </w:p>
        </w:tc>
        <w:tc>
          <w:tcPr>
            <w:tcW w:w="1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20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12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r>
      <w:tr>
        <w:trPr>
          <w:trHeight w:val="192"/>
        </w:trPr>
        <w:tc>
          <w:tcPr>
            <w:tcW w:w="760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1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0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r>
      <w:tr>
        <w:trPr>
          <w:trHeight w:val="19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year</w:t>
            </w:r>
          </w:p>
        </w:tc>
        <w:tc>
          <w:tcPr>
            <w:tcW w:w="1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w:t>
            </w:r>
          </w:p>
        </w:tc>
      </w:tr>
      <w:tr>
        <w:trPr>
          <w:trHeight w:val="221"/>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1220" w:type="dxa"/>
            <w:vAlign w:val="bottom"/>
            <w:tcBorders>
              <w:bottom w:val="single" w:sz="8" w:color="auto"/>
            </w:tcBorders>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8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4"/>
          <w:szCs w:val="14"/>
          <w:color w:val="auto"/>
        </w:rPr>
        <w:t>The following table reconciles cash and cash equivalents between the Company's statement of cash flows for the periods ended March 31, 2026 and March 31, 2025 to the amounts reported on the Company's balance sheet:</w:t>
      </w:r>
    </w:p>
    <w:tbl>
      <w:tblPr>
        <w:tblLayout w:type="fixed"/>
        <w:tblInd w:w="20" w:type="dxa"/>
        <w:tblCellMar>
          <w:top w:w="0" w:type="dxa"/>
          <w:left w:w="0" w:type="dxa"/>
          <w:bottom w:w="0" w:type="dxa"/>
          <w:right w:w="0" w:type="dxa"/>
        </w:tblCellMar>
      </w:tblPr>
      <w:tr>
        <w:trPr>
          <w:trHeight w:val="159"/>
        </w:trPr>
        <w:tc>
          <w:tcPr>
            <w:tcW w:w="4360" w:type="dxa"/>
            <w:vAlign w:val="bottom"/>
            <w:gridSpan w:val="3"/>
          </w:tcPr>
          <w:p>
            <w:pPr>
              <w:ind w:left="20"/>
              <w:spacing w:after="0" w:line="159" w:lineRule="exact"/>
              <w:rPr>
                <w:sz w:val="20"/>
                <w:szCs w:val="20"/>
                <w:color w:val="auto"/>
              </w:rPr>
            </w:pPr>
            <w:r>
              <w:rPr>
                <w:rFonts w:ascii="Arial" w:cs="Arial" w:eastAsia="Arial" w:hAnsi="Arial"/>
                <w:sz w:val="14"/>
                <w:szCs w:val="14"/>
                <w:i w:val="1"/>
                <w:iCs w:val="1"/>
                <w:color w:val="auto"/>
              </w:rPr>
              <w:t>AMOUNTS IN MILLIONS</w:t>
            </w:r>
          </w:p>
        </w:tc>
        <w:tc>
          <w:tcPr>
            <w:tcW w:w="200" w:type="dxa"/>
            <w:vAlign w:val="bottom"/>
          </w:tcPr>
          <w:p>
            <w:pPr>
              <w:spacing w:after="0"/>
              <w:rPr>
                <w:sz w:val="13"/>
                <w:szCs w:val="13"/>
                <w:color w:val="auto"/>
              </w:rPr>
            </w:pPr>
          </w:p>
        </w:tc>
        <w:tc>
          <w:tcPr>
            <w:tcW w:w="1520" w:type="dxa"/>
            <w:vAlign w:val="bottom"/>
            <w:gridSpan w:val="2"/>
          </w:tcPr>
          <w:p>
            <w:pPr>
              <w:ind w:left="120"/>
              <w:spacing w:after="0" w:line="159" w:lineRule="exact"/>
              <w:rPr>
                <w:sz w:val="20"/>
                <w:szCs w:val="20"/>
                <w:color w:val="auto"/>
              </w:rPr>
            </w:pPr>
            <w:r>
              <w:rPr>
                <w:rFonts w:ascii="Arial" w:cs="Arial" w:eastAsia="Arial" w:hAnsi="Arial"/>
                <w:sz w:val="14"/>
                <w:szCs w:val="14"/>
                <w:b w:val="1"/>
                <w:bCs w:val="1"/>
                <w:color w:val="auto"/>
              </w:rPr>
              <w:t>March 31, 2026</w:t>
            </w:r>
          </w:p>
        </w:tc>
        <w:tc>
          <w:tcPr>
            <w:tcW w:w="140" w:type="dxa"/>
            <w:vAlign w:val="bottom"/>
          </w:tcPr>
          <w:p>
            <w:pPr>
              <w:spacing w:after="0"/>
              <w:rPr>
                <w:sz w:val="13"/>
                <w:szCs w:val="13"/>
                <w:color w:val="auto"/>
              </w:rPr>
            </w:pPr>
          </w:p>
        </w:tc>
        <w:tc>
          <w:tcPr>
            <w:tcW w:w="160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December 31, 2025</w:t>
            </w:r>
          </w:p>
        </w:tc>
        <w:tc>
          <w:tcPr>
            <w:tcW w:w="200" w:type="dxa"/>
            <w:vAlign w:val="bottom"/>
          </w:tcPr>
          <w:p>
            <w:pPr>
              <w:spacing w:after="0"/>
              <w:rPr>
                <w:sz w:val="13"/>
                <w:szCs w:val="13"/>
                <w:color w:val="auto"/>
              </w:rPr>
            </w:pPr>
          </w:p>
        </w:tc>
        <w:tc>
          <w:tcPr>
            <w:tcW w:w="1520" w:type="dxa"/>
            <w:vAlign w:val="bottom"/>
            <w:gridSpan w:val="2"/>
          </w:tcPr>
          <w:p>
            <w:pPr>
              <w:ind w:left="100"/>
              <w:spacing w:after="0" w:line="159" w:lineRule="exact"/>
              <w:rPr>
                <w:sz w:val="20"/>
                <w:szCs w:val="20"/>
                <w:color w:val="auto"/>
              </w:rPr>
            </w:pPr>
            <w:r>
              <w:rPr>
                <w:rFonts w:ascii="Arial" w:cs="Arial" w:eastAsia="Arial" w:hAnsi="Arial"/>
                <w:sz w:val="14"/>
                <w:szCs w:val="14"/>
                <w:b w:val="1"/>
                <w:bCs w:val="1"/>
                <w:color w:val="auto"/>
              </w:rPr>
              <w:t>March 31, 2025</w:t>
            </w:r>
          </w:p>
        </w:tc>
        <w:tc>
          <w:tcPr>
            <w:tcW w:w="140" w:type="dxa"/>
            <w:vAlign w:val="bottom"/>
          </w:tcPr>
          <w:p>
            <w:pPr>
              <w:spacing w:after="0"/>
              <w:rPr>
                <w:sz w:val="13"/>
                <w:szCs w:val="13"/>
                <w:color w:val="auto"/>
              </w:rPr>
            </w:pPr>
          </w:p>
        </w:tc>
        <w:tc>
          <w:tcPr>
            <w:tcW w:w="1520" w:type="dxa"/>
            <w:vAlign w:val="bottom"/>
          </w:tcPr>
          <w:p>
            <w:pPr>
              <w:jc w:val="right"/>
              <w:ind w:right="108"/>
              <w:spacing w:after="0" w:line="159" w:lineRule="exact"/>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36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Current assets</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3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gridSpan w:val="2"/>
          </w:tcPr>
          <w:p>
            <w:pPr>
              <w:ind w:left="120"/>
              <w:spacing w:after="0"/>
              <w:rPr>
                <w:sz w:val="20"/>
                <w:szCs w:val="20"/>
                <w:color w:val="auto"/>
              </w:rPr>
            </w:pPr>
            <w:r>
              <w:rPr>
                <w:rFonts w:ascii="Arial" w:cs="Arial" w:eastAsia="Arial" w:hAnsi="Arial"/>
                <w:sz w:val="14"/>
                <w:szCs w:val="14"/>
                <w:color w:val="auto"/>
              </w:rPr>
              <w:t>Cash and cash equivalents included in Assets held for sale</w:t>
            </w:r>
          </w:p>
        </w:tc>
        <w:tc>
          <w:tcPr>
            <w:tcW w:w="20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1"/>
        </w:trPr>
        <w:tc>
          <w:tcPr>
            <w:tcW w:w="43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Company had no restricted cash as of March 31, 2026 and December 31, 2025.</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44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International Flavors &amp; Fragrances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Reportable Segment Performance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millions)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center"/>
              <w:ind w:left="219"/>
              <w:spacing w:after="0"/>
              <w:rPr>
                <w:sz w:val="20"/>
                <w:szCs w:val="20"/>
                <w:color w:val="auto"/>
              </w:rPr>
            </w:pPr>
            <w:r>
              <w:rPr>
                <w:rFonts w:ascii="Arial" w:cs="Arial" w:eastAsia="Arial" w:hAnsi="Arial"/>
                <w:sz w:val="16"/>
                <w:szCs w:val="16"/>
                <w:b w:val="1"/>
                <w:bCs w:val="1"/>
                <w:color w:val="auto"/>
              </w:rPr>
              <w:t>Three Months Ended March 31, 2026</w:t>
            </w:r>
          </w:p>
        </w:tc>
        <w:tc>
          <w:tcPr>
            <w:tcW w:w="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4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Taste</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419"/>
              <w:spacing w:after="0" w:line="155" w:lineRule="exact"/>
              <w:rPr>
                <w:sz w:val="20"/>
                <w:szCs w:val="20"/>
                <w:color w:val="auto"/>
              </w:rPr>
            </w:pPr>
            <w:r>
              <w:rPr>
                <w:rFonts w:ascii="Arial" w:cs="Arial" w:eastAsia="Arial" w:hAnsi="Arial"/>
                <w:sz w:val="16"/>
                <w:szCs w:val="16"/>
                <w:b w:val="1"/>
                <w:bCs w:val="1"/>
                <w:color w:val="auto"/>
              </w:rPr>
              <w:t>Food</w:t>
            </w:r>
          </w:p>
        </w:tc>
        <w:tc>
          <w:tcPr>
            <w:tcW w:w="180" w:type="dxa"/>
            <w:vAlign w:val="bottom"/>
          </w:tcPr>
          <w:p>
            <w:pPr>
              <w:spacing w:after="0"/>
              <w:rPr>
                <w:sz w:val="13"/>
                <w:szCs w:val="13"/>
                <w:color w:val="auto"/>
              </w:rPr>
            </w:pPr>
          </w:p>
        </w:tc>
        <w:tc>
          <w:tcPr>
            <w:tcW w:w="118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Health &amp;</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Scent</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Ingredients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Biosciences</w:t>
            </w:r>
          </w:p>
        </w:tc>
        <w:tc>
          <w:tcPr>
            <w:tcW w:w="92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595</w:t>
            </w:r>
          </w:p>
        </w:tc>
        <w:tc>
          <w:tcPr>
            <w:tcW w:w="92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651</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6"/>
              </w:rPr>
              <w:t>(375)</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(646)</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(327)</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6"/>
              </w:rPr>
              <w:t>(375)</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&amp; development expenses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Selling &amp; administrative expenses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6"/>
              </w:rPr>
              <w:t>(101)</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(92)</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 add-back (a)</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9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6"/>
                <w:szCs w:val="16"/>
                <w:b w:val="1"/>
                <w:bCs w:val="1"/>
                <w:color w:val="auto"/>
              </w:rPr>
              <w:t>Adjusted Operating EBITDA</w:t>
            </w: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92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4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Adjusted Operating EBITDA:</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Total Adjusted Operating EBITDA</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&amp; Amortization</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Restructuring and Other Charges (b)</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Losses on Business Disposals (d)</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Divestiture Costs (e)</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Strategic Initiative Costs (f)</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Regulatory Costs (g)</w:t>
            </w:r>
          </w:p>
        </w:tc>
        <w:tc>
          <w:tcPr>
            <w:tcW w:w="84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Taxes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Adjusted Operating EBITDA Margin</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Taste</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23.3 %</w:t>
            </w: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Food Ingredients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13.6 %</w:t>
            </w:r>
          </w:p>
        </w:tc>
        <w:tc>
          <w:tcPr>
            <w:tcW w:w="0" w:type="dxa"/>
            <w:vAlign w:val="bottom"/>
          </w:tcPr>
          <w:p>
            <w:pPr>
              <w:spacing w:after="0"/>
              <w:rPr>
                <w:sz w:val="1"/>
                <w:szCs w:val="1"/>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Health &amp; Biosciences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25.7 %</w:t>
            </w: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Scent</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22.7 %</w:t>
            </w:r>
          </w:p>
        </w:tc>
        <w:tc>
          <w:tcPr>
            <w:tcW w:w="0" w:type="dxa"/>
            <w:vAlign w:val="bottom"/>
          </w:tcPr>
          <w:p>
            <w:pPr>
              <w:spacing w:after="0"/>
              <w:rPr>
                <w:sz w:val="1"/>
                <w:szCs w:val="1"/>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Consolidated</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20.7 %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989"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6"/>
          <w:szCs w:val="16"/>
          <w:b w:val="1"/>
          <w:bCs w:val="1"/>
          <w:color w:val="auto"/>
        </w:rPr>
        <w:t>International Flavors &amp; Fragrances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Reportable Segment Performance</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(Amounts in millions)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 2025</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Taste</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359"/>
              <w:spacing w:after="0" w:line="155" w:lineRule="exact"/>
              <w:rPr>
                <w:sz w:val="20"/>
                <w:szCs w:val="20"/>
                <w:color w:val="auto"/>
              </w:rPr>
            </w:pPr>
            <w:r>
              <w:rPr>
                <w:rFonts w:ascii="Arial" w:cs="Arial" w:eastAsia="Arial" w:hAnsi="Arial"/>
                <w:sz w:val="16"/>
                <w:szCs w:val="16"/>
                <w:b w:val="1"/>
                <w:bCs w:val="1"/>
                <w:color w:val="auto"/>
              </w:rPr>
              <w:t>Food</w:t>
            </w:r>
          </w:p>
        </w:tc>
        <w:tc>
          <w:tcPr>
            <w:tcW w:w="240" w:type="dxa"/>
            <w:vAlign w:val="bottom"/>
          </w:tcPr>
          <w:p>
            <w:pPr>
              <w:spacing w:after="0"/>
              <w:rPr>
                <w:sz w:val="13"/>
                <w:szCs w:val="13"/>
                <w:color w:val="auto"/>
              </w:rPr>
            </w:pPr>
          </w:p>
        </w:tc>
        <w:tc>
          <w:tcPr>
            <w:tcW w:w="1180" w:type="dxa"/>
            <w:vAlign w:val="bottom"/>
          </w:tcPr>
          <w:p>
            <w:pPr>
              <w:jc w:val="right"/>
              <w:ind w:right="279"/>
              <w:spacing w:after="0" w:line="155" w:lineRule="exact"/>
              <w:rPr>
                <w:sz w:val="20"/>
                <w:szCs w:val="20"/>
                <w:color w:val="auto"/>
              </w:rPr>
            </w:pPr>
            <w:r>
              <w:rPr>
                <w:rFonts w:ascii="Arial" w:cs="Arial" w:eastAsia="Arial" w:hAnsi="Arial"/>
                <w:sz w:val="16"/>
                <w:szCs w:val="16"/>
                <w:b w:val="1"/>
                <w:bCs w:val="1"/>
                <w:color w:val="auto"/>
              </w:rPr>
              <w:t>Health &amp;</w:t>
            </w:r>
          </w:p>
        </w:tc>
        <w:tc>
          <w:tcPr>
            <w:tcW w:w="300" w:type="dxa"/>
            <w:vAlign w:val="bottom"/>
          </w:tcPr>
          <w:p>
            <w:pPr>
              <w:spacing w:after="0"/>
              <w:rPr>
                <w:sz w:val="13"/>
                <w:szCs w:val="13"/>
                <w:color w:val="auto"/>
              </w:rPr>
            </w:pPr>
          </w:p>
        </w:tc>
        <w:tc>
          <w:tcPr>
            <w:tcW w:w="110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Scent</w:t>
            </w:r>
          </w:p>
        </w:tc>
        <w:tc>
          <w:tcPr>
            <w:tcW w:w="180" w:type="dxa"/>
            <w:vAlign w:val="bottom"/>
          </w:tcPr>
          <w:p>
            <w:pPr>
              <w:spacing w:after="0"/>
              <w:rPr>
                <w:sz w:val="13"/>
                <w:szCs w:val="13"/>
                <w:color w:val="auto"/>
              </w:rPr>
            </w:pPr>
          </w:p>
        </w:tc>
        <w:tc>
          <w:tcPr>
            <w:tcW w:w="1180" w:type="dxa"/>
            <w:vAlign w:val="bottom"/>
          </w:tcPr>
          <w:p>
            <w:pPr>
              <w:jc w:val="right"/>
              <w:ind w:right="359"/>
              <w:spacing w:after="0" w:line="155" w:lineRule="exact"/>
              <w:rPr>
                <w:sz w:val="20"/>
                <w:szCs w:val="20"/>
                <w:color w:val="auto"/>
              </w:rPr>
            </w:pPr>
            <w:r>
              <w:rPr>
                <w:rFonts w:ascii="Arial" w:cs="Arial" w:eastAsia="Arial" w:hAnsi="Arial"/>
                <w:sz w:val="16"/>
                <w:szCs w:val="16"/>
                <w:b w:val="1"/>
                <w:bCs w:val="1"/>
                <w:color w:val="auto"/>
              </w:rPr>
              <w:t>Pharma</w:t>
            </w:r>
          </w:p>
        </w:tc>
        <w:tc>
          <w:tcPr>
            <w:tcW w:w="260" w:type="dxa"/>
            <w:vAlign w:val="bottom"/>
          </w:tcPr>
          <w:p>
            <w:pPr>
              <w:spacing w:after="0"/>
              <w:rPr>
                <w:sz w:val="13"/>
                <w:szCs w:val="13"/>
                <w:color w:val="auto"/>
              </w:rPr>
            </w:pPr>
          </w:p>
        </w:tc>
        <w:tc>
          <w:tcPr>
            <w:tcW w:w="98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Ingredients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Biosciences</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Solutions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540</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614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266</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w:t>
            </w:r>
          </w:p>
        </w:tc>
        <w:tc>
          <w:tcPr>
            <w:tcW w:w="0" w:type="dxa"/>
            <w:vAlign w:val="bottom"/>
          </w:tcPr>
          <w:p>
            <w:pPr>
              <w:spacing w:after="0"/>
              <w:rPr>
                <w:sz w:val="1"/>
                <w:szCs w:val="1"/>
                <w:color w:val="auto"/>
              </w:rPr>
            </w:pPr>
          </w:p>
        </w:tc>
      </w:tr>
      <w:tr>
        <w:trPr>
          <w:trHeight w:val="215"/>
        </w:trPr>
        <w:tc>
          <w:tcPr>
            <w:tcW w:w="31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6"/>
              </w:rPr>
              <w:t>(377)</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(609)</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(298)</w:t>
            </w:r>
          </w:p>
        </w:tc>
        <w:tc>
          <w:tcPr>
            <w:tcW w:w="3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(344)</w:t>
            </w: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(180)</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&amp; development expenses</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60" w:type="dxa"/>
            <w:vAlign w:val="bottom"/>
          </w:tcPr>
          <w:p>
            <w:pPr>
              <w:ind w:left="20"/>
              <w:spacing w:after="0"/>
              <w:rPr>
                <w:sz w:val="20"/>
                <w:szCs w:val="20"/>
                <w:color w:val="auto"/>
              </w:rPr>
            </w:pPr>
            <w:r>
              <w:rPr>
                <w:rFonts w:ascii="Arial" w:cs="Arial" w:eastAsia="Arial" w:hAnsi="Arial"/>
                <w:sz w:val="16"/>
                <w:szCs w:val="16"/>
                <w:color w:val="auto"/>
              </w:rPr>
              <w:t>Selling &amp; administrative expenses</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(94)</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w:t>
            </w:r>
          </w:p>
        </w:tc>
        <w:tc>
          <w:tcPr>
            <w:tcW w:w="3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 add-back (a)</w:t>
            </w:r>
          </w:p>
        </w:tc>
        <w:tc>
          <w:tcPr>
            <w:tcW w:w="8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Adjusted Operating EBITDA</w:t>
            </w: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138</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144</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54</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358"/>
        </w:trPr>
        <w:tc>
          <w:tcPr>
            <w:tcW w:w="400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Reconciliation of Adjusted Operating EBITDA:</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60" w:type="dxa"/>
            <w:vAlign w:val="bottom"/>
          </w:tcPr>
          <w:p>
            <w:pPr>
              <w:spacing w:after="0"/>
              <w:rPr>
                <w:sz w:val="20"/>
                <w:szCs w:val="20"/>
                <w:color w:val="auto"/>
              </w:rPr>
            </w:pPr>
            <w:r>
              <w:rPr>
                <w:rFonts w:ascii="Arial" w:cs="Arial" w:eastAsia="Arial" w:hAnsi="Arial"/>
                <w:sz w:val="16"/>
                <w:szCs w:val="16"/>
                <w:color w:val="auto"/>
              </w:rPr>
              <w:t>Total Adjusted Operating EBITDA</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Depreciation &amp; Amortization</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5"/>
        </w:trPr>
        <w:tc>
          <w:tcPr>
            <w:tcW w:w="3160" w:type="dxa"/>
            <w:vAlign w:val="bottom"/>
          </w:tcPr>
          <w:p>
            <w:pPr>
              <w:spacing w:after="0"/>
              <w:rPr>
                <w:sz w:val="20"/>
                <w:szCs w:val="20"/>
                <w:color w:val="auto"/>
              </w:rPr>
            </w:pPr>
            <w:r>
              <w:rPr>
                <w:rFonts w:ascii="Arial" w:cs="Arial" w:eastAsia="Arial" w:hAnsi="Arial"/>
                <w:sz w:val="16"/>
                <w:szCs w:val="16"/>
                <w:color w:val="auto"/>
              </w:rPr>
              <w:t>Interest Expense</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Other Expense, net</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5"/>
        </w:trPr>
        <w:tc>
          <w:tcPr>
            <w:tcW w:w="3160" w:type="dxa"/>
            <w:vAlign w:val="bottom"/>
          </w:tcPr>
          <w:p>
            <w:pPr>
              <w:spacing w:after="0"/>
              <w:rPr>
                <w:sz w:val="20"/>
                <w:szCs w:val="20"/>
                <w:color w:val="auto"/>
              </w:rPr>
            </w:pPr>
            <w:r>
              <w:rPr>
                <w:rFonts w:ascii="Arial" w:cs="Arial" w:eastAsia="Arial" w:hAnsi="Arial"/>
                <w:sz w:val="16"/>
                <w:szCs w:val="16"/>
                <w:color w:val="auto"/>
              </w:rPr>
              <w:t>Restructuring and Other Charges (b)</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Impairment of Goodwill (c)</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215"/>
        </w:trPr>
        <w:tc>
          <w:tcPr>
            <w:tcW w:w="3160" w:type="dxa"/>
            <w:vAlign w:val="bottom"/>
          </w:tcPr>
          <w:p>
            <w:pPr>
              <w:spacing w:after="0"/>
              <w:rPr>
                <w:sz w:val="20"/>
                <w:szCs w:val="20"/>
                <w:color w:val="auto"/>
              </w:rPr>
            </w:pPr>
            <w:r>
              <w:rPr>
                <w:rFonts w:ascii="Arial" w:cs="Arial" w:eastAsia="Arial" w:hAnsi="Arial"/>
                <w:sz w:val="16"/>
                <w:szCs w:val="16"/>
                <w:color w:val="auto"/>
              </w:rPr>
              <w:t>Divestiture Costs (e)</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Strategic Initiatives Costs (f)</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3160" w:type="dxa"/>
            <w:vAlign w:val="bottom"/>
          </w:tcPr>
          <w:p>
            <w:pPr>
              <w:spacing w:after="0"/>
              <w:rPr>
                <w:sz w:val="20"/>
                <w:szCs w:val="20"/>
                <w:color w:val="auto"/>
              </w:rPr>
            </w:pPr>
            <w:r>
              <w:rPr>
                <w:rFonts w:ascii="Arial" w:cs="Arial" w:eastAsia="Arial" w:hAnsi="Arial"/>
                <w:sz w:val="16"/>
                <w:szCs w:val="16"/>
                <w:color w:val="auto"/>
              </w:rPr>
              <w:t>Regulatory Costs (g)</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Other (h)</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8"/>
        </w:trPr>
        <w:tc>
          <w:tcPr>
            <w:tcW w:w="3160" w:type="dxa"/>
            <w:vAlign w:val="bottom"/>
          </w:tcPr>
          <w:p>
            <w:pPr>
              <w:spacing w:after="0"/>
              <w:rPr>
                <w:sz w:val="20"/>
                <w:szCs w:val="20"/>
                <w:color w:val="auto"/>
              </w:rPr>
            </w:pPr>
            <w:r>
              <w:rPr>
                <w:rFonts w:ascii="Arial" w:cs="Arial" w:eastAsia="Arial" w:hAnsi="Arial"/>
                <w:sz w:val="16"/>
                <w:szCs w:val="16"/>
                <w:color w:val="auto"/>
              </w:rPr>
              <w:t>Loss Before Taxes</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123"/>
        </w:trPr>
        <w:tc>
          <w:tcPr>
            <w:tcW w:w="4000" w:type="dxa"/>
            <w:vAlign w:val="bottom"/>
            <w:gridSpan w:val="2"/>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Segment Adjusted Operating EBITDA Margin</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60" w:type="dxa"/>
            <w:vAlign w:val="bottom"/>
          </w:tcPr>
          <w:p>
            <w:pPr>
              <w:spacing w:after="0"/>
              <w:rPr>
                <w:sz w:val="20"/>
                <w:szCs w:val="20"/>
                <w:color w:val="auto"/>
              </w:rPr>
            </w:pPr>
            <w:r>
              <w:rPr>
                <w:rFonts w:ascii="Arial" w:cs="Arial" w:eastAsia="Arial" w:hAnsi="Arial"/>
                <w:sz w:val="16"/>
                <w:szCs w:val="16"/>
                <w:color w:val="auto"/>
              </w:rPr>
              <w:t>Taste</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20.9 %</w:t>
            </w: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Food Ingredients</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13.9 %</w:t>
            </w:r>
          </w:p>
        </w:tc>
        <w:tc>
          <w:tcPr>
            <w:tcW w:w="0" w:type="dxa"/>
            <w:vAlign w:val="bottom"/>
          </w:tcPr>
          <w:p>
            <w:pPr>
              <w:spacing w:after="0"/>
              <w:rPr>
                <w:sz w:val="1"/>
                <w:szCs w:val="1"/>
                <w:color w:val="auto"/>
              </w:rPr>
            </w:pPr>
          </w:p>
        </w:tc>
      </w:tr>
      <w:tr>
        <w:trPr>
          <w:trHeight w:val="215"/>
        </w:trPr>
        <w:tc>
          <w:tcPr>
            <w:tcW w:w="3160" w:type="dxa"/>
            <w:vAlign w:val="bottom"/>
          </w:tcPr>
          <w:p>
            <w:pPr>
              <w:spacing w:after="0"/>
              <w:rPr>
                <w:sz w:val="20"/>
                <w:szCs w:val="20"/>
                <w:color w:val="auto"/>
              </w:rPr>
            </w:pPr>
            <w:r>
              <w:rPr>
                <w:rFonts w:ascii="Arial" w:cs="Arial" w:eastAsia="Arial" w:hAnsi="Arial"/>
                <w:sz w:val="16"/>
                <w:szCs w:val="16"/>
                <w:color w:val="auto"/>
              </w:rPr>
              <w:t>Health &amp; Biosciences</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25.6 %</w:t>
            </w: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Scent</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23.5 %</w:t>
            </w:r>
          </w:p>
        </w:tc>
        <w:tc>
          <w:tcPr>
            <w:tcW w:w="0" w:type="dxa"/>
            <w:vAlign w:val="bottom"/>
          </w:tcPr>
          <w:p>
            <w:pPr>
              <w:spacing w:after="0"/>
              <w:rPr>
                <w:sz w:val="1"/>
                <w:szCs w:val="1"/>
                <w:color w:val="auto"/>
              </w:rPr>
            </w:pPr>
          </w:p>
        </w:tc>
      </w:tr>
      <w:tr>
        <w:trPr>
          <w:trHeight w:val="215"/>
        </w:trPr>
        <w:tc>
          <w:tcPr>
            <w:tcW w:w="3160" w:type="dxa"/>
            <w:vAlign w:val="bottom"/>
          </w:tcPr>
          <w:p>
            <w:pPr>
              <w:spacing w:after="0"/>
              <w:rPr>
                <w:sz w:val="20"/>
                <w:szCs w:val="20"/>
                <w:color w:val="auto"/>
              </w:rPr>
            </w:pPr>
            <w:r>
              <w:rPr>
                <w:rFonts w:ascii="Arial" w:cs="Arial" w:eastAsia="Arial" w:hAnsi="Arial"/>
                <w:sz w:val="16"/>
                <w:szCs w:val="16"/>
                <w:color w:val="auto"/>
              </w:rPr>
              <w:t>Pharma Solutions</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20.3 %</w:t>
            </w: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Consolidated</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20.3 %</w:t>
            </w:r>
          </w:p>
        </w:tc>
        <w:tc>
          <w:tcPr>
            <w:tcW w:w="0" w:type="dxa"/>
            <w:vAlign w:val="bottom"/>
          </w:tcPr>
          <w:p>
            <w:pPr>
              <w:spacing w:after="0"/>
              <w:rPr>
                <w:sz w:val="1"/>
                <w:szCs w:val="1"/>
                <w:color w:val="auto"/>
              </w:rPr>
            </w:pPr>
          </w:p>
        </w:tc>
      </w:tr>
      <w:tr>
        <w:trPr>
          <w:trHeight w:val="862"/>
        </w:trPr>
        <w:tc>
          <w:tcPr>
            <w:tcW w:w="3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989" w:right="359" w:bottom="1440" w:gutter="0" w:footer="0" w:header="0"/>
        </w:sectPr>
      </w:pPr>
    </w:p>
    <w:bookmarkStart w:id="12" w:name="page13"/>
    <w:bookmarkEnd w:id="12"/>
    <w:p>
      <w:pPr>
        <w:ind w:left="341" w:right="20" w:hanging="341"/>
        <w:spacing w:after="0" w:line="246" w:lineRule="auto"/>
        <w:tabs>
          <w:tab w:leader="none" w:pos="34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There is depreciation recorded within cost of sales, research &amp; development expenses, and selling &amp; administrative expenses, which is then added back to calculate segment Adjusted Operating EBITDA. This reflects how the CODM reviews Segment results.</w:t>
      </w:r>
    </w:p>
    <w:p>
      <w:pPr>
        <w:ind w:left="341" w:hanging="341"/>
        <w:spacing w:after="0"/>
        <w:tabs>
          <w:tab w:leader="none" w:pos="341"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costs related to severance as part of the IFF Productivity Program.</w:t>
      </w:r>
    </w:p>
    <w:p>
      <w:pPr>
        <w:spacing w:after="0" w:line="32" w:lineRule="exact"/>
        <w:rPr>
          <w:rFonts w:ascii="Arial" w:cs="Arial" w:eastAsia="Arial" w:hAnsi="Arial"/>
          <w:sz w:val="16"/>
          <w:szCs w:val="16"/>
          <w:color w:val="auto"/>
        </w:rPr>
      </w:pPr>
    </w:p>
    <w:p>
      <w:pPr>
        <w:ind w:left="341" w:hanging="337"/>
        <w:spacing w:after="0"/>
        <w:tabs>
          <w:tab w:leader="none" w:pos="341"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2025, represents the impairment of goodwill related to the Food Ingredients reporting unit.</w:t>
      </w:r>
    </w:p>
    <w:p>
      <w:pPr>
        <w:spacing w:after="0" w:line="32" w:lineRule="exact"/>
        <w:rPr>
          <w:rFonts w:ascii="Arial" w:cs="Arial" w:eastAsia="Arial" w:hAnsi="Arial"/>
          <w:sz w:val="16"/>
          <w:szCs w:val="16"/>
          <w:color w:val="auto"/>
        </w:rPr>
      </w:pPr>
    </w:p>
    <w:p>
      <w:pPr>
        <w:ind w:left="341" w:hanging="341"/>
        <w:spacing w:after="0"/>
        <w:tabs>
          <w:tab w:leader="none" w:pos="341"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2026, primarily represents losses recognized as part of the divestiture of the Soy, Concentrates and Lecithin disposal group.</w:t>
      </w:r>
    </w:p>
    <w:p>
      <w:pPr>
        <w:spacing w:after="0" w:line="32" w:lineRule="exact"/>
        <w:rPr>
          <w:rFonts w:ascii="Arial" w:cs="Arial" w:eastAsia="Arial" w:hAnsi="Arial"/>
          <w:sz w:val="16"/>
          <w:szCs w:val="16"/>
          <w:color w:val="auto"/>
        </w:rPr>
      </w:pPr>
    </w:p>
    <w:p>
      <w:pPr>
        <w:ind w:left="341" w:hanging="341"/>
        <w:spacing w:after="0" w:line="246" w:lineRule="auto"/>
        <w:tabs>
          <w:tab w:leader="none" w:pos="341"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2026 and 2025, primarily represents costs related to the Company’s completed and anticipated divestitures. These costs primarily consisted of external consulting fees, professional and legal fees and salaries of individuals who are fully dedicated to such efforts.</w:t>
      </w:r>
    </w:p>
    <w:p>
      <w:pPr>
        <w:spacing w:after="0" w:line="1" w:lineRule="exact"/>
        <w:rPr>
          <w:sz w:val="20"/>
          <w:szCs w:val="20"/>
          <w:color w:val="auto"/>
        </w:rPr>
      </w:pPr>
    </w:p>
    <w:p>
      <w:pPr>
        <w:jc w:val="both"/>
        <w:ind w:left="341" w:hanging="319"/>
        <w:spacing w:after="0" w:line="225" w:lineRule="auto"/>
        <w:tabs>
          <w:tab w:leader="none" w:pos="3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costs related to the Company’s strategic assessment and business portfolio optimization efforts and reorganizing the Global Business Services (GBS) Centers. In 2026, the GBS reorganization has been expanded to include additional functions such as customer service, supply chain and logistics in addition to human resources, accounting and finance, as well as additional efforts to automate processes and expand the use of artificial intelligence (AI) for these functions. These costs primarily consisted of external consulting fees and salaries of individuals who are fully dedicated to such efforts. Costs to develop software and AI are only included to the extent that they do not qualify for capitalization.</w:t>
      </w:r>
    </w:p>
    <w:p>
      <w:pPr>
        <w:spacing w:after="0" w:line="2" w:lineRule="exact"/>
        <w:rPr>
          <w:sz w:val="20"/>
          <w:szCs w:val="20"/>
          <w:color w:val="auto"/>
        </w:rPr>
      </w:pPr>
    </w:p>
    <w:p>
      <w:pPr>
        <w:ind w:left="341" w:hanging="341"/>
        <w:spacing w:after="0"/>
        <w:tabs>
          <w:tab w:leader="none" w:pos="341"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costs primarily related to legal fees incurred and provisions recognized for the ongoing investigations of the fragrance businesses.</w:t>
      </w:r>
    </w:p>
    <w:p>
      <w:pPr>
        <w:spacing w:after="0" w:line="32" w:lineRule="exact"/>
        <w:rPr>
          <w:rFonts w:ascii="Arial" w:cs="Arial" w:eastAsia="Arial" w:hAnsi="Arial"/>
          <w:sz w:val="16"/>
          <w:szCs w:val="16"/>
          <w:color w:val="auto"/>
        </w:rPr>
      </w:pPr>
    </w:p>
    <w:p>
      <w:pPr>
        <w:ind w:left="341" w:right="100" w:hanging="341"/>
        <w:spacing w:after="0" w:line="234" w:lineRule="auto"/>
        <w:tabs>
          <w:tab w:leader="none" w:pos="341"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 2025, represents the net impact of costs related to severance, including accelerated stock compensation expense, for certain executives who have separated from the Company, in addition to consulting costs related to the Company’s implementation of a phased restructuring initiative aimed at optimizing its legal entity framework.</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81"/>
          </w:cols>
          <w:pgMar w:left="459" w:top="935" w:right="3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International Flavors &amp; Fragrances Inc.</w:t>
      </w:r>
    </w:p>
    <w:p>
      <w:pPr>
        <w:jc w:val="center"/>
        <w:ind w:right="-19"/>
        <w:spacing w:after="0" w:line="219" w:lineRule="auto"/>
        <w:rPr>
          <w:sz w:val="20"/>
          <w:szCs w:val="20"/>
          <w:color w:val="auto"/>
        </w:rPr>
      </w:pPr>
      <w:r>
        <w:rPr>
          <w:rFonts w:ascii="Arial" w:cs="Arial" w:eastAsia="Arial" w:hAnsi="Arial"/>
          <w:sz w:val="18"/>
          <w:szCs w:val="18"/>
          <w:b w:val="1"/>
          <w:bCs w:val="1"/>
          <w:color w:val="auto"/>
        </w:rPr>
        <w:t>GAAP to Non-GAAP Reconciliation</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ind w:left="340" w:right="20"/>
        <w:spacing w:after="0" w:line="266" w:lineRule="auto"/>
        <w:rPr>
          <w:sz w:val="20"/>
          <w:szCs w:val="20"/>
          <w:color w:val="auto"/>
        </w:rPr>
      </w:pPr>
      <w:r>
        <w:rPr>
          <w:rFonts w:ascii="Arial" w:cs="Arial" w:eastAsia="Arial" w:hAnsi="Arial"/>
          <w:sz w:val="16"/>
          <w:szCs w:val="16"/>
          <w:color w:val="auto"/>
        </w:rPr>
        <w:t>The following information and schedules provide reconciliation information between reported GAAP amounts and non-GAAP certain adjusted amounts. This information and schedules are not intended as, and should not be viewed as, a substitute for reported GAAP amounts or financial statements of the Company prepared and presented in accordance with GAAP.</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2026 and 2025, there was no difference between Reported (GAAP) and Adjusted (Non-GAAP) gross profit.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Reconciliation of Selling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6" w:lineRule="exact"/>
        <w:rPr>
          <w:sz w:val="20"/>
          <w:szCs w:val="20"/>
          <w:color w:val="auto"/>
        </w:rPr>
      </w:pPr>
    </w:p>
    <w:p>
      <w:pPr>
        <w:ind w:left="9140"/>
        <w:spacing w:after="0"/>
        <w:rPr>
          <w:sz w:val="20"/>
          <w:szCs w:val="20"/>
          <w:color w:val="auto"/>
        </w:rPr>
      </w:pPr>
      <w:r>
        <w:rPr>
          <w:rFonts w:ascii="Arial" w:cs="Arial" w:eastAsia="Arial" w:hAnsi="Arial"/>
          <w:sz w:val="16"/>
          <w:szCs w:val="16"/>
          <w:b w:val="1"/>
          <w:bCs w:val="1"/>
          <w:color w:val="auto"/>
        </w:rPr>
        <w:t>First Quarter</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2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40" w:type="dxa"/>
            <w:vAlign w:val="bottom"/>
          </w:tcPr>
          <w:p>
            <w:pPr>
              <w:spacing w:after="0"/>
              <w:rPr>
                <w:sz w:val="16"/>
                <w:szCs w:val="16"/>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Reported (GAAP)</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r>
      <w:tr>
        <w:trPr>
          <w:trHeight w:val="215"/>
        </w:trPr>
        <w:tc>
          <w:tcPr>
            <w:tcW w:w="8020" w:type="dxa"/>
            <w:vAlign w:val="bottom"/>
            <w:gridSpan w:val="3"/>
          </w:tcPr>
          <w:p>
            <w:pPr>
              <w:ind w:left="20"/>
              <w:spacing w:after="0"/>
              <w:rPr>
                <w:sz w:val="20"/>
                <w:szCs w:val="20"/>
                <w:color w:val="auto"/>
              </w:rPr>
            </w:pPr>
            <w:r>
              <w:rPr>
                <w:rFonts w:ascii="Arial" w:cs="Arial" w:eastAsia="Arial" w:hAnsi="Arial"/>
                <w:sz w:val="16"/>
                <w:szCs w:val="16"/>
                <w:color w:val="auto"/>
              </w:rPr>
              <w:t>Divestiture Costs (c)</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7"/>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Strategic Initiative Costs (e)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8020" w:type="dxa"/>
            <w:vAlign w:val="bottom"/>
            <w:gridSpan w:val="3"/>
          </w:tcPr>
          <w:p>
            <w:pPr>
              <w:ind w:left="20"/>
              <w:spacing w:after="0"/>
              <w:rPr>
                <w:sz w:val="20"/>
                <w:szCs w:val="20"/>
                <w:color w:val="auto"/>
              </w:rPr>
            </w:pPr>
            <w:r>
              <w:rPr>
                <w:rFonts w:ascii="Arial" w:cs="Arial" w:eastAsia="Arial" w:hAnsi="Arial"/>
                <w:sz w:val="16"/>
                <w:szCs w:val="16"/>
                <w:color w:val="auto"/>
              </w:rPr>
              <w:t>Regulatory Costs (f)</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(g)</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8020" w:type="dxa"/>
            <w:vAlign w:val="bottom"/>
            <w:gridSpan w:val="3"/>
          </w:tcPr>
          <w:p>
            <w:pPr>
              <w:ind w:left="20"/>
              <w:spacing w:after="0"/>
              <w:rPr>
                <w:sz w:val="20"/>
                <w:szCs w:val="20"/>
                <w:color w:val="auto"/>
              </w:rPr>
            </w:pPr>
            <w:r>
              <w:rPr>
                <w:rFonts w:ascii="Arial" w:cs="Arial" w:eastAsia="Arial" w:hAnsi="Arial"/>
                <w:sz w:val="16"/>
                <w:szCs w:val="16"/>
                <w:color w:val="auto"/>
              </w:rPr>
              <w:t>Adjusted (Non-GAAP)</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20"/>
          </w:cols>
          <w:pgMar w:left="320" w:top="863" w:right="35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6"/>
          <w:szCs w:val="16"/>
          <w:b w:val="1"/>
          <w:bCs w:val="1"/>
          <w:color w:val="auto"/>
        </w:rPr>
        <w:t>International Flavors &amp; Fragrances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GAAP to Non-GAAP Reconciliation</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and schedules provide reconciliation information between reported GAAP amounts and non-GAAP certain adjusted amounts. This</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information and schedules are not intended as, and should not be viewed as, a substitute for reported GAAP amounts or financial statements of the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Company prepared and presented in accordance with GAAP.</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Reconciliation of Net Income (Loss) and EPS</w:t>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First Quarter</w:t>
            </w: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889"/>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2025</w:t>
            </w: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rPr>
              <w:t>Income</w:t>
            </w:r>
          </w:p>
        </w:tc>
        <w:tc>
          <w:tcPr>
            <w:tcW w:w="108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rPr>
              <w:t>Provision for</w:t>
            </w: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rPr>
              <w:t>Net income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rPr>
              <w:t>(Loss)</w:t>
            </w: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rPr>
              <w:t>Provision for</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rPr>
              <w:t>Net (loss)</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MILLIONS EXCEPT PER SHARE</w:t>
            </w: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(Loss)</w:t>
            </w:r>
          </w:p>
        </w:tc>
        <w:tc>
          <w:tcPr>
            <w:tcW w:w="10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(loss)</w:t>
            </w:r>
          </w:p>
        </w:tc>
        <w:tc>
          <w:tcPr>
            <w:tcW w:w="120" w:type="dxa"/>
            <w:vAlign w:val="bottom"/>
          </w:tcPr>
          <w:p>
            <w:pPr>
              <w:spacing w:after="0"/>
              <w:rPr>
                <w:sz w:val="11"/>
                <w:szCs w:val="11"/>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Diluted</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Income</w:t>
            </w:r>
          </w:p>
        </w:tc>
        <w:tc>
          <w:tcPr>
            <w:tcW w:w="10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rPr>
              <w:t>income</w:t>
            </w:r>
          </w:p>
        </w:tc>
        <w:tc>
          <w:tcPr>
            <w:tcW w:w="120" w:type="dxa"/>
            <w:vAlign w:val="bottom"/>
          </w:tcPr>
          <w:p>
            <w:pPr>
              <w:spacing w:after="0"/>
              <w:rPr>
                <w:sz w:val="11"/>
                <w:szCs w:val="11"/>
                <w:color w:val="auto"/>
              </w:rPr>
            </w:pPr>
          </w:p>
        </w:tc>
        <w:tc>
          <w:tcPr>
            <w:tcW w:w="60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w w:val="99"/>
              </w:rPr>
              <w:t>Diluted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before</w:t>
            </w:r>
          </w:p>
        </w:tc>
        <w:tc>
          <w:tcPr>
            <w:tcW w:w="10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rPr>
              <w:t>income taxes</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rPr>
              <w:t>attributable to</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before</w:t>
            </w:r>
          </w:p>
        </w:tc>
        <w:tc>
          <w:tcPr>
            <w:tcW w:w="10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rPr>
              <w:t>income taxes</w:t>
            </w:r>
          </w:p>
        </w:tc>
        <w:tc>
          <w:tcPr>
            <w:tcW w:w="10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rPr>
              <w:t>attributable to</w:t>
            </w: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tcBorders>
              <w:top w:val="single" w:sz="8" w:color="auto"/>
            </w:tcBorders>
            <w:gridSpan w:val="2"/>
          </w:tcPr>
          <w:p>
            <w:pPr>
              <w:spacing w:after="0" w:line="135" w:lineRule="exact"/>
              <w:rPr>
                <w:sz w:val="20"/>
                <w:szCs w:val="20"/>
                <w:color w:val="auto"/>
              </w:rPr>
            </w:pPr>
            <w:r>
              <w:rPr>
                <w:rFonts w:ascii="Arial" w:cs="Arial" w:eastAsia="Arial" w:hAnsi="Arial"/>
                <w:sz w:val="14"/>
                <w:szCs w:val="14"/>
                <w:i w:val="1"/>
                <w:iCs w:val="1"/>
                <w:color w:val="auto"/>
              </w:rPr>
              <w:t>AMOUNTS)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taxes</w:t>
            </w:r>
          </w:p>
        </w:tc>
        <w:tc>
          <w:tcPr>
            <w:tcW w:w="260" w:type="dxa"/>
            <w:vAlign w:val="bottom"/>
          </w:tcPr>
          <w:p>
            <w:pPr>
              <w:spacing w:after="0"/>
              <w:rPr>
                <w:sz w:val="11"/>
                <w:szCs w:val="11"/>
                <w:color w:val="auto"/>
              </w:rPr>
            </w:pPr>
          </w:p>
        </w:tc>
        <w:tc>
          <w:tcPr>
            <w:tcW w:w="8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rPr>
              <w:t>(h)</w:t>
            </w:r>
          </w:p>
        </w:tc>
        <w:tc>
          <w:tcPr>
            <w:tcW w:w="10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IFF (i)</w:t>
            </w:r>
          </w:p>
        </w:tc>
        <w:tc>
          <w:tcPr>
            <w:tcW w:w="12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9"/>
              </w:rPr>
              <w:t>EPS</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taxes</w:t>
            </w:r>
          </w:p>
        </w:tc>
        <w:tc>
          <w:tcPr>
            <w:tcW w:w="240" w:type="dxa"/>
            <w:vAlign w:val="bottom"/>
          </w:tcPr>
          <w:p>
            <w:pPr>
              <w:spacing w:after="0"/>
              <w:rPr>
                <w:sz w:val="11"/>
                <w:szCs w:val="11"/>
                <w:color w:val="auto"/>
              </w:rPr>
            </w:pPr>
          </w:p>
        </w:tc>
        <w:tc>
          <w:tcPr>
            <w:tcW w:w="8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6"/>
              </w:rPr>
              <w:t>(h)</w:t>
            </w: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rPr>
              <w:t>IFF (i)</w:t>
            </w:r>
          </w:p>
        </w:tc>
        <w:tc>
          <w:tcPr>
            <w:tcW w:w="120" w:type="dxa"/>
            <w:vAlign w:val="bottom"/>
          </w:tcPr>
          <w:p>
            <w:pPr>
              <w:spacing w:after="0"/>
              <w:rPr>
                <w:sz w:val="11"/>
                <w:szCs w:val="11"/>
                <w:color w:val="auto"/>
              </w:rPr>
            </w:pPr>
          </w:p>
        </w:tc>
        <w:tc>
          <w:tcPr>
            <w:tcW w:w="600" w:type="dxa"/>
            <w:vAlign w:val="bottom"/>
          </w:tcPr>
          <w:p>
            <w:pPr>
              <w:jc w:val="right"/>
              <w:ind w:right="169"/>
              <w:spacing w:after="0" w:line="135" w:lineRule="exact"/>
              <w:rPr>
                <w:sz w:val="20"/>
                <w:szCs w:val="20"/>
                <w:color w:val="auto"/>
              </w:rPr>
            </w:pPr>
            <w:r>
              <w:rPr>
                <w:rFonts w:ascii="Arial" w:cs="Arial" w:eastAsia="Arial" w:hAnsi="Arial"/>
                <w:sz w:val="13"/>
                <w:szCs w:val="13"/>
                <w:b w:val="1"/>
                <w:bCs w:val="1"/>
                <w:color w:val="auto"/>
              </w:rPr>
              <w:t>EPS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Reported (GAAP)</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gridSpan w:val="3"/>
          </w:tcPr>
          <w:p>
            <w:pPr>
              <w:spacing w:after="0"/>
              <w:rPr>
                <w:sz w:val="20"/>
                <w:szCs w:val="20"/>
                <w:color w:val="auto"/>
              </w:rPr>
            </w:pPr>
            <w:r>
              <w:rPr>
                <w:rFonts w:ascii="Arial" w:cs="Arial" w:eastAsia="Arial" w:hAnsi="Arial"/>
                <w:sz w:val="14"/>
                <w:szCs w:val="14"/>
                <w:color w:val="auto"/>
              </w:rPr>
              <w:t>Restructuring and Other Charges (a)</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Impairment of Goodwill (b)</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gridSpan w:val="3"/>
          </w:tcPr>
          <w:p>
            <w:pPr>
              <w:spacing w:after="0"/>
              <w:rPr>
                <w:sz w:val="20"/>
                <w:szCs w:val="20"/>
                <w:color w:val="auto"/>
              </w:rPr>
            </w:pPr>
            <w:r>
              <w:rPr>
                <w:rFonts w:ascii="Arial" w:cs="Arial" w:eastAsia="Arial" w:hAnsi="Arial"/>
                <w:sz w:val="14"/>
                <w:szCs w:val="14"/>
                <w:color w:val="auto"/>
              </w:rPr>
              <w:t>Divestiture Costs (c)</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Losses on Business Disposals (d)</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gridSpan w:val="3"/>
          </w:tcPr>
          <w:p>
            <w:pPr>
              <w:spacing w:after="0"/>
              <w:rPr>
                <w:sz w:val="20"/>
                <w:szCs w:val="20"/>
                <w:color w:val="auto"/>
              </w:rPr>
            </w:pPr>
            <w:r>
              <w:rPr>
                <w:rFonts w:ascii="Arial" w:cs="Arial" w:eastAsia="Arial" w:hAnsi="Arial"/>
                <w:sz w:val="14"/>
                <w:szCs w:val="14"/>
                <w:color w:val="auto"/>
              </w:rPr>
              <w:t>Strategic Initiative Costs (e)</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Regulatory Costs (f)</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gridSpan w:val="3"/>
          </w:tcPr>
          <w:p>
            <w:pPr>
              <w:spacing w:after="0"/>
              <w:rPr>
                <w:sz w:val="20"/>
                <w:szCs w:val="20"/>
                <w:color w:val="auto"/>
              </w:rPr>
            </w:pPr>
            <w:r>
              <w:rPr>
                <w:rFonts w:ascii="Arial" w:cs="Arial" w:eastAsia="Arial" w:hAnsi="Arial"/>
                <w:sz w:val="14"/>
                <w:szCs w:val="14"/>
                <w:color w:val="auto"/>
              </w:rPr>
              <w:t>Other (g)</w:t>
            </w:r>
          </w:p>
        </w:tc>
        <w:tc>
          <w:tcPr>
            <w:tcW w:w="1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Adjusted (Non-GAAP)</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0.77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Reconciliation of Adjusted (Non-GAAP) EPS ex. Amortization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00" w:type="dxa"/>
            <w:vAlign w:val="bottom"/>
            <w:tcBorders>
              <w:top w:val="single" w:sz="8" w:color="auto"/>
            </w:tcBorders>
          </w:tcPr>
          <w:p>
            <w:pPr>
              <w:spacing w:after="0"/>
              <w:rPr>
                <w:sz w:val="17"/>
                <w:szCs w:val="17"/>
                <w:color w:val="auto"/>
              </w:rPr>
            </w:pPr>
          </w:p>
        </w:tc>
        <w:tc>
          <w:tcPr>
            <w:tcW w:w="47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First Quarter</w:t>
            </w: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020" w:type="dxa"/>
            <w:vAlign w:val="bottom"/>
            <w:gridSpan w:val="2"/>
          </w:tcPr>
          <w:p>
            <w:pPr>
              <w:spacing w:after="0"/>
              <w:rPr>
                <w:sz w:val="20"/>
                <w:szCs w:val="20"/>
                <w:color w:val="auto"/>
              </w:rPr>
            </w:pPr>
            <w:r>
              <w:rPr>
                <w:rFonts w:ascii="Arial" w:cs="Arial" w:eastAsia="Arial" w:hAnsi="Arial"/>
                <w:sz w:val="14"/>
                <w:szCs w:val="14"/>
                <w:i w:val="1"/>
                <w:iCs w:val="1"/>
                <w:color w:val="auto"/>
              </w:rPr>
              <w:t>(DOLLARS AND SHARE AMOUNTS IN MILLIONS)</w:t>
            </w:r>
          </w:p>
        </w:tc>
        <w:tc>
          <w:tcPr>
            <w:tcW w:w="360" w:type="dxa"/>
            <w:vAlign w:val="bottom"/>
          </w:tcPr>
          <w:p>
            <w:pPr>
              <w:spacing w:after="0"/>
              <w:rPr>
                <w:sz w:val="14"/>
                <w:szCs w:val="14"/>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
        </w:trPr>
        <w:tc>
          <w:tcPr>
            <w:tcW w:w="33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Numerator</w:t>
            </w:r>
          </w:p>
        </w:tc>
        <w:tc>
          <w:tcPr>
            <w:tcW w:w="47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3300" w:type="dxa"/>
            <w:vAlign w:val="bottom"/>
            <w:vMerge w:val="continue"/>
          </w:tcPr>
          <w:p>
            <w:pPr>
              <w:spacing w:after="0"/>
              <w:rPr>
                <w:sz w:val="15"/>
                <w:szCs w:val="15"/>
                <w:color w:val="auto"/>
              </w:rPr>
            </w:pPr>
          </w:p>
        </w:tc>
        <w:tc>
          <w:tcPr>
            <w:tcW w:w="47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Adjusted (Non-GAAP) Net Income</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98"/>
        </w:trPr>
        <w:tc>
          <w:tcPr>
            <w:tcW w:w="8020" w:type="dxa"/>
            <w:vAlign w:val="bottom"/>
            <w:gridSpan w:val="2"/>
          </w:tcPr>
          <w:p>
            <w:pPr>
              <w:ind w:left="200"/>
              <w:spacing w:after="0"/>
              <w:rPr>
                <w:sz w:val="20"/>
                <w:szCs w:val="20"/>
                <w:color w:val="auto"/>
              </w:rPr>
            </w:pPr>
            <w:r>
              <w:rPr>
                <w:rFonts w:ascii="Arial" w:cs="Arial" w:eastAsia="Arial" w:hAnsi="Arial"/>
                <w:sz w:val="14"/>
                <w:szCs w:val="14"/>
                <w:color w:val="auto"/>
              </w:rPr>
              <w:t>Amortization of Acquisition related Intangible Assets</w:t>
            </w: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07"/>
        </w:trPr>
        <w:tc>
          <w:tcPr>
            <w:tcW w:w="80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Tax impact on Amortization of Acquisition related Intangible Assets (h)</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2"/>
        </w:trPr>
        <w:tc>
          <w:tcPr>
            <w:tcW w:w="80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Amortization of Acquisition related Intangible Assets, net of tax (j)</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Adjusted (Non-GAAP) Net Income ex. Amortization</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Denominator</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80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80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Weighted average shares assuming dilution (diluted)</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00"/>
        </w:trPr>
        <w:tc>
          <w:tcPr>
            <w:tcW w:w="8020" w:type="dxa"/>
            <w:vAlign w:val="bottom"/>
            <w:gridSpan w:val="2"/>
          </w:tcPr>
          <w:p>
            <w:pPr>
              <w:spacing w:after="0"/>
              <w:rPr>
                <w:sz w:val="20"/>
                <w:szCs w:val="20"/>
                <w:color w:val="auto"/>
              </w:rPr>
            </w:pPr>
            <w:r>
              <w:rPr>
                <w:rFonts w:ascii="Arial" w:cs="Arial" w:eastAsia="Arial" w:hAnsi="Arial"/>
                <w:sz w:val="14"/>
                <w:szCs w:val="14"/>
                <w:b w:val="1"/>
                <w:bCs w:val="1"/>
                <w:color w:val="auto"/>
              </w:rPr>
              <w:t>Adjusted (Non-GAAP) EPS ex. Amortization</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80"/>
          </w:cols>
          <w:pgMar w:left="360" w:top="895" w:right="359" w:bottom="1440" w:gutter="0" w:footer="0" w:header="0"/>
        </w:sectPr>
      </w:pPr>
    </w:p>
    <w:bookmarkStart w:id="15" w:name="page16"/>
    <w:bookmarkEnd w:id="15"/>
    <w:p>
      <w:pPr>
        <w:ind w:left="348" w:hanging="348"/>
        <w:spacing w:after="0"/>
        <w:tabs>
          <w:tab w:leader="none" w:pos="3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costs related to severance as part of the IFF Productivity Program.</w:t>
      </w:r>
    </w:p>
    <w:p>
      <w:pPr>
        <w:spacing w:after="0" w:line="32" w:lineRule="exact"/>
        <w:rPr>
          <w:rFonts w:ascii="Arial" w:cs="Arial" w:eastAsia="Arial" w:hAnsi="Arial"/>
          <w:sz w:val="16"/>
          <w:szCs w:val="16"/>
          <w:color w:val="auto"/>
        </w:rPr>
      </w:pPr>
    </w:p>
    <w:p>
      <w:pPr>
        <w:ind w:left="348" w:hanging="348"/>
        <w:spacing w:after="0"/>
        <w:tabs>
          <w:tab w:leader="none" w:pos="3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2025, represents the impairment of goodwill related to the Food Ingredients reporting unit.</w:t>
      </w:r>
    </w:p>
    <w:p>
      <w:pPr>
        <w:spacing w:after="0" w:line="32" w:lineRule="exact"/>
        <w:rPr>
          <w:rFonts w:ascii="Arial" w:cs="Arial" w:eastAsia="Arial" w:hAnsi="Arial"/>
          <w:sz w:val="16"/>
          <w:szCs w:val="16"/>
          <w:color w:val="auto"/>
        </w:rPr>
      </w:pPr>
    </w:p>
    <w:p>
      <w:pPr>
        <w:ind w:left="348" w:hanging="344"/>
        <w:spacing w:after="0" w:line="246" w:lineRule="auto"/>
        <w:tabs>
          <w:tab w:leader="none" w:pos="3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2026 and 2025, primarily represents costs related to the Company’s completed and anticipated divestitures. These costs primarily consisted of external consulting fees, professional and legal fees and salaries of individuals who are fully dedicated to such efforts.</w:t>
      </w:r>
    </w:p>
    <w:p>
      <w:pPr>
        <w:ind w:left="348" w:hanging="348"/>
        <w:spacing w:after="0"/>
        <w:tabs>
          <w:tab w:leader="none" w:pos="3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2026, primarily represents losses recognized as part of the divestiture of the Soy, Concentrates and Lecithin disposal group.</w:t>
      </w:r>
    </w:p>
    <w:p>
      <w:pPr>
        <w:spacing w:after="0" w:line="32" w:lineRule="exact"/>
        <w:rPr>
          <w:rFonts w:ascii="Arial" w:cs="Arial" w:eastAsia="Arial" w:hAnsi="Arial"/>
          <w:sz w:val="16"/>
          <w:szCs w:val="16"/>
          <w:color w:val="auto"/>
        </w:rPr>
      </w:pPr>
    </w:p>
    <w:p>
      <w:pPr>
        <w:jc w:val="both"/>
        <w:ind w:left="348" w:hanging="348"/>
        <w:spacing w:after="0" w:line="225" w:lineRule="auto"/>
        <w:tabs>
          <w:tab w:leader="none" w:pos="3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costs related to the Company’s strategic assessment and business portfolio optimization efforts and reorganizing the Global Business Services (GBS) Centers. In 2026, the GBS reorganization has been expanded to include additional functions such as customer service, supply chain and logistics in addition to human resources, accounting and finance, as well as additional efforts to automate processes and expand the use of artificial intelligence (AI) for these functions. These costs primarily consisted of external consulting fees and salaries of individuals who are fully dedicated to such efforts. Costs to develop software and AI are only included to the extent that they do not qualify for capitalization.</w:t>
      </w:r>
    </w:p>
    <w:p>
      <w:pPr>
        <w:spacing w:after="0" w:line="2" w:lineRule="exact"/>
        <w:rPr>
          <w:sz w:val="20"/>
          <w:szCs w:val="20"/>
          <w:color w:val="auto"/>
        </w:rPr>
      </w:pPr>
    </w:p>
    <w:p>
      <w:pPr>
        <w:ind w:left="348" w:hanging="326"/>
        <w:spacing w:after="0" w:line="246" w:lineRule="auto"/>
        <w:tabs>
          <w:tab w:leader="none" w:pos="348"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2026 and 2025, represents costs primarily related to legal fees incurred and provisions recognized for the ongoing investigations of the fragrance business.</w:t>
      </w:r>
    </w:p>
    <w:p>
      <w:pPr>
        <w:spacing w:after="0" w:line="1" w:lineRule="exact"/>
        <w:rPr>
          <w:sz w:val="20"/>
          <w:szCs w:val="20"/>
          <w:color w:val="auto"/>
        </w:rPr>
      </w:pPr>
    </w:p>
    <w:p>
      <w:pPr>
        <w:jc w:val="both"/>
        <w:ind w:left="348" w:hanging="348"/>
        <w:spacing w:after="0" w:line="234" w:lineRule="auto"/>
        <w:tabs>
          <w:tab w:leader="none" w:pos="348"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2025, represents the net impact of costs related to severance, including accelerated stock compensation expense, for certain executives who have separated from the Company, in addition to consulting costs related to the Company’s implementation of a phased restructuring initiative aimed at optimizing its legal entity framework.</w:t>
      </w:r>
    </w:p>
    <w:p>
      <w:pPr>
        <w:spacing w:after="0" w:line="1" w:lineRule="exact"/>
        <w:rPr>
          <w:rFonts w:ascii="Arial" w:cs="Arial" w:eastAsia="Arial" w:hAnsi="Arial"/>
          <w:sz w:val="16"/>
          <w:szCs w:val="16"/>
          <w:color w:val="auto"/>
        </w:rPr>
      </w:pPr>
    </w:p>
    <w:p>
      <w:pPr>
        <w:jc w:val="both"/>
        <w:ind w:left="348" w:hanging="348"/>
        <w:spacing w:after="0" w:line="234" w:lineRule="auto"/>
        <w:tabs>
          <w:tab w:leader="none" w:pos="348"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income tax effects of non-GAAP adjustments are calculated based on the applicable statutory tax rate for the relevant jurisdiction, except for those items which are non-taxable or subject to valuation allowances for which the tax expense (benefit) was calculated at 0%. The tax benefit for amortization is calculated in a similar manner as the tax effects of the non-GAAP adjustments.</w:t>
      </w:r>
    </w:p>
    <w:p>
      <w:pPr>
        <w:spacing w:after="0" w:line="2" w:lineRule="exact"/>
        <w:rPr>
          <w:sz w:val="20"/>
          <w:szCs w:val="20"/>
          <w:color w:val="auto"/>
        </w:rPr>
      </w:pPr>
    </w:p>
    <w:p>
      <w:pPr>
        <w:ind w:left="348" w:hanging="321"/>
        <w:spacing w:after="0"/>
        <w:tabs>
          <w:tab w:leader="none" w:pos="348"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2026 and 2025, reported and adjusted net income (loss) are each decreased by income attributable to non-controlling interest of $1 million.</w:t>
      </w:r>
    </w:p>
    <w:p>
      <w:pPr>
        <w:spacing w:after="0" w:line="32" w:lineRule="exact"/>
        <w:rPr>
          <w:rFonts w:ascii="Arial" w:cs="Arial" w:eastAsia="Arial" w:hAnsi="Arial"/>
          <w:sz w:val="16"/>
          <w:szCs w:val="16"/>
          <w:color w:val="auto"/>
        </w:rPr>
      </w:pPr>
    </w:p>
    <w:p>
      <w:pPr>
        <w:ind w:left="348" w:hanging="321"/>
        <w:spacing w:after="0"/>
        <w:tabs>
          <w:tab w:leader="none" w:pos="348"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all amortization of intangible assets acquired in connection with acquisitions, net of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2"/>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088"/>
          </w:cols>
          <w:pgMar w:left="452" w:top="935"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6"/>
          <w:szCs w:val="16"/>
          <w:b w:val="1"/>
          <w:bCs w:val="1"/>
          <w:color w:val="auto"/>
        </w:rPr>
        <w:t>International Flavors &amp; Fragrances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Debt Covenants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millions)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information and schedules provide reconciliation information between reported GAAP amounts and non-GAAP certain adjusted amounts. This</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information and schedules are not intended as, and should not be viewed as, a substitute for reported GAAP amounts or financial statements of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Company prepared and presented in accordance with GAAP.</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6"/>
                <w:szCs w:val="16"/>
                <w:b w:val="1"/>
                <w:bCs w:val="1"/>
                <w:color w:val="auto"/>
              </w:rPr>
              <w:t>Reconciliation of Credit Adjusted EBITDA to Net Loss</w:t>
            </w:r>
          </w:p>
        </w:tc>
        <w:tc>
          <w:tcPr>
            <w:tcW w:w="2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4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(DOLLARS IN MILLIONS)</w:t>
            </w:r>
          </w:p>
        </w:tc>
        <w:tc>
          <w:tcPr>
            <w:tcW w:w="5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60" w:type="dxa"/>
            <w:vAlign w:val="bottom"/>
          </w:tcPr>
          <w:p>
            <w:pPr>
              <w:jc w:val="right"/>
              <w:ind w:right="139"/>
              <w:spacing w:after="0" w:line="155" w:lineRule="exact"/>
              <w:rPr>
                <w:sz w:val="20"/>
                <w:szCs w:val="20"/>
                <w:color w:val="auto"/>
              </w:rPr>
            </w:pPr>
            <w:r>
              <w:rPr>
                <w:rFonts w:ascii="Arial" w:cs="Arial" w:eastAsia="Arial" w:hAnsi="Arial"/>
                <w:sz w:val="16"/>
                <w:szCs w:val="16"/>
                <w:b w:val="1"/>
                <w:bCs w:val="1"/>
                <w:color w:val="auto"/>
              </w:rPr>
              <w:t>Twelve Months Ended March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40" w:type="dxa"/>
            <w:vAlign w:val="bottom"/>
            <w:gridSpan w:val="2"/>
            <w:vMerge w:val="continue"/>
          </w:tcPr>
          <w:p>
            <w:pPr>
              <w:spacing w:after="0"/>
              <w:rPr>
                <w:sz w:val="15"/>
                <w:szCs w:val="15"/>
                <w:color w:val="auto"/>
              </w:rPr>
            </w:pPr>
          </w:p>
        </w:tc>
        <w:tc>
          <w:tcPr>
            <w:tcW w:w="5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tcPr>
          <w:p>
            <w:pPr>
              <w:jc w:val="right"/>
              <w:ind w:right="1199"/>
              <w:spacing w:after="0" w:line="175" w:lineRule="exact"/>
              <w:rPr>
                <w:sz w:val="20"/>
                <w:szCs w:val="20"/>
                <w:color w:val="auto"/>
              </w:rPr>
            </w:pPr>
            <w:r>
              <w:rPr>
                <w:rFonts w:ascii="Arial" w:cs="Arial" w:eastAsia="Arial" w:hAnsi="Arial"/>
                <w:sz w:val="16"/>
                <w:szCs w:val="16"/>
                <w:b w:val="1"/>
                <w:bCs w:val="1"/>
                <w:color w:val="auto"/>
              </w:rPr>
              <w:t>2026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w:t>
            </w:r>
          </w:p>
        </w:tc>
        <w:tc>
          <w:tcPr>
            <w:tcW w:w="5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tcPr>
          <w:p>
            <w:pPr>
              <w:jc w:val="right"/>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line="217" w:lineRule="exact"/>
              <w:rPr>
                <w:sz w:val="20"/>
                <w:szCs w:val="20"/>
                <w:color w:val="auto"/>
              </w:rPr>
            </w:pPr>
            <w:r>
              <w:rPr>
                <w:rFonts w:ascii="Arial" w:cs="Arial" w:eastAsia="Arial" w:hAnsi="Arial"/>
                <w:sz w:val="16"/>
                <w:szCs w:val="16"/>
                <w:color w:val="auto"/>
              </w:rPr>
              <w:t>Specified items</w:t>
            </w:r>
            <w:r>
              <w:rPr>
                <w:rFonts w:ascii="Arial" w:cs="Arial" w:eastAsia="Arial" w:hAnsi="Arial"/>
                <w:sz w:val="21"/>
                <w:szCs w:val="21"/>
                <w:color w:val="auto"/>
                <w:vertAlign w:val="superscript"/>
              </w:rPr>
              <w:t>(1)</w:t>
            </w:r>
          </w:p>
        </w:tc>
        <w:tc>
          <w:tcPr>
            <w:tcW w:w="5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284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6"/>
                <w:szCs w:val="16"/>
                <w:color w:val="auto"/>
              </w:rPr>
              <w:t>Non-cash items</w:t>
            </w:r>
            <w:r>
              <w:rPr>
                <w:rFonts w:ascii="Arial" w:cs="Arial" w:eastAsia="Arial" w:hAnsi="Arial"/>
                <w:sz w:val="21"/>
                <w:szCs w:val="21"/>
                <w:color w:val="auto"/>
                <w:vertAlign w:val="superscript"/>
              </w:rPr>
              <w:t>(2)</w:t>
            </w:r>
          </w:p>
        </w:tc>
        <w:tc>
          <w:tcPr>
            <w:tcW w:w="5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2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Credit Adjusted EBITDA</w:t>
            </w:r>
          </w:p>
        </w:tc>
        <w:tc>
          <w:tcPr>
            <w:tcW w:w="5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_______________________</w:t>
      </w:r>
    </w:p>
    <w:p>
      <w:pPr>
        <w:spacing w:after="0" w:line="59" w:lineRule="exact"/>
        <w:rPr>
          <w:sz w:val="20"/>
          <w:szCs w:val="20"/>
          <w:color w:val="auto"/>
        </w:rPr>
      </w:pPr>
    </w:p>
    <w:p>
      <w:pPr>
        <w:ind w:left="420" w:hanging="412"/>
        <w:spacing w:after="0" w:line="286" w:lineRule="auto"/>
        <w:tabs>
          <w:tab w:leader="none" w:pos="4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Specified items consisted of restructuring and other charges, divestiture costs, strategic initiatives costs, regulatory costs, gain on debt extinguishment, and other costs that are not related to recurring operations.</w:t>
      </w:r>
    </w:p>
    <w:p>
      <w:pPr>
        <w:spacing w:after="0" w:line="7" w:lineRule="exact"/>
        <w:rPr>
          <w:rFonts w:ascii="Arial" w:cs="Arial" w:eastAsia="Arial" w:hAnsi="Arial"/>
          <w:sz w:val="16"/>
          <w:szCs w:val="16"/>
          <w:color w:val="auto"/>
        </w:rPr>
      </w:pPr>
    </w:p>
    <w:p>
      <w:pPr>
        <w:ind w:left="400" w:hanging="392"/>
        <w:spacing w:after="0"/>
        <w:tabs>
          <w:tab w:leader="none" w:pos="4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Non-cash items consisted of losses on business disposals, loss on assets classified as held for sale, and stock based compensation.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gridSpan w:val="2"/>
          </w:tcPr>
          <w:p>
            <w:pPr>
              <w:jc w:val="right"/>
              <w:ind w:right="2259"/>
              <w:spacing w:after="0"/>
              <w:rPr>
                <w:sz w:val="20"/>
                <w:szCs w:val="20"/>
                <w:color w:val="auto"/>
              </w:rPr>
            </w:pPr>
            <w:r>
              <w:rPr>
                <w:rFonts w:ascii="Arial" w:cs="Arial" w:eastAsia="Arial" w:hAnsi="Arial"/>
                <w:sz w:val="16"/>
                <w:szCs w:val="16"/>
                <w:b w:val="1"/>
                <w:bCs w:val="1"/>
                <w:color w:val="auto"/>
              </w:rPr>
              <w:t>Net Debt to Total Debt</w:t>
            </w:r>
          </w:p>
        </w:tc>
        <w:tc>
          <w:tcPr>
            <w:tcW w:w="2420" w:type="dxa"/>
            <w:vAlign w:val="bottom"/>
            <w:tcBorders>
              <w:bottom w:val="single" w:sz="8" w:color="auto"/>
            </w:tcBorders>
          </w:tcPr>
          <w:p>
            <w:pPr>
              <w:spacing w:after="0"/>
              <w:rPr>
                <w:sz w:val="18"/>
                <w:szCs w:val="18"/>
                <w:color w:val="auto"/>
              </w:rPr>
            </w:pPr>
          </w:p>
        </w:tc>
      </w:tr>
      <w:tr>
        <w:trPr>
          <w:trHeight w:val="169"/>
        </w:trPr>
        <w:tc>
          <w:tcPr>
            <w:tcW w:w="20" w:type="dxa"/>
            <w:vAlign w:val="bottom"/>
          </w:tcPr>
          <w:p>
            <w:pPr>
              <w:spacing w:after="0"/>
              <w:rPr>
                <w:sz w:val="14"/>
                <w:szCs w:val="14"/>
                <w:color w:val="auto"/>
              </w:rPr>
            </w:pPr>
          </w:p>
        </w:tc>
        <w:tc>
          <w:tcPr>
            <w:tcW w:w="3520" w:type="dxa"/>
            <w:vAlign w:val="bottom"/>
            <w:gridSpan w:val="2"/>
          </w:tcPr>
          <w:p>
            <w:pPr>
              <w:spacing w:after="0" w:line="169" w:lineRule="exact"/>
              <w:rPr>
                <w:sz w:val="20"/>
                <w:szCs w:val="20"/>
                <w:color w:val="auto"/>
              </w:rPr>
            </w:pPr>
            <w:r>
              <w:rPr>
                <w:rFonts w:ascii="Arial" w:cs="Arial" w:eastAsia="Arial" w:hAnsi="Arial"/>
                <w:sz w:val="16"/>
                <w:szCs w:val="16"/>
                <w:i w:val="1"/>
                <w:iCs w:val="1"/>
                <w:color w:val="auto"/>
              </w:rPr>
              <w:t>(DOLLARS IN MILLIONS)</w:t>
            </w:r>
          </w:p>
        </w:tc>
        <w:tc>
          <w:tcPr>
            <w:tcW w:w="4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20" w:type="dxa"/>
            <w:vAlign w:val="bottom"/>
          </w:tcPr>
          <w:p>
            <w:pPr>
              <w:jc w:val="right"/>
              <w:ind w:right="799"/>
              <w:spacing w:after="0" w:line="169" w:lineRule="exact"/>
              <w:rPr>
                <w:sz w:val="20"/>
                <w:szCs w:val="20"/>
                <w:color w:val="auto"/>
              </w:rPr>
            </w:pPr>
            <w:r>
              <w:rPr>
                <w:rFonts w:ascii="Arial" w:cs="Arial" w:eastAsia="Arial" w:hAnsi="Arial"/>
                <w:sz w:val="16"/>
                <w:szCs w:val="16"/>
                <w:b w:val="1"/>
                <w:bCs w:val="1"/>
                <w:color w:val="auto"/>
              </w:rPr>
              <w:t>March 31, 2026</w:t>
            </w: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Total debt</w:t>
            </w:r>
            <w:r>
              <w:rPr>
                <w:rFonts w:ascii="Arial" w:cs="Arial" w:eastAsia="Arial" w:hAnsi="Arial"/>
                <w:sz w:val="21"/>
                <w:szCs w:val="21"/>
                <w:color w:val="auto"/>
                <w:vertAlign w:val="superscript"/>
              </w:rPr>
              <w:t>(1)</w:t>
            </w:r>
          </w:p>
        </w:tc>
        <w:tc>
          <w:tcPr>
            <w:tcW w:w="526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5,850</w:t>
            </w:r>
          </w:p>
        </w:tc>
      </w:tr>
      <w:tr>
        <w:trPr>
          <w:trHeight w:val="215"/>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Adjustments:</w:t>
            </w:r>
          </w:p>
        </w:tc>
        <w:tc>
          <w:tcPr>
            <w:tcW w:w="4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47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w:t>
            </w:r>
          </w:p>
        </w:tc>
      </w:tr>
      <w:tr>
        <w:trPr>
          <w:trHeight w:val="209"/>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b w:val="1"/>
                <w:bCs w:val="1"/>
                <w:color w:val="auto"/>
              </w:rPr>
              <w:t>Net debt</w:t>
            </w:r>
          </w:p>
        </w:tc>
        <w:tc>
          <w:tcPr>
            <w:tcW w:w="478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5,288</w:t>
            </w:r>
          </w:p>
        </w:tc>
      </w:tr>
      <w:tr>
        <w:trPr>
          <w:trHeight w:val="21"/>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_______________________</w:t>
      </w:r>
    </w:p>
    <w:p>
      <w:pPr>
        <w:spacing w:after="0" w:line="59" w:lineRule="exact"/>
        <w:rPr>
          <w:sz w:val="20"/>
          <w:szCs w:val="20"/>
          <w:color w:val="auto"/>
        </w:rPr>
      </w:pPr>
    </w:p>
    <w:p>
      <w:pPr>
        <w:ind w:left="420" w:right="20" w:hanging="412"/>
        <w:spacing w:after="0" w:line="304" w:lineRule="auto"/>
        <w:tabs>
          <w:tab w:leader="none" w:pos="4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Total debt used for the calculation of net debt consisted of short-term debt, long-term debt, short-term finance lease obligations and long-term finance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057"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6"/>
          <w:szCs w:val="16"/>
          <w:b w:val="1"/>
          <w:bCs w:val="1"/>
          <w:color w:val="auto"/>
        </w:rPr>
        <w:t>International Flavors &amp; Fragrances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Comparable Reportable Segment Performance</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millions)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11" w:lineRule="exact"/>
        <w:rPr>
          <w:sz w:val="20"/>
          <w:szCs w:val="20"/>
          <w:color w:val="auto"/>
        </w:rPr>
      </w:pPr>
    </w:p>
    <w:p>
      <w:pPr>
        <w:jc w:val="center"/>
        <w:spacing w:after="0" w:line="266" w:lineRule="auto"/>
        <w:rPr>
          <w:sz w:val="20"/>
          <w:szCs w:val="20"/>
          <w:color w:val="auto"/>
        </w:rPr>
      </w:pPr>
      <w:r>
        <w:rPr>
          <w:rFonts w:ascii="Arial" w:cs="Arial" w:eastAsia="Arial" w:hAnsi="Arial"/>
          <w:sz w:val="16"/>
          <w:szCs w:val="16"/>
          <w:color w:val="auto"/>
        </w:rPr>
        <w:t>The following information and schedule provides reconciliation information between reported GAAP amounts and non-GAAP certain adjusted amounts. This information and schedule is not intended as, and should not be viewed as, a substitute for reported GAAP amounts or financial statements of the Company prepared and presented in accordance with GAAP.</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800" w:type="dxa"/>
            <w:vAlign w:val="bottom"/>
          </w:tcPr>
          <w:p>
            <w:pPr>
              <w:spacing w:after="0"/>
              <w:rPr>
                <w:sz w:val="18"/>
                <w:szCs w:val="18"/>
                <w:color w:val="auto"/>
              </w:rPr>
            </w:pPr>
          </w:p>
        </w:tc>
        <w:tc>
          <w:tcPr>
            <w:tcW w:w="340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78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40"/>
              <w:spacing w:after="0" w:line="216" w:lineRule="exact"/>
              <w:rPr>
                <w:sz w:val="20"/>
                <w:szCs w:val="20"/>
                <w:color w:val="auto"/>
              </w:rPr>
            </w:pPr>
            <w:r>
              <w:rPr>
                <w:rFonts w:ascii="Arial" w:cs="Arial" w:eastAsia="Arial" w:hAnsi="Arial"/>
                <w:sz w:val="16"/>
                <w:szCs w:val="16"/>
                <w:color w:val="auto"/>
              </w:rPr>
              <w:t>Taste</w:t>
            </w:r>
            <w:r>
              <w:rPr>
                <w:rFonts w:ascii="Arial" w:cs="Arial" w:eastAsia="Arial" w:hAnsi="Arial"/>
                <w:sz w:val="21"/>
                <w:szCs w:val="21"/>
                <w:color w:val="auto"/>
                <w:vertAlign w:val="superscript"/>
              </w:rPr>
              <w:t>(1)</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Food Ingredients</w:t>
            </w:r>
            <w:r>
              <w:rPr>
                <w:rFonts w:ascii="Arial" w:cs="Arial" w:eastAsia="Arial" w:hAnsi="Arial"/>
                <w:sz w:val="21"/>
                <w:szCs w:val="21"/>
                <w:color w:val="auto"/>
                <w:vertAlign w:val="superscript"/>
              </w:rPr>
              <w:t>(2)</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15"/>
        </w:trPr>
        <w:tc>
          <w:tcPr>
            <w:tcW w:w="7800" w:type="dxa"/>
            <w:vAlign w:val="bottom"/>
          </w:tcPr>
          <w:p>
            <w:pPr>
              <w:ind w:left="340"/>
              <w:spacing w:after="0"/>
              <w:rPr>
                <w:sz w:val="20"/>
                <w:szCs w:val="20"/>
                <w:color w:val="auto"/>
              </w:rPr>
            </w:pPr>
            <w:r>
              <w:rPr>
                <w:rFonts w:ascii="Arial" w:cs="Arial" w:eastAsia="Arial" w:hAnsi="Arial"/>
                <w:sz w:val="16"/>
                <w:szCs w:val="16"/>
                <w:color w:val="auto"/>
              </w:rPr>
              <w:t>Health &amp; Biosciences</w:t>
            </w:r>
          </w:p>
        </w:tc>
        <w:tc>
          <w:tcPr>
            <w:tcW w:w="1020" w:type="dxa"/>
            <w:vAlign w:val="bottom"/>
          </w:tcPr>
          <w:p>
            <w:pPr>
              <w:spacing w:after="0"/>
              <w:rPr>
                <w:sz w:val="18"/>
                <w:szCs w:val="18"/>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17"/>
        </w:trPr>
        <w:tc>
          <w:tcPr>
            <w:tcW w:w="7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Scent</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16"/>
        </w:trPr>
        <w:tc>
          <w:tcPr>
            <w:tcW w:w="7800" w:type="dxa"/>
            <w:vAlign w:val="bottom"/>
          </w:tcPr>
          <w:p>
            <w:pPr>
              <w:ind w:left="340"/>
              <w:spacing w:after="0" w:line="216" w:lineRule="exact"/>
              <w:rPr>
                <w:sz w:val="20"/>
                <w:szCs w:val="20"/>
                <w:color w:val="auto"/>
              </w:rPr>
            </w:pPr>
            <w:r>
              <w:rPr>
                <w:rFonts w:ascii="Arial" w:cs="Arial" w:eastAsia="Arial" w:hAnsi="Arial"/>
                <w:sz w:val="16"/>
                <w:szCs w:val="16"/>
                <w:color w:val="auto"/>
              </w:rPr>
              <w:t>Pharma Solutions</w:t>
            </w:r>
            <w:r>
              <w:rPr>
                <w:rFonts w:ascii="Arial" w:cs="Arial" w:eastAsia="Arial" w:hAnsi="Arial"/>
                <w:sz w:val="21"/>
                <w:szCs w:val="21"/>
                <w:color w:val="auto"/>
                <w:vertAlign w:val="superscript"/>
              </w:rPr>
              <w:t>(3)</w:t>
            </w:r>
          </w:p>
        </w:tc>
        <w:tc>
          <w:tcPr>
            <w:tcW w:w="10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7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w:t>
            </w:r>
          </w:p>
        </w:tc>
        <w:tc>
          <w:tcPr>
            <w:tcW w:w="102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99"/>
              </w:rPr>
              <w:t>2,741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2,554</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line="204" w:lineRule="exact"/>
              <w:rPr>
                <w:sz w:val="20"/>
                <w:szCs w:val="20"/>
                <w:color w:val="auto"/>
              </w:rPr>
            </w:pPr>
            <w:r>
              <w:rPr>
                <w:rFonts w:ascii="Arial" w:cs="Arial" w:eastAsia="Arial" w:hAnsi="Arial"/>
                <w:sz w:val="16"/>
                <w:szCs w:val="16"/>
                <w:b w:val="1"/>
                <w:bCs w:val="1"/>
                <w:color w:val="auto"/>
              </w:rPr>
              <w:t>Segment Adjusted Operating EBITDA</w:t>
            </w:r>
            <w:r>
              <w:rPr>
                <w:rFonts w:ascii="Arial" w:cs="Arial" w:eastAsia="Arial" w:hAnsi="Arial"/>
                <w:sz w:val="21"/>
                <w:szCs w:val="21"/>
                <w:b w:val="1"/>
                <w:bCs w:val="1"/>
                <w:color w:val="auto"/>
                <w:vertAlign w:val="superscript"/>
              </w:rPr>
              <w:t>(5)</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80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Taste</w:t>
            </w:r>
            <w:r>
              <w:rPr>
                <w:rFonts w:ascii="Arial" w:cs="Arial" w:eastAsia="Arial" w:hAnsi="Arial"/>
                <w:sz w:val="21"/>
                <w:szCs w:val="21"/>
                <w:color w:val="auto"/>
                <w:vertAlign w:val="superscript"/>
              </w:rPr>
              <w:t>(1)</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6"/>
        </w:trPr>
        <w:tc>
          <w:tcPr>
            <w:tcW w:w="7800" w:type="dxa"/>
            <w:vAlign w:val="bottom"/>
          </w:tcPr>
          <w:p>
            <w:pPr>
              <w:ind w:left="340"/>
              <w:spacing w:after="0" w:line="216" w:lineRule="exact"/>
              <w:rPr>
                <w:sz w:val="20"/>
                <w:szCs w:val="20"/>
                <w:color w:val="auto"/>
              </w:rPr>
            </w:pPr>
            <w:r>
              <w:rPr>
                <w:rFonts w:ascii="Arial" w:cs="Arial" w:eastAsia="Arial" w:hAnsi="Arial"/>
                <w:sz w:val="16"/>
                <w:szCs w:val="16"/>
                <w:color w:val="auto"/>
              </w:rPr>
              <w:t>Food Ingredients</w:t>
            </w:r>
            <w:r>
              <w:rPr>
                <w:rFonts w:ascii="Arial" w:cs="Arial" w:eastAsia="Arial" w:hAnsi="Arial"/>
                <w:sz w:val="21"/>
                <w:szCs w:val="21"/>
                <w:color w:val="auto"/>
                <w:vertAlign w:val="superscript"/>
              </w:rPr>
              <w:t>(2)</w:t>
            </w:r>
          </w:p>
        </w:tc>
        <w:tc>
          <w:tcPr>
            <w:tcW w:w="1020" w:type="dxa"/>
            <w:vAlign w:val="bottom"/>
          </w:tcPr>
          <w:p>
            <w:pPr>
              <w:spacing w:after="0"/>
              <w:rPr>
                <w:sz w:val="18"/>
                <w:szCs w:val="18"/>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Health &amp; Biosciences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5"/>
        </w:trPr>
        <w:tc>
          <w:tcPr>
            <w:tcW w:w="7800" w:type="dxa"/>
            <w:vAlign w:val="bottom"/>
          </w:tcPr>
          <w:p>
            <w:pPr>
              <w:ind w:left="340"/>
              <w:spacing w:after="0"/>
              <w:rPr>
                <w:sz w:val="20"/>
                <w:szCs w:val="20"/>
                <w:color w:val="auto"/>
              </w:rPr>
            </w:pPr>
            <w:r>
              <w:rPr>
                <w:rFonts w:ascii="Arial" w:cs="Arial" w:eastAsia="Arial" w:hAnsi="Arial"/>
                <w:sz w:val="16"/>
                <w:szCs w:val="16"/>
                <w:color w:val="auto"/>
              </w:rPr>
              <w:t>Scent</w:t>
            </w:r>
          </w:p>
        </w:tc>
        <w:tc>
          <w:tcPr>
            <w:tcW w:w="1020" w:type="dxa"/>
            <w:vAlign w:val="bottom"/>
          </w:tcPr>
          <w:p>
            <w:pPr>
              <w:spacing w:after="0"/>
              <w:rPr>
                <w:sz w:val="18"/>
                <w:szCs w:val="18"/>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7"/>
        </w:trPr>
        <w:tc>
          <w:tcPr>
            <w:tcW w:w="7800" w:type="dxa"/>
            <w:vAlign w:val="bottom"/>
            <w:shd w:val="clear" w:color="auto" w:fill="CCEEFF"/>
          </w:tcPr>
          <w:p>
            <w:pPr>
              <w:ind w:left="340"/>
              <w:spacing w:after="0" w:line="217" w:lineRule="exact"/>
              <w:rPr>
                <w:sz w:val="20"/>
                <w:szCs w:val="20"/>
                <w:color w:val="auto"/>
              </w:rPr>
            </w:pPr>
            <w:r>
              <w:rPr>
                <w:rFonts w:ascii="Arial" w:cs="Arial" w:eastAsia="Arial" w:hAnsi="Arial"/>
                <w:sz w:val="16"/>
                <w:szCs w:val="16"/>
                <w:color w:val="auto"/>
              </w:rPr>
              <w:t>Pharma Solutions</w:t>
            </w:r>
            <w:r>
              <w:rPr>
                <w:rFonts w:ascii="Arial" w:cs="Arial" w:eastAsia="Arial" w:hAnsi="Arial"/>
                <w:sz w:val="21"/>
                <w:szCs w:val="21"/>
                <w:color w:val="auto"/>
                <w:vertAlign w:val="superscript"/>
              </w:rPr>
              <w:t>(3)</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800" w:type="dxa"/>
            <w:vAlign w:val="bottom"/>
          </w:tcPr>
          <w:p>
            <w:pPr>
              <w:ind w:left="20"/>
              <w:spacing w:after="0"/>
              <w:rPr>
                <w:sz w:val="20"/>
                <w:szCs w:val="20"/>
                <w:color w:val="auto"/>
              </w:rPr>
            </w:pPr>
            <w:r>
              <w:rPr>
                <w:rFonts w:ascii="Arial" w:cs="Arial" w:eastAsia="Arial" w:hAnsi="Arial"/>
                <w:sz w:val="16"/>
                <w:szCs w:val="16"/>
                <w:color w:val="auto"/>
              </w:rPr>
              <w:t>Total</w:t>
            </w:r>
          </w:p>
        </w:tc>
        <w:tc>
          <w:tcPr>
            <w:tcW w:w="10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&amp; Amortization</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020" w:type="dxa"/>
            <w:vAlign w:val="bottom"/>
          </w:tcPr>
          <w:p>
            <w:pPr>
              <w:spacing w:after="0"/>
              <w:rPr>
                <w:sz w:val="18"/>
                <w:szCs w:val="18"/>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Restructuring and Other Charges</w:t>
            </w:r>
          </w:p>
        </w:tc>
        <w:tc>
          <w:tcPr>
            <w:tcW w:w="1020" w:type="dxa"/>
            <w:vAlign w:val="bottom"/>
          </w:tcPr>
          <w:p>
            <w:pPr>
              <w:spacing w:after="0"/>
              <w:rPr>
                <w:sz w:val="18"/>
                <w:szCs w:val="18"/>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Losses on Business Disposals</w:t>
            </w:r>
          </w:p>
        </w:tc>
        <w:tc>
          <w:tcPr>
            <w:tcW w:w="1020" w:type="dxa"/>
            <w:vAlign w:val="bottom"/>
          </w:tcPr>
          <w:p>
            <w:pPr>
              <w:spacing w:after="0"/>
              <w:rPr>
                <w:sz w:val="18"/>
                <w:szCs w:val="18"/>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Divestiture Costs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Strategic Initiative Costs</w:t>
            </w:r>
          </w:p>
        </w:tc>
        <w:tc>
          <w:tcPr>
            <w:tcW w:w="1020" w:type="dxa"/>
            <w:vAlign w:val="bottom"/>
          </w:tcPr>
          <w:p>
            <w:pPr>
              <w:spacing w:after="0"/>
              <w:rPr>
                <w:sz w:val="18"/>
                <w:szCs w:val="18"/>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Regulatory Costs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Other</w:t>
            </w:r>
          </w:p>
        </w:tc>
        <w:tc>
          <w:tcPr>
            <w:tcW w:w="10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78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Impact of Business Divestitures</w:t>
            </w:r>
            <w:r>
              <w:rPr>
                <w:rFonts w:ascii="Arial" w:cs="Arial" w:eastAsia="Arial" w:hAnsi="Arial"/>
                <w:sz w:val="21"/>
                <w:szCs w:val="21"/>
                <w:color w:val="auto"/>
                <w:vertAlign w:val="superscript"/>
              </w:rPr>
              <w:t>(4)</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9"/>
        </w:trPr>
        <w:tc>
          <w:tcPr>
            <w:tcW w:w="7800" w:type="dxa"/>
            <w:vAlign w:val="bottom"/>
          </w:tcPr>
          <w:p>
            <w:pPr>
              <w:ind w:left="20"/>
              <w:spacing w:after="0"/>
              <w:rPr>
                <w:sz w:val="20"/>
                <w:szCs w:val="20"/>
                <w:color w:val="auto"/>
              </w:rPr>
            </w:pPr>
            <w:r>
              <w:rPr>
                <w:rFonts w:ascii="Arial" w:cs="Arial" w:eastAsia="Arial" w:hAnsi="Arial"/>
                <w:sz w:val="16"/>
                <w:szCs w:val="16"/>
                <w:color w:val="auto"/>
              </w:rPr>
              <w:t>Income (Loss) Before Taxes</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Adjusted Operating EBITDA Margin</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Taste</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23.3 %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20.1 %</w:t>
            </w:r>
          </w:p>
        </w:tc>
        <w:tc>
          <w:tcPr>
            <w:tcW w:w="0" w:type="dxa"/>
            <w:vAlign w:val="bottom"/>
          </w:tcPr>
          <w:p>
            <w:pPr>
              <w:spacing w:after="0"/>
              <w:rPr>
                <w:sz w:val="1"/>
                <w:szCs w:val="1"/>
                <w:color w:val="auto"/>
              </w:rPr>
            </w:pP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Food Ingredients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13.9 %</w:t>
            </w:r>
          </w:p>
        </w:tc>
        <w:tc>
          <w:tcPr>
            <w:tcW w:w="0" w:type="dxa"/>
            <w:vAlign w:val="bottom"/>
          </w:tcPr>
          <w:p>
            <w:pPr>
              <w:spacing w:after="0"/>
              <w:rPr>
                <w:sz w:val="1"/>
                <w:szCs w:val="1"/>
                <w:color w:val="auto"/>
              </w:rPr>
            </w:pP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Health &amp; Biosciences</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25.7 %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25.0 %</w:t>
            </w:r>
          </w:p>
        </w:tc>
        <w:tc>
          <w:tcPr>
            <w:tcW w:w="0" w:type="dxa"/>
            <w:vAlign w:val="bottom"/>
          </w:tcPr>
          <w:p>
            <w:pPr>
              <w:spacing w:after="0"/>
              <w:rPr>
                <w:sz w:val="1"/>
                <w:szCs w:val="1"/>
                <w:color w:val="auto"/>
              </w:rPr>
            </w:pPr>
          </w:p>
        </w:tc>
      </w:tr>
      <w:tr>
        <w:trPr>
          <w:trHeight w:val="21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Scent</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23.0 %</w:t>
            </w:r>
          </w:p>
        </w:tc>
        <w:tc>
          <w:tcPr>
            <w:tcW w:w="0" w:type="dxa"/>
            <w:vAlign w:val="bottom"/>
          </w:tcPr>
          <w:p>
            <w:pPr>
              <w:spacing w:after="0"/>
              <w:rPr>
                <w:sz w:val="1"/>
                <w:szCs w:val="1"/>
                <w:color w:val="auto"/>
              </w:rPr>
            </w:pP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Consolidated</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20.7 %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19.9 %</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67" w:lineRule="exact"/>
        <w:rPr>
          <w:sz w:val="20"/>
          <w:szCs w:val="20"/>
          <w:color w:val="auto"/>
        </w:rPr>
      </w:pPr>
    </w:p>
    <w:p>
      <w:pPr>
        <w:ind w:left="420" w:right="20" w:hanging="412"/>
        <w:spacing w:after="0" w:line="290" w:lineRule="auto"/>
        <w:tabs>
          <w:tab w:leader="none" w:pos="4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Taste sales and segment adjusted operating EBITDA information exclude the results of the Rene Laurent business that was divested on December 1, 2025, to present fully comparable scenarios.</w:t>
      </w:r>
    </w:p>
    <w:p>
      <w:pPr>
        <w:ind w:left="420" w:hanging="412"/>
        <w:spacing w:after="0" w:line="290" w:lineRule="auto"/>
        <w:tabs>
          <w:tab w:leader="none" w:pos="4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Food Ingredients sales and segment adjusted operating EBITDA information exclude the results of the Soy Crush, Concentrates, and Lecithin business (the “SCL disposal group”) that was divested on March 2, 2026, to present fully comparable scenarios.</w:t>
      </w:r>
    </w:p>
    <w:p>
      <w:pPr>
        <w:ind w:left="420" w:hanging="412"/>
        <w:spacing w:after="0" w:line="286" w:lineRule="auto"/>
        <w:tabs>
          <w:tab w:leader="none" w:pos="4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Pharma Solutions sales and segment adjusted operating EBITDA information exclude the results of the Pharma Solutions disposal group and Nitrocellulose business that were divested on May 1, 2025 and May 9, 2025, respectively, to present fully comparable scenarios.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895" w:right="339" w:bottom="1440" w:gutter="0" w:footer="0" w:header="0"/>
        </w:sectPr>
      </w:pPr>
    </w:p>
    <w:bookmarkStart w:id="18" w:name="page19"/>
    <w:bookmarkEnd w:id="18"/>
    <w:p>
      <w:pPr>
        <w:jc w:val="both"/>
        <w:ind w:left="412" w:hanging="412"/>
        <w:spacing w:after="0" w:line="275" w:lineRule="auto"/>
        <w:tabs>
          <w:tab w:leader="none" w:pos="407"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Amounts exclude the results of the Rene Laurent business that was divested on December 1, 2025, the SCL disposal group that was divested on March 2, 2026, and the Pharma Solutions disposal group and Nitrocellulose business that were divested on May 1, 2025 and May 9, 2025, respectively, to present fully comparable scenarios.</w:t>
      </w:r>
    </w:p>
    <w:p>
      <w:pPr>
        <w:spacing w:after="0" w:line="2" w:lineRule="exact"/>
        <w:rPr>
          <w:rFonts w:ascii="Arial" w:cs="Arial" w:eastAsia="Arial" w:hAnsi="Arial"/>
          <w:sz w:val="16"/>
          <w:szCs w:val="16"/>
          <w:color w:val="auto"/>
        </w:rPr>
      </w:pPr>
    </w:p>
    <w:p>
      <w:pPr>
        <w:jc w:val="both"/>
        <w:ind w:left="412" w:hanging="412"/>
        <w:spacing w:after="0" w:line="275" w:lineRule="auto"/>
        <w:tabs>
          <w:tab w:leader="none" w:pos="407"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Following the completed divestitures of the Pharma Solutions disposal group on May 1, 2025 and the Nitrocellulose business on May 9, 2025, the Company reallocated certain corporate costs previously attributed to the Pharma Solutions segment. These costs have been redistributed across the Taste, Food Ingredients, Health &amp; Biosciences, and Scent segments.</w:t>
      </w:r>
    </w:p>
    <w:p>
      <w:pPr>
        <w:spacing w:after="0" w:line="43" w:lineRule="exact"/>
        <w:rPr>
          <w:sz w:val="20"/>
          <w:szCs w:val="20"/>
          <w:color w:val="auto"/>
        </w:rPr>
      </w:pPr>
    </w:p>
    <w:tbl>
      <w:tblPr>
        <w:tblLayout w:type="fixed"/>
        <w:tblInd w:w="332" w:type="dxa"/>
        <w:tblCellMar>
          <w:top w:w="0" w:type="dxa"/>
          <w:left w:w="0" w:type="dxa"/>
          <w:bottom w:w="0" w:type="dxa"/>
          <w:right w:w="0" w:type="dxa"/>
        </w:tblCellMar>
      </w:tblPr>
      <w:tr>
        <w:trPr>
          <w:trHeight w:val="217"/>
        </w:trPr>
        <w:tc>
          <w:tcPr>
            <w:tcW w:w="57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For the Three Months Ended March 31, 2025</w:t>
            </w:r>
          </w:p>
        </w:tc>
      </w:tr>
      <w:tr>
        <w:trPr>
          <w:trHeight w:val="209"/>
        </w:trPr>
        <w:tc>
          <w:tcPr>
            <w:tcW w:w="5700" w:type="dxa"/>
            <w:vAlign w:val="bottom"/>
          </w:tcPr>
          <w:p>
            <w:pPr>
              <w:spacing w:after="0"/>
              <w:rPr>
                <w:sz w:val="18"/>
                <w:szCs w:val="18"/>
                <w:color w:val="auto"/>
              </w:rPr>
            </w:pPr>
          </w:p>
        </w:tc>
        <w:tc>
          <w:tcPr>
            <w:tcW w:w="2640" w:type="dxa"/>
            <w:vAlign w:val="bottom"/>
            <w:gridSpan w:val="3"/>
          </w:tcPr>
          <w:p>
            <w:pPr>
              <w:ind w:left="40"/>
              <w:spacing w:after="0"/>
              <w:rPr>
                <w:sz w:val="20"/>
                <w:szCs w:val="20"/>
                <w:color w:val="auto"/>
              </w:rPr>
            </w:pPr>
            <w:r>
              <w:rPr>
                <w:rFonts w:ascii="Arial" w:cs="Arial" w:eastAsia="Arial" w:hAnsi="Arial"/>
                <w:sz w:val="16"/>
                <w:szCs w:val="16"/>
                <w:color w:val="auto"/>
              </w:rPr>
              <w:t>Selling &amp; Administrative Expenses</w:t>
            </w:r>
          </w:p>
        </w:tc>
        <w:tc>
          <w:tcPr>
            <w:tcW w:w="300" w:type="dxa"/>
            <w:vAlign w:val="bottom"/>
          </w:tcPr>
          <w:p>
            <w:pPr>
              <w:spacing w:after="0"/>
              <w:rPr>
                <w:sz w:val="18"/>
                <w:szCs w:val="18"/>
                <w:color w:val="auto"/>
              </w:rPr>
            </w:pPr>
          </w:p>
        </w:tc>
        <w:tc>
          <w:tcPr>
            <w:tcW w:w="2180" w:type="dxa"/>
            <w:vAlign w:val="bottom"/>
          </w:tcPr>
          <w:p>
            <w:pPr>
              <w:jc w:val="right"/>
              <w:ind w:right="419"/>
              <w:spacing w:after="0"/>
              <w:rPr>
                <w:sz w:val="20"/>
                <w:szCs w:val="20"/>
                <w:color w:val="auto"/>
              </w:rPr>
            </w:pPr>
            <w:r>
              <w:rPr>
                <w:rFonts w:ascii="Arial" w:cs="Arial" w:eastAsia="Arial" w:hAnsi="Arial"/>
                <w:sz w:val="16"/>
                <w:szCs w:val="16"/>
                <w:color w:val="auto"/>
              </w:rPr>
              <w:t>Total EBITDA Impact</w:t>
            </w:r>
          </w:p>
        </w:tc>
      </w:tr>
      <w:tr>
        <w:trPr>
          <w:trHeight w:val="217"/>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Taste</w:t>
            </w: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5700" w:type="dxa"/>
            <w:vAlign w:val="bottom"/>
          </w:tcPr>
          <w:p>
            <w:pPr>
              <w:ind w:left="20"/>
              <w:spacing w:after="0"/>
              <w:rPr>
                <w:sz w:val="20"/>
                <w:szCs w:val="20"/>
                <w:color w:val="auto"/>
              </w:rPr>
            </w:pPr>
            <w:r>
              <w:rPr>
                <w:rFonts w:ascii="Arial" w:cs="Arial" w:eastAsia="Arial" w:hAnsi="Arial"/>
                <w:sz w:val="16"/>
                <w:szCs w:val="16"/>
                <w:color w:val="auto"/>
              </w:rPr>
              <w:t>Food Ingredients</w:t>
            </w:r>
          </w:p>
        </w:tc>
        <w:tc>
          <w:tcPr>
            <w:tcW w:w="4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Health &amp; Biosciences</w:t>
            </w:r>
          </w:p>
        </w:tc>
        <w:tc>
          <w:tcPr>
            <w:tcW w:w="4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Scent</w:t>
            </w:r>
          </w:p>
        </w:tc>
        <w:tc>
          <w:tcPr>
            <w:tcW w:w="4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3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32"/>
          </w:cols>
          <w:pgMar w:left="328" w:top="949" w:right="33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6"/>
          <w:szCs w:val="16"/>
          <w:b w:val="1"/>
          <w:bCs w:val="1"/>
          <w:color w:val="auto"/>
        </w:rPr>
        <w:t>International Flavors &amp; Fragrances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GAAP to Non-GAAP Reconciliation</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Comparable Foreign Exchange Impact</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4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Q1 2026 Taste</w:t>
            </w:r>
          </w:p>
        </w:tc>
        <w:tc>
          <w:tcPr>
            <w:tcW w:w="2100" w:type="dxa"/>
            <w:vAlign w:val="bottom"/>
            <w:tcBorders>
              <w:top w:val="single" w:sz="8" w:color="auto"/>
              <w:right w:val="single" w:sz="8" w:color="auto"/>
            </w:tcBorders>
            <w:vMerge w:val="restart"/>
          </w:tcPr>
          <w:p>
            <w:pPr>
              <w:jc w:val="right"/>
              <w:ind w:right="819"/>
              <w:spacing w:after="0"/>
              <w:rPr>
                <w:sz w:val="20"/>
                <w:szCs w:val="20"/>
                <w:color w:val="auto"/>
              </w:rPr>
            </w:pPr>
            <w:r>
              <w:rPr>
                <w:rFonts w:ascii="Arial" w:cs="Arial" w:eastAsia="Arial" w:hAnsi="Arial"/>
                <w:sz w:val="16"/>
                <w:szCs w:val="16"/>
                <w:b w:val="1"/>
                <w:bCs w:val="1"/>
                <w:color w:val="auto"/>
              </w:rPr>
              <w:t>Sales</w:t>
            </w:r>
          </w:p>
        </w:tc>
        <w:tc>
          <w:tcPr>
            <w:tcW w:w="2020" w:type="dxa"/>
            <w:vAlign w:val="bottom"/>
            <w:tcBorders>
              <w:top w:val="single" w:sz="8" w:color="auto"/>
              <w:right w:val="single" w:sz="8" w:color="auto"/>
            </w:tcBorders>
          </w:tcPr>
          <w:p>
            <w:pPr>
              <w:ind w:left="300"/>
              <w:spacing w:after="0" w:line="175" w:lineRule="exact"/>
              <w:rPr>
                <w:sz w:val="20"/>
                <w:szCs w:val="20"/>
                <w:color w:val="auto"/>
              </w:rPr>
            </w:pPr>
            <w:r>
              <w:rPr>
                <w:rFonts w:ascii="Arial" w:cs="Arial" w:eastAsia="Arial" w:hAnsi="Arial"/>
                <w:sz w:val="16"/>
                <w:szCs w:val="16"/>
                <w:b w:val="1"/>
                <w:bCs w:val="1"/>
                <w:color w:val="auto"/>
              </w:rPr>
              <w:t>Segment Adjusted</w:t>
            </w:r>
          </w:p>
        </w:tc>
        <w:tc>
          <w:tcPr>
            <w:tcW w:w="100" w:type="dxa"/>
            <w:vAlign w:val="bottom"/>
            <w:tcBorders>
              <w:right w:val="single" w:sz="8" w:color="auto"/>
            </w:tcBorders>
          </w:tcPr>
          <w:p>
            <w:pPr>
              <w:spacing w:after="0"/>
              <w:rPr>
                <w:sz w:val="15"/>
                <w:szCs w:val="15"/>
                <w:color w:val="auto"/>
              </w:rPr>
            </w:pPr>
          </w:p>
        </w:tc>
        <w:tc>
          <w:tcPr>
            <w:tcW w:w="2600" w:type="dxa"/>
            <w:vAlign w:val="bottom"/>
            <w:tcBorders>
              <w:top w:val="single" w:sz="8" w:color="auto"/>
              <w:right w:val="single" w:sz="8" w:color="auto"/>
            </w:tcBorders>
          </w:tcPr>
          <w:p>
            <w:pPr>
              <w:jc w:val="right"/>
              <w:ind w:right="119"/>
              <w:spacing w:after="0" w:line="175" w:lineRule="exact"/>
              <w:rPr>
                <w:sz w:val="20"/>
                <w:szCs w:val="20"/>
                <w:color w:val="auto"/>
              </w:rPr>
            </w:pPr>
            <w:r>
              <w:rPr>
                <w:rFonts w:ascii="Arial" w:cs="Arial" w:eastAsia="Arial" w:hAnsi="Arial"/>
                <w:sz w:val="16"/>
                <w:szCs w:val="16"/>
                <w:b w:val="1"/>
                <w:bCs w:val="1"/>
                <w:color w:val="auto"/>
              </w:rPr>
              <w:t>Segment Adjusted Operating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20" w:type="dxa"/>
            <w:vAlign w:val="bottom"/>
            <w:tcBorders>
              <w:right w:val="single" w:sz="8" w:color="auto"/>
            </w:tcBorders>
            <w:gridSpan w:val="2"/>
            <w:vMerge w:val="continue"/>
          </w:tcPr>
          <w:p>
            <w:pPr>
              <w:spacing w:after="0"/>
              <w:rPr>
                <w:sz w:val="15"/>
                <w:szCs w:val="15"/>
                <w:color w:val="auto"/>
              </w:rPr>
            </w:pPr>
          </w:p>
        </w:tc>
        <w:tc>
          <w:tcPr>
            <w:tcW w:w="2100" w:type="dxa"/>
            <w:vAlign w:val="bottom"/>
            <w:tcBorders>
              <w:right w:val="single" w:sz="8" w:color="auto"/>
            </w:tcBorders>
            <w:vMerge w:val="continue"/>
          </w:tcPr>
          <w:p>
            <w:pPr>
              <w:spacing w:after="0"/>
              <w:rPr>
                <w:sz w:val="15"/>
                <w:szCs w:val="15"/>
                <w:color w:val="auto"/>
              </w:rPr>
            </w:pPr>
          </w:p>
        </w:tc>
        <w:tc>
          <w:tcPr>
            <w:tcW w:w="2020" w:type="dxa"/>
            <w:vAlign w:val="bottom"/>
            <w:tcBorders>
              <w:right w:val="single" w:sz="8" w:color="auto"/>
            </w:tcBorders>
          </w:tcPr>
          <w:p>
            <w:pPr>
              <w:ind w:left="300"/>
              <w:spacing w:after="0" w:line="175" w:lineRule="exact"/>
              <w:rPr>
                <w:sz w:val="20"/>
                <w:szCs w:val="20"/>
                <w:color w:val="auto"/>
              </w:rPr>
            </w:pPr>
            <w:r>
              <w:rPr>
                <w:rFonts w:ascii="Arial" w:cs="Arial" w:eastAsia="Arial" w:hAnsi="Arial"/>
                <w:sz w:val="16"/>
                <w:szCs w:val="16"/>
                <w:b w:val="1"/>
                <w:bCs w:val="1"/>
                <w:color w:val="auto"/>
              </w:rPr>
              <w:t>Operating EBITDA</w:t>
            </w:r>
          </w:p>
        </w:tc>
        <w:tc>
          <w:tcPr>
            <w:tcW w:w="10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EBITDA Margin</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360" w:type="dxa"/>
            <w:vAlign w:val="bottom"/>
            <w:tcBorders>
              <w:bottom w:val="single" w:sz="8" w:color="CCEEFF"/>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 Change - Reported</w:t>
            </w:r>
          </w:p>
        </w:tc>
        <w:tc>
          <w:tcPr>
            <w:tcW w:w="2100" w:type="dxa"/>
            <w:vAlign w:val="bottom"/>
            <w:tcBorders>
              <w:right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5%</w:t>
            </w:r>
          </w:p>
        </w:tc>
        <w:tc>
          <w:tcPr>
            <w:tcW w:w="20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17%</w:t>
            </w:r>
          </w:p>
        </w:tc>
        <w:tc>
          <w:tcPr>
            <w:tcW w:w="100" w:type="dxa"/>
            <w:vAlign w:val="bottom"/>
            <w:tcBorders>
              <w:right w:val="single" w:sz="8" w:color="auto"/>
            </w:tcBorders>
            <w:shd w:val="clear" w:color="auto" w:fill="CCEEFF"/>
          </w:tcPr>
          <w:p>
            <w:pPr>
              <w:spacing w:after="0"/>
              <w:rPr>
                <w:sz w:val="18"/>
                <w:szCs w:val="18"/>
                <w:color w:val="auto"/>
              </w:rPr>
            </w:pPr>
          </w:p>
        </w:tc>
        <w:tc>
          <w:tcPr>
            <w:tcW w:w="2600" w:type="dxa"/>
            <w:vAlign w:val="bottom"/>
            <w:tcBorders>
              <w:right w:val="single" w:sz="8" w:color="auto"/>
            </w:tcBorders>
            <w:shd w:val="clear" w:color="auto" w:fill="CCEEFF"/>
          </w:tcPr>
          <w:p>
            <w:pPr>
              <w:jc w:val="right"/>
              <w:ind w:right="105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tcBorders>
              <w:right w:val="single" w:sz="8" w:color="auto"/>
            </w:tcBorders>
            <w:gridSpan w:val="2"/>
          </w:tcPr>
          <w:p>
            <w:pPr>
              <w:ind w:left="340"/>
              <w:spacing w:after="0"/>
              <w:rPr>
                <w:sz w:val="20"/>
                <w:szCs w:val="20"/>
                <w:color w:val="auto"/>
              </w:rPr>
            </w:pPr>
            <w:r>
              <w:rPr>
                <w:rFonts w:ascii="Arial" w:cs="Arial" w:eastAsia="Arial" w:hAnsi="Arial"/>
                <w:sz w:val="16"/>
                <w:szCs w:val="16"/>
                <w:color w:val="auto"/>
              </w:rPr>
              <w:t>Portfolio Impact</w:t>
            </w:r>
          </w:p>
        </w:tc>
        <w:tc>
          <w:tcPr>
            <w:tcW w:w="2100" w:type="dxa"/>
            <w:vAlign w:val="bottom"/>
            <w:tcBorders>
              <w:right w:val="single" w:sz="8" w:color="auto"/>
            </w:tcBorders>
          </w:tcPr>
          <w:p>
            <w:pPr>
              <w:jc w:val="right"/>
              <w:ind w:right="899"/>
              <w:spacing w:after="0"/>
              <w:rPr>
                <w:sz w:val="20"/>
                <w:szCs w:val="20"/>
                <w:color w:val="auto"/>
              </w:rPr>
            </w:pPr>
            <w:r>
              <w:rPr>
                <w:rFonts w:ascii="Arial" w:cs="Arial" w:eastAsia="Arial" w:hAnsi="Arial"/>
                <w:sz w:val="16"/>
                <w:szCs w:val="16"/>
                <w:color w:val="auto"/>
              </w:rPr>
              <w:t>1%</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w:t>
            </w:r>
          </w:p>
        </w:tc>
        <w:tc>
          <w:tcPr>
            <w:tcW w:w="1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right"/>
              <w:ind w:right="105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4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 Change - Comparable</w:t>
            </w:r>
          </w:p>
        </w:tc>
        <w:tc>
          <w:tcPr>
            <w:tcW w:w="2100" w:type="dxa"/>
            <w:vAlign w:val="bottom"/>
            <w:tcBorders>
              <w:right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6%</w:t>
            </w:r>
          </w:p>
        </w:tc>
        <w:tc>
          <w:tcPr>
            <w:tcW w:w="20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22%</w:t>
            </w:r>
          </w:p>
        </w:tc>
        <w:tc>
          <w:tcPr>
            <w:tcW w:w="100" w:type="dxa"/>
            <w:vAlign w:val="bottom"/>
            <w:tcBorders>
              <w:right w:val="single" w:sz="8" w:color="auto"/>
            </w:tcBorders>
            <w:shd w:val="clear" w:color="auto" w:fill="CCEEFF"/>
          </w:tcPr>
          <w:p>
            <w:pPr>
              <w:spacing w:after="0"/>
              <w:rPr>
                <w:sz w:val="18"/>
                <w:szCs w:val="18"/>
                <w:color w:val="auto"/>
              </w:rPr>
            </w:pPr>
          </w:p>
        </w:tc>
        <w:tc>
          <w:tcPr>
            <w:tcW w:w="2600" w:type="dxa"/>
            <w:vAlign w:val="bottom"/>
            <w:tcBorders>
              <w:right w:val="single" w:sz="8" w:color="auto"/>
            </w:tcBorders>
            <w:shd w:val="clear" w:color="auto" w:fill="CCEEFF"/>
          </w:tcPr>
          <w:p>
            <w:pPr>
              <w:jc w:val="right"/>
              <w:ind w:right="105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tcBorders>
              <w:right w:val="single" w:sz="8" w:color="auto"/>
            </w:tcBorders>
            <w:gridSpan w:val="2"/>
          </w:tcPr>
          <w:p>
            <w:pPr>
              <w:ind w:left="340"/>
              <w:spacing w:after="0"/>
              <w:rPr>
                <w:sz w:val="20"/>
                <w:szCs w:val="20"/>
                <w:color w:val="auto"/>
              </w:rPr>
            </w:pPr>
            <w:r>
              <w:rPr>
                <w:rFonts w:ascii="Arial" w:cs="Arial" w:eastAsia="Arial" w:hAnsi="Arial"/>
                <w:sz w:val="16"/>
                <w:szCs w:val="16"/>
                <w:color w:val="auto"/>
              </w:rPr>
              <w:t>Currency Impact</w:t>
            </w:r>
          </w:p>
        </w:tc>
        <w:tc>
          <w:tcPr>
            <w:tcW w:w="2100" w:type="dxa"/>
            <w:vAlign w:val="bottom"/>
            <w:tcBorders>
              <w:right w:val="single" w:sz="8" w:color="auto"/>
            </w:tcBorders>
          </w:tcPr>
          <w:p>
            <w:pPr>
              <w:jc w:val="right"/>
              <w:ind w:right="859"/>
              <w:spacing w:after="0"/>
              <w:rPr>
                <w:sz w:val="20"/>
                <w:szCs w:val="20"/>
                <w:color w:val="auto"/>
              </w:rPr>
            </w:pPr>
            <w:r>
              <w:rPr>
                <w:rFonts w:ascii="Arial" w:cs="Arial" w:eastAsia="Arial" w:hAnsi="Arial"/>
                <w:sz w:val="16"/>
                <w:szCs w:val="16"/>
                <w:color w:val="auto"/>
              </w:rPr>
              <w:t>(4)%</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w:t>
            </w:r>
          </w:p>
        </w:tc>
        <w:tc>
          <w:tcPr>
            <w:tcW w:w="1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right"/>
              <w:ind w:right="99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4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 Change - Currency Neutral</w:t>
            </w:r>
          </w:p>
        </w:tc>
        <w:tc>
          <w:tcPr>
            <w:tcW w:w="2100" w:type="dxa"/>
            <w:vAlign w:val="bottom"/>
            <w:tcBorders>
              <w:bottom w:val="single" w:sz="8" w:color="auto"/>
              <w:right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2%</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18%</w:t>
            </w:r>
          </w:p>
        </w:tc>
        <w:tc>
          <w:tcPr>
            <w:tcW w:w="100" w:type="dxa"/>
            <w:vAlign w:val="bottom"/>
            <w:tcBorders>
              <w:right w:val="single" w:sz="8" w:color="auto"/>
            </w:tcBorders>
            <w:shd w:val="clear" w:color="auto" w:fill="CCEEFF"/>
          </w:tcPr>
          <w:p>
            <w:pPr>
              <w:spacing w:after="0"/>
              <w:rPr>
                <w:sz w:val="18"/>
                <w:szCs w:val="18"/>
                <w:color w:val="auto"/>
              </w:rPr>
            </w:pPr>
          </w:p>
        </w:tc>
        <w:tc>
          <w:tcPr>
            <w:tcW w:w="2600" w:type="dxa"/>
            <w:vAlign w:val="bottom"/>
            <w:tcBorders>
              <w:bottom w:val="single" w:sz="8" w:color="auto"/>
              <w:right w:val="single" w:sz="8" w:color="auto"/>
            </w:tcBorders>
            <w:shd w:val="clear" w:color="auto" w:fill="CCEEFF"/>
          </w:tcPr>
          <w:p>
            <w:pPr>
              <w:jc w:val="right"/>
              <w:ind w:right="105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4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Q1 2026 Food Ingredients</w:t>
            </w:r>
          </w:p>
        </w:tc>
        <w:tc>
          <w:tcPr>
            <w:tcW w:w="2100" w:type="dxa"/>
            <w:vAlign w:val="bottom"/>
            <w:tcBorders>
              <w:top w:val="single" w:sz="8" w:color="auto"/>
              <w:right w:val="single" w:sz="8" w:color="auto"/>
            </w:tcBorders>
            <w:vMerge w:val="restart"/>
          </w:tcPr>
          <w:p>
            <w:pPr>
              <w:jc w:val="right"/>
              <w:ind w:right="819"/>
              <w:spacing w:after="0"/>
              <w:rPr>
                <w:sz w:val="20"/>
                <w:szCs w:val="20"/>
                <w:color w:val="auto"/>
              </w:rPr>
            </w:pPr>
            <w:r>
              <w:rPr>
                <w:rFonts w:ascii="Arial" w:cs="Arial" w:eastAsia="Arial" w:hAnsi="Arial"/>
                <w:sz w:val="16"/>
                <w:szCs w:val="16"/>
                <w:b w:val="1"/>
                <w:bCs w:val="1"/>
                <w:color w:val="auto"/>
              </w:rPr>
              <w:t>Sales</w:t>
            </w:r>
          </w:p>
        </w:tc>
        <w:tc>
          <w:tcPr>
            <w:tcW w:w="2020" w:type="dxa"/>
            <w:vAlign w:val="bottom"/>
            <w:tcBorders>
              <w:top w:val="single" w:sz="8" w:color="auto"/>
              <w:right w:val="single" w:sz="8" w:color="auto"/>
            </w:tcBorders>
          </w:tcPr>
          <w:p>
            <w:pPr>
              <w:ind w:left="300"/>
              <w:spacing w:after="0" w:line="175" w:lineRule="exact"/>
              <w:rPr>
                <w:sz w:val="20"/>
                <w:szCs w:val="20"/>
                <w:color w:val="auto"/>
              </w:rPr>
            </w:pPr>
            <w:r>
              <w:rPr>
                <w:rFonts w:ascii="Arial" w:cs="Arial" w:eastAsia="Arial" w:hAnsi="Arial"/>
                <w:sz w:val="16"/>
                <w:szCs w:val="16"/>
                <w:b w:val="1"/>
                <w:bCs w:val="1"/>
                <w:color w:val="auto"/>
              </w:rPr>
              <w:t>Segment Adjusted</w:t>
            </w:r>
          </w:p>
        </w:tc>
        <w:tc>
          <w:tcPr>
            <w:tcW w:w="100" w:type="dxa"/>
            <w:vAlign w:val="bottom"/>
            <w:tcBorders>
              <w:right w:val="single" w:sz="8" w:color="auto"/>
            </w:tcBorders>
          </w:tcPr>
          <w:p>
            <w:pPr>
              <w:spacing w:after="0"/>
              <w:rPr>
                <w:sz w:val="15"/>
                <w:szCs w:val="15"/>
                <w:color w:val="auto"/>
              </w:rPr>
            </w:pPr>
          </w:p>
        </w:tc>
        <w:tc>
          <w:tcPr>
            <w:tcW w:w="2600" w:type="dxa"/>
            <w:vAlign w:val="bottom"/>
            <w:tcBorders>
              <w:top w:val="single" w:sz="8" w:color="auto"/>
              <w:right w:val="single" w:sz="8" w:color="auto"/>
            </w:tcBorders>
          </w:tcPr>
          <w:p>
            <w:pPr>
              <w:jc w:val="right"/>
              <w:ind w:right="119"/>
              <w:spacing w:after="0" w:line="175" w:lineRule="exact"/>
              <w:rPr>
                <w:sz w:val="20"/>
                <w:szCs w:val="20"/>
                <w:color w:val="auto"/>
              </w:rPr>
            </w:pPr>
            <w:r>
              <w:rPr>
                <w:rFonts w:ascii="Arial" w:cs="Arial" w:eastAsia="Arial" w:hAnsi="Arial"/>
                <w:sz w:val="16"/>
                <w:szCs w:val="16"/>
                <w:b w:val="1"/>
                <w:bCs w:val="1"/>
                <w:color w:val="auto"/>
              </w:rPr>
              <w:t>Segment Adjusted Operating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20" w:type="dxa"/>
            <w:vAlign w:val="bottom"/>
            <w:tcBorders>
              <w:right w:val="single" w:sz="8" w:color="auto"/>
            </w:tcBorders>
            <w:gridSpan w:val="2"/>
            <w:vMerge w:val="continue"/>
          </w:tcPr>
          <w:p>
            <w:pPr>
              <w:spacing w:after="0"/>
              <w:rPr>
                <w:sz w:val="15"/>
                <w:szCs w:val="15"/>
                <w:color w:val="auto"/>
              </w:rPr>
            </w:pPr>
          </w:p>
        </w:tc>
        <w:tc>
          <w:tcPr>
            <w:tcW w:w="2100" w:type="dxa"/>
            <w:vAlign w:val="bottom"/>
            <w:tcBorders>
              <w:right w:val="single" w:sz="8" w:color="auto"/>
            </w:tcBorders>
            <w:vMerge w:val="continue"/>
          </w:tcPr>
          <w:p>
            <w:pPr>
              <w:spacing w:after="0"/>
              <w:rPr>
                <w:sz w:val="15"/>
                <w:szCs w:val="15"/>
                <w:color w:val="auto"/>
              </w:rPr>
            </w:pPr>
          </w:p>
        </w:tc>
        <w:tc>
          <w:tcPr>
            <w:tcW w:w="2020" w:type="dxa"/>
            <w:vAlign w:val="bottom"/>
            <w:tcBorders>
              <w:right w:val="single" w:sz="8" w:color="auto"/>
            </w:tcBorders>
          </w:tcPr>
          <w:p>
            <w:pPr>
              <w:ind w:left="300"/>
              <w:spacing w:after="0" w:line="175" w:lineRule="exact"/>
              <w:rPr>
                <w:sz w:val="20"/>
                <w:szCs w:val="20"/>
                <w:color w:val="auto"/>
              </w:rPr>
            </w:pPr>
            <w:r>
              <w:rPr>
                <w:rFonts w:ascii="Arial" w:cs="Arial" w:eastAsia="Arial" w:hAnsi="Arial"/>
                <w:sz w:val="16"/>
                <w:szCs w:val="16"/>
                <w:b w:val="1"/>
                <w:bCs w:val="1"/>
                <w:color w:val="auto"/>
              </w:rPr>
              <w:t>Operating EBITDA</w:t>
            </w:r>
          </w:p>
        </w:tc>
        <w:tc>
          <w:tcPr>
            <w:tcW w:w="10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EBITDA Margin</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 Change - Reported</w:t>
            </w:r>
          </w:p>
        </w:tc>
        <w:tc>
          <w:tcPr>
            <w:tcW w:w="2100" w:type="dxa"/>
            <w:vAlign w:val="bottom"/>
            <w:tcBorders>
              <w:right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5%</w:t>
            </w:r>
          </w:p>
        </w:tc>
        <w:tc>
          <w:tcPr>
            <w:tcW w:w="20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00" w:type="dxa"/>
            <w:vAlign w:val="bottom"/>
            <w:tcBorders>
              <w:right w:val="single" w:sz="8" w:color="auto"/>
            </w:tcBorders>
            <w:shd w:val="clear" w:color="auto" w:fill="CCEEFF"/>
          </w:tcPr>
          <w:p>
            <w:pPr>
              <w:spacing w:after="0"/>
              <w:rPr>
                <w:sz w:val="18"/>
                <w:szCs w:val="18"/>
                <w:color w:val="auto"/>
              </w:rPr>
            </w:pPr>
          </w:p>
        </w:tc>
        <w:tc>
          <w:tcPr>
            <w:tcW w:w="2600" w:type="dxa"/>
            <w:vAlign w:val="bottom"/>
            <w:tcBorders>
              <w:right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tcBorders>
              <w:right w:val="single" w:sz="8" w:color="auto"/>
            </w:tcBorders>
            <w:gridSpan w:val="2"/>
          </w:tcPr>
          <w:p>
            <w:pPr>
              <w:ind w:left="340"/>
              <w:spacing w:after="0"/>
              <w:rPr>
                <w:sz w:val="20"/>
                <w:szCs w:val="20"/>
                <w:color w:val="auto"/>
              </w:rPr>
            </w:pPr>
            <w:r>
              <w:rPr>
                <w:rFonts w:ascii="Arial" w:cs="Arial" w:eastAsia="Arial" w:hAnsi="Arial"/>
                <w:sz w:val="16"/>
                <w:szCs w:val="16"/>
                <w:color w:val="auto"/>
              </w:rPr>
              <w:t>Portfolio Impact</w:t>
            </w:r>
          </w:p>
        </w:tc>
        <w:tc>
          <w:tcPr>
            <w:tcW w:w="2100" w:type="dxa"/>
            <w:vAlign w:val="bottom"/>
            <w:tcBorders>
              <w:right w:val="single" w:sz="8" w:color="auto"/>
            </w:tcBorders>
          </w:tcPr>
          <w:p>
            <w:pPr>
              <w:jc w:val="right"/>
              <w:ind w:right="899"/>
              <w:spacing w:after="0"/>
              <w:rPr>
                <w:sz w:val="20"/>
                <w:szCs w:val="20"/>
                <w:color w:val="auto"/>
              </w:rPr>
            </w:pPr>
            <w:r>
              <w:rPr>
                <w:rFonts w:ascii="Arial" w:cs="Arial" w:eastAsia="Arial" w:hAnsi="Arial"/>
                <w:sz w:val="16"/>
                <w:szCs w:val="16"/>
                <w:color w:val="auto"/>
              </w:rPr>
              <w:t>2%</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w:t>
            </w:r>
          </w:p>
        </w:tc>
        <w:tc>
          <w:tcPr>
            <w:tcW w:w="1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right"/>
              <w:ind w:right="1059"/>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4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 Change - Comparable</w:t>
            </w:r>
          </w:p>
        </w:tc>
        <w:tc>
          <w:tcPr>
            <w:tcW w:w="2100" w:type="dxa"/>
            <w:vAlign w:val="bottom"/>
            <w:tcBorders>
              <w:right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8%</w:t>
            </w:r>
          </w:p>
        </w:tc>
        <w:tc>
          <w:tcPr>
            <w:tcW w:w="20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100" w:type="dxa"/>
            <w:vAlign w:val="bottom"/>
            <w:tcBorders>
              <w:right w:val="single" w:sz="8" w:color="auto"/>
            </w:tcBorders>
            <w:shd w:val="clear" w:color="auto" w:fill="CCEEFF"/>
          </w:tcPr>
          <w:p>
            <w:pPr>
              <w:spacing w:after="0"/>
              <w:rPr>
                <w:sz w:val="18"/>
                <w:szCs w:val="18"/>
                <w:color w:val="auto"/>
              </w:rPr>
            </w:pPr>
          </w:p>
        </w:tc>
        <w:tc>
          <w:tcPr>
            <w:tcW w:w="2600" w:type="dxa"/>
            <w:vAlign w:val="bottom"/>
            <w:tcBorders>
              <w:right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tcBorders>
              <w:right w:val="single" w:sz="8" w:color="auto"/>
            </w:tcBorders>
            <w:gridSpan w:val="2"/>
          </w:tcPr>
          <w:p>
            <w:pPr>
              <w:ind w:left="340"/>
              <w:spacing w:after="0"/>
              <w:rPr>
                <w:sz w:val="20"/>
                <w:szCs w:val="20"/>
                <w:color w:val="auto"/>
              </w:rPr>
            </w:pPr>
            <w:r>
              <w:rPr>
                <w:rFonts w:ascii="Arial" w:cs="Arial" w:eastAsia="Arial" w:hAnsi="Arial"/>
                <w:sz w:val="16"/>
                <w:szCs w:val="16"/>
                <w:color w:val="auto"/>
              </w:rPr>
              <w:t>Currency Impact</w:t>
            </w:r>
          </w:p>
        </w:tc>
        <w:tc>
          <w:tcPr>
            <w:tcW w:w="2100" w:type="dxa"/>
            <w:vAlign w:val="bottom"/>
            <w:tcBorders>
              <w:right w:val="single" w:sz="8" w:color="auto"/>
            </w:tcBorders>
          </w:tcPr>
          <w:p>
            <w:pPr>
              <w:jc w:val="right"/>
              <w:ind w:right="859"/>
              <w:spacing w:after="0"/>
              <w:rPr>
                <w:sz w:val="20"/>
                <w:szCs w:val="20"/>
                <w:color w:val="auto"/>
              </w:rPr>
            </w:pPr>
            <w:r>
              <w:rPr>
                <w:rFonts w:ascii="Arial" w:cs="Arial" w:eastAsia="Arial" w:hAnsi="Arial"/>
                <w:sz w:val="16"/>
                <w:szCs w:val="16"/>
                <w:color w:val="auto"/>
              </w:rPr>
              <w:t>(5)%</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w:t>
            </w:r>
          </w:p>
        </w:tc>
        <w:tc>
          <w:tcPr>
            <w:tcW w:w="1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right"/>
              <w:ind w:right="105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4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 Change - Currency Neutral</w:t>
            </w:r>
          </w:p>
        </w:tc>
        <w:tc>
          <w:tcPr>
            <w:tcW w:w="2100" w:type="dxa"/>
            <w:vAlign w:val="bottom"/>
            <w:tcBorders>
              <w:bottom w:val="single" w:sz="8" w:color="auto"/>
              <w:right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3%</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12%</w:t>
            </w:r>
          </w:p>
        </w:tc>
        <w:tc>
          <w:tcPr>
            <w:tcW w:w="100" w:type="dxa"/>
            <w:vAlign w:val="bottom"/>
            <w:tcBorders>
              <w:right w:val="single" w:sz="8" w:color="auto"/>
            </w:tcBorders>
            <w:shd w:val="clear" w:color="auto" w:fill="CCEEFF"/>
          </w:tcPr>
          <w:p>
            <w:pPr>
              <w:spacing w:after="0"/>
              <w:rPr>
                <w:sz w:val="18"/>
                <w:szCs w:val="18"/>
                <w:color w:val="auto"/>
              </w:rPr>
            </w:pPr>
          </w:p>
        </w:tc>
        <w:tc>
          <w:tcPr>
            <w:tcW w:w="2600" w:type="dxa"/>
            <w:vAlign w:val="bottom"/>
            <w:tcBorders>
              <w:bottom w:val="single" w:sz="8" w:color="auto"/>
              <w:right w:val="single" w:sz="8" w:color="auto"/>
            </w:tcBorders>
            <w:shd w:val="clear" w:color="auto" w:fill="CCEEFF"/>
          </w:tcPr>
          <w:p>
            <w:pPr>
              <w:jc w:val="right"/>
              <w:ind w:right="105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4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Q1 2026 Health &amp; Biosciences</w:t>
            </w:r>
          </w:p>
        </w:tc>
        <w:tc>
          <w:tcPr>
            <w:tcW w:w="2100" w:type="dxa"/>
            <w:vAlign w:val="bottom"/>
            <w:tcBorders>
              <w:top w:val="single" w:sz="8" w:color="auto"/>
              <w:right w:val="single" w:sz="8" w:color="auto"/>
            </w:tcBorders>
            <w:vMerge w:val="restart"/>
          </w:tcPr>
          <w:p>
            <w:pPr>
              <w:ind w:left="780"/>
              <w:spacing w:after="0"/>
              <w:rPr>
                <w:sz w:val="20"/>
                <w:szCs w:val="20"/>
                <w:color w:val="auto"/>
              </w:rPr>
            </w:pPr>
            <w:r>
              <w:rPr>
                <w:rFonts w:ascii="Arial" w:cs="Arial" w:eastAsia="Arial" w:hAnsi="Arial"/>
                <w:sz w:val="16"/>
                <w:szCs w:val="16"/>
                <w:b w:val="1"/>
                <w:bCs w:val="1"/>
                <w:color w:val="auto"/>
              </w:rPr>
              <w:t>Sales</w:t>
            </w:r>
          </w:p>
        </w:tc>
        <w:tc>
          <w:tcPr>
            <w:tcW w:w="2020" w:type="dxa"/>
            <w:vAlign w:val="bottom"/>
            <w:tcBorders>
              <w:top w:val="single" w:sz="8" w:color="auto"/>
              <w:right w:val="single" w:sz="8" w:color="auto"/>
            </w:tcBorders>
          </w:tcPr>
          <w:p>
            <w:pPr>
              <w:ind w:left="300"/>
              <w:spacing w:after="0" w:line="175" w:lineRule="exact"/>
              <w:rPr>
                <w:sz w:val="20"/>
                <w:szCs w:val="20"/>
                <w:color w:val="auto"/>
              </w:rPr>
            </w:pPr>
            <w:r>
              <w:rPr>
                <w:rFonts w:ascii="Arial" w:cs="Arial" w:eastAsia="Arial" w:hAnsi="Arial"/>
                <w:sz w:val="16"/>
                <w:szCs w:val="16"/>
                <w:b w:val="1"/>
                <w:bCs w:val="1"/>
                <w:color w:val="auto"/>
              </w:rPr>
              <w:t>Segment Adjusted</w:t>
            </w:r>
          </w:p>
        </w:tc>
        <w:tc>
          <w:tcPr>
            <w:tcW w:w="100" w:type="dxa"/>
            <w:vAlign w:val="bottom"/>
            <w:tcBorders>
              <w:right w:val="single" w:sz="8" w:color="auto"/>
            </w:tcBorders>
          </w:tcPr>
          <w:p>
            <w:pPr>
              <w:spacing w:after="0"/>
              <w:rPr>
                <w:sz w:val="15"/>
                <w:szCs w:val="15"/>
                <w:color w:val="auto"/>
              </w:rPr>
            </w:pPr>
          </w:p>
        </w:tc>
        <w:tc>
          <w:tcPr>
            <w:tcW w:w="2600" w:type="dxa"/>
            <w:vAlign w:val="bottom"/>
            <w:tcBorders>
              <w:top w:val="single" w:sz="8" w:color="auto"/>
              <w:right w:val="single" w:sz="8" w:color="auto"/>
            </w:tcBorders>
          </w:tcPr>
          <w:p>
            <w:pPr>
              <w:jc w:val="right"/>
              <w:ind w:right="119"/>
              <w:spacing w:after="0" w:line="175" w:lineRule="exact"/>
              <w:rPr>
                <w:sz w:val="20"/>
                <w:szCs w:val="20"/>
                <w:color w:val="auto"/>
              </w:rPr>
            </w:pPr>
            <w:r>
              <w:rPr>
                <w:rFonts w:ascii="Arial" w:cs="Arial" w:eastAsia="Arial" w:hAnsi="Arial"/>
                <w:sz w:val="16"/>
                <w:szCs w:val="16"/>
                <w:b w:val="1"/>
                <w:bCs w:val="1"/>
                <w:color w:val="auto"/>
              </w:rPr>
              <w:t>Segment Adjusted Operating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20" w:type="dxa"/>
            <w:vAlign w:val="bottom"/>
            <w:tcBorders>
              <w:right w:val="single" w:sz="8" w:color="auto"/>
            </w:tcBorders>
            <w:gridSpan w:val="2"/>
            <w:vMerge w:val="continue"/>
          </w:tcPr>
          <w:p>
            <w:pPr>
              <w:spacing w:after="0"/>
              <w:rPr>
                <w:sz w:val="15"/>
                <w:szCs w:val="15"/>
                <w:color w:val="auto"/>
              </w:rPr>
            </w:pPr>
          </w:p>
        </w:tc>
        <w:tc>
          <w:tcPr>
            <w:tcW w:w="2100" w:type="dxa"/>
            <w:vAlign w:val="bottom"/>
            <w:tcBorders>
              <w:right w:val="single" w:sz="8" w:color="auto"/>
            </w:tcBorders>
            <w:vMerge w:val="continue"/>
          </w:tcPr>
          <w:p>
            <w:pPr>
              <w:spacing w:after="0"/>
              <w:rPr>
                <w:sz w:val="15"/>
                <w:szCs w:val="15"/>
                <w:color w:val="auto"/>
              </w:rPr>
            </w:pPr>
          </w:p>
        </w:tc>
        <w:tc>
          <w:tcPr>
            <w:tcW w:w="2020" w:type="dxa"/>
            <w:vAlign w:val="bottom"/>
            <w:tcBorders>
              <w:right w:val="single" w:sz="8" w:color="auto"/>
            </w:tcBorders>
          </w:tcPr>
          <w:p>
            <w:pPr>
              <w:ind w:left="300"/>
              <w:spacing w:after="0" w:line="175" w:lineRule="exact"/>
              <w:rPr>
                <w:sz w:val="20"/>
                <w:szCs w:val="20"/>
                <w:color w:val="auto"/>
              </w:rPr>
            </w:pPr>
            <w:r>
              <w:rPr>
                <w:rFonts w:ascii="Arial" w:cs="Arial" w:eastAsia="Arial" w:hAnsi="Arial"/>
                <w:sz w:val="16"/>
                <w:szCs w:val="16"/>
                <w:b w:val="1"/>
                <w:bCs w:val="1"/>
                <w:color w:val="auto"/>
              </w:rPr>
              <w:t>Operating EBITDA</w:t>
            </w:r>
          </w:p>
        </w:tc>
        <w:tc>
          <w:tcPr>
            <w:tcW w:w="10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EBITDA Margin</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2220" w:type="dxa"/>
            <w:vAlign w:val="bottom"/>
            <w:tcBorders>
              <w:bottom w:val="single" w:sz="8" w:color="CCEEFF"/>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 Change - Reported</w:t>
            </w:r>
          </w:p>
        </w:tc>
        <w:tc>
          <w:tcPr>
            <w:tcW w:w="2100" w:type="dxa"/>
            <w:vAlign w:val="bottom"/>
            <w:tcBorders>
              <w:right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color w:val="auto"/>
                <w:w w:val="99"/>
              </w:rPr>
              <w:t>10%</w:t>
            </w:r>
          </w:p>
        </w:tc>
        <w:tc>
          <w:tcPr>
            <w:tcW w:w="20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11%</w:t>
            </w:r>
          </w:p>
        </w:tc>
        <w:tc>
          <w:tcPr>
            <w:tcW w:w="100" w:type="dxa"/>
            <w:vAlign w:val="bottom"/>
            <w:tcBorders>
              <w:right w:val="single" w:sz="8" w:color="auto"/>
            </w:tcBorders>
            <w:shd w:val="clear" w:color="auto" w:fill="CCEEFF"/>
          </w:tcPr>
          <w:p>
            <w:pPr>
              <w:spacing w:after="0"/>
              <w:rPr>
                <w:sz w:val="18"/>
                <w:szCs w:val="18"/>
                <w:color w:val="auto"/>
              </w:rPr>
            </w:pPr>
          </w:p>
        </w:tc>
        <w:tc>
          <w:tcPr>
            <w:tcW w:w="2600" w:type="dxa"/>
            <w:vAlign w:val="bottom"/>
            <w:tcBorders>
              <w:right w:val="single" w:sz="8" w:color="auto"/>
            </w:tcBorders>
            <w:shd w:val="clear" w:color="auto" w:fill="CCEEFF"/>
          </w:tcPr>
          <w:p>
            <w:pPr>
              <w:jc w:val="right"/>
              <w:ind w:right="105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tcBorders>
              <w:right w:val="single" w:sz="8" w:color="auto"/>
            </w:tcBorders>
            <w:gridSpan w:val="2"/>
          </w:tcPr>
          <w:p>
            <w:pPr>
              <w:ind w:left="340"/>
              <w:spacing w:after="0"/>
              <w:rPr>
                <w:sz w:val="20"/>
                <w:szCs w:val="20"/>
                <w:color w:val="auto"/>
              </w:rPr>
            </w:pPr>
            <w:r>
              <w:rPr>
                <w:rFonts w:ascii="Arial" w:cs="Arial" w:eastAsia="Arial" w:hAnsi="Arial"/>
                <w:sz w:val="16"/>
                <w:szCs w:val="16"/>
                <w:color w:val="auto"/>
              </w:rPr>
              <w:t>Portfolio Impact</w:t>
            </w:r>
          </w:p>
        </w:tc>
        <w:tc>
          <w:tcPr>
            <w:tcW w:w="210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rPr>
              <w:t>0%</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w:t>
            </w:r>
          </w:p>
        </w:tc>
        <w:tc>
          <w:tcPr>
            <w:tcW w:w="1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right"/>
              <w:ind w:right="105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4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 Change - Comparable</w:t>
            </w:r>
          </w:p>
        </w:tc>
        <w:tc>
          <w:tcPr>
            <w:tcW w:w="2100" w:type="dxa"/>
            <w:vAlign w:val="bottom"/>
            <w:tcBorders>
              <w:right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color w:val="auto"/>
                <w:w w:val="99"/>
              </w:rPr>
              <w:t>10%</w:t>
            </w:r>
          </w:p>
        </w:tc>
        <w:tc>
          <w:tcPr>
            <w:tcW w:w="20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13%</w:t>
            </w:r>
          </w:p>
        </w:tc>
        <w:tc>
          <w:tcPr>
            <w:tcW w:w="100" w:type="dxa"/>
            <w:vAlign w:val="bottom"/>
            <w:tcBorders>
              <w:right w:val="single" w:sz="8" w:color="auto"/>
            </w:tcBorders>
            <w:shd w:val="clear" w:color="auto" w:fill="CCEEFF"/>
          </w:tcPr>
          <w:p>
            <w:pPr>
              <w:spacing w:after="0"/>
              <w:rPr>
                <w:sz w:val="18"/>
                <w:szCs w:val="18"/>
                <w:color w:val="auto"/>
              </w:rPr>
            </w:pPr>
          </w:p>
        </w:tc>
        <w:tc>
          <w:tcPr>
            <w:tcW w:w="2600" w:type="dxa"/>
            <w:vAlign w:val="bottom"/>
            <w:tcBorders>
              <w:right w:val="single" w:sz="8" w:color="auto"/>
            </w:tcBorders>
            <w:shd w:val="clear" w:color="auto" w:fill="CCEEFF"/>
          </w:tcPr>
          <w:p>
            <w:pPr>
              <w:jc w:val="right"/>
              <w:ind w:right="105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tcBorders>
              <w:right w:val="single" w:sz="8" w:color="auto"/>
            </w:tcBorders>
            <w:gridSpan w:val="2"/>
          </w:tcPr>
          <w:p>
            <w:pPr>
              <w:ind w:left="340"/>
              <w:spacing w:after="0"/>
              <w:rPr>
                <w:sz w:val="20"/>
                <w:szCs w:val="20"/>
                <w:color w:val="auto"/>
              </w:rPr>
            </w:pPr>
            <w:r>
              <w:rPr>
                <w:rFonts w:ascii="Arial" w:cs="Arial" w:eastAsia="Arial" w:hAnsi="Arial"/>
                <w:sz w:val="16"/>
                <w:szCs w:val="16"/>
                <w:color w:val="auto"/>
              </w:rPr>
              <w:t>Currency Impact</w:t>
            </w:r>
          </w:p>
        </w:tc>
        <w:tc>
          <w:tcPr>
            <w:tcW w:w="210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rPr>
              <w:t>(5)%</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w:t>
            </w:r>
          </w:p>
        </w:tc>
        <w:tc>
          <w:tcPr>
            <w:tcW w:w="1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right"/>
              <w:ind w:right="99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4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 Change - Currency Neutral</w:t>
            </w:r>
          </w:p>
        </w:tc>
        <w:tc>
          <w:tcPr>
            <w:tcW w:w="2100" w:type="dxa"/>
            <w:vAlign w:val="bottom"/>
            <w:tcBorders>
              <w:bottom w:val="single" w:sz="8" w:color="auto"/>
              <w:right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color w:val="auto"/>
              </w:rPr>
              <w:t>5%</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100" w:type="dxa"/>
            <w:vAlign w:val="bottom"/>
            <w:tcBorders>
              <w:right w:val="single" w:sz="8" w:color="auto"/>
            </w:tcBorders>
            <w:shd w:val="clear" w:color="auto" w:fill="CCEEFF"/>
          </w:tcPr>
          <w:p>
            <w:pPr>
              <w:spacing w:after="0"/>
              <w:rPr>
                <w:sz w:val="18"/>
                <w:szCs w:val="18"/>
                <w:color w:val="auto"/>
              </w:rPr>
            </w:pPr>
          </w:p>
        </w:tc>
        <w:tc>
          <w:tcPr>
            <w:tcW w:w="2600" w:type="dxa"/>
            <w:vAlign w:val="bottom"/>
            <w:tcBorders>
              <w:bottom w:val="single" w:sz="8" w:color="auto"/>
              <w:right w:val="single" w:sz="8" w:color="auto"/>
            </w:tcBorders>
            <w:shd w:val="clear" w:color="auto" w:fill="CCEEFF"/>
          </w:tcPr>
          <w:p>
            <w:pPr>
              <w:jc w:val="right"/>
              <w:ind w:right="105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4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Q1 2026 Scent</w:t>
            </w:r>
          </w:p>
        </w:tc>
        <w:tc>
          <w:tcPr>
            <w:tcW w:w="2100" w:type="dxa"/>
            <w:vAlign w:val="bottom"/>
            <w:tcBorders>
              <w:top w:val="single" w:sz="8" w:color="auto"/>
              <w:right w:val="single" w:sz="8" w:color="auto"/>
            </w:tcBorders>
            <w:vMerge w:val="restart"/>
          </w:tcPr>
          <w:p>
            <w:pPr>
              <w:jc w:val="right"/>
              <w:ind w:right="819"/>
              <w:spacing w:after="0"/>
              <w:rPr>
                <w:sz w:val="20"/>
                <w:szCs w:val="20"/>
                <w:color w:val="auto"/>
              </w:rPr>
            </w:pPr>
            <w:r>
              <w:rPr>
                <w:rFonts w:ascii="Arial" w:cs="Arial" w:eastAsia="Arial" w:hAnsi="Arial"/>
                <w:sz w:val="16"/>
                <w:szCs w:val="16"/>
                <w:b w:val="1"/>
                <w:bCs w:val="1"/>
                <w:color w:val="auto"/>
              </w:rPr>
              <w:t>Sales</w:t>
            </w:r>
          </w:p>
        </w:tc>
        <w:tc>
          <w:tcPr>
            <w:tcW w:w="2020" w:type="dxa"/>
            <w:vAlign w:val="bottom"/>
            <w:tcBorders>
              <w:top w:val="single" w:sz="8" w:color="auto"/>
              <w:right w:val="single" w:sz="8" w:color="auto"/>
            </w:tcBorders>
          </w:tcPr>
          <w:p>
            <w:pPr>
              <w:jc w:val="right"/>
              <w:ind w:right="219"/>
              <w:spacing w:after="0" w:line="175" w:lineRule="exact"/>
              <w:rPr>
                <w:sz w:val="20"/>
                <w:szCs w:val="20"/>
                <w:color w:val="auto"/>
              </w:rPr>
            </w:pPr>
            <w:r>
              <w:rPr>
                <w:rFonts w:ascii="Arial" w:cs="Arial" w:eastAsia="Arial" w:hAnsi="Arial"/>
                <w:sz w:val="16"/>
                <w:szCs w:val="16"/>
                <w:b w:val="1"/>
                <w:bCs w:val="1"/>
                <w:color w:val="auto"/>
              </w:rPr>
              <w:t>Segment Adjusted</w:t>
            </w:r>
          </w:p>
        </w:tc>
        <w:tc>
          <w:tcPr>
            <w:tcW w:w="100" w:type="dxa"/>
            <w:vAlign w:val="bottom"/>
            <w:tcBorders>
              <w:right w:val="single" w:sz="8" w:color="auto"/>
            </w:tcBorders>
          </w:tcPr>
          <w:p>
            <w:pPr>
              <w:spacing w:after="0"/>
              <w:rPr>
                <w:sz w:val="15"/>
                <w:szCs w:val="15"/>
                <w:color w:val="auto"/>
              </w:rPr>
            </w:pPr>
          </w:p>
        </w:tc>
        <w:tc>
          <w:tcPr>
            <w:tcW w:w="2600" w:type="dxa"/>
            <w:vAlign w:val="bottom"/>
            <w:tcBorders>
              <w:top w:val="single" w:sz="8" w:color="auto"/>
              <w:right w:val="single" w:sz="8" w:color="auto"/>
            </w:tcBorders>
          </w:tcPr>
          <w:p>
            <w:pPr>
              <w:jc w:val="right"/>
              <w:ind w:right="119"/>
              <w:spacing w:after="0" w:line="175" w:lineRule="exact"/>
              <w:rPr>
                <w:sz w:val="20"/>
                <w:szCs w:val="20"/>
                <w:color w:val="auto"/>
              </w:rPr>
            </w:pPr>
            <w:r>
              <w:rPr>
                <w:rFonts w:ascii="Arial" w:cs="Arial" w:eastAsia="Arial" w:hAnsi="Arial"/>
                <w:sz w:val="16"/>
                <w:szCs w:val="16"/>
                <w:b w:val="1"/>
                <w:bCs w:val="1"/>
                <w:color w:val="auto"/>
              </w:rPr>
              <w:t>Segment Adjusted Operating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20" w:type="dxa"/>
            <w:vAlign w:val="bottom"/>
            <w:tcBorders>
              <w:right w:val="single" w:sz="8" w:color="auto"/>
            </w:tcBorders>
            <w:gridSpan w:val="2"/>
            <w:vMerge w:val="continue"/>
          </w:tcPr>
          <w:p>
            <w:pPr>
              <w:spacing w:after="0"/>
              <w:rPr>
                <w:sz w:val="15"/>
                <w:szCs w:val="15"/>
                <w:color w:val="auto"/>
              </w:rPr>
            </w:pPr>
          </w:p>
        </w:tc>
        <w:tc>
          <w:tcPr>
            <w:tcW w:w="2100" w:type="dxa"/>
            <w:vAlign w:val="bottom"/>
            <w:tcBorders>
              <w:right w:val="single" w:sz="8" w:color="auto"/>
            </w:tcBorders>
            <w:vMerge w:val="continue"/>
          </w:tcPr>
          <w:p>
            <w:pPr>
              <w:spacing w:after="0"/>
              <w:rPr>
                <w:sz w:val="15"/>
                <w:szCs w:val="15"/>
                <w:color w:val="auto"/>
              </w:rPr>
            </w:pPr>
          </w:p>
        </w:tc>
        <w:tc>
          <w:tcPr>
            <w:tcW w:w="2020" w:type="dxa"/>
            <w:vAlign w:val="bottom"/>
            <w:tcBorders>
              <w:right w:val="single" w:sz="8" w:color="auto"/>
            </w:tcBorders>
          </w:tcPr>
          <w:p>
            <w:pPr>
              <w:jc w:val="right"/>
              <w:ind w:right="239"/>
              <w:spacing w:after="0" w:line="175" w:lineRule="exact"/>
              <w:rPr>
                <w:sz w:val="20"/>
                <w:szCs w:val="20"/>
                <w:color w:val="auto"/>
              </w:rPr>
            </w:pPr>
            <w:r>
              <w:rPr>
                <w:rFonts w:ascii="Arial" w:cs="Arial" w:eastAsia="Arial" w:hAnsi="Arial"/>
                <w:sz w:val="16"/>
                <w:szCs w:val="16"/>
                <w:b w:val="1"/>
                <w:bCs w:val="1"/>
                <w:color w:val="auto"/>
              </w:rPr>
              <w:t>Operating EBITDA</w:t>
            </w:r>
          </w:p>
        </w:tc>
        <w:tc>
          <w:tcPr>
            <w:tcW w:w="10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jc w:val="right"/>
              <w:ind w:right="639"/>
              <w:spacing w:after="0" w:line="175" w:lineRule="exact"/>
              <w:rPr>
                <w:sz w:val="20"/>
                <w:szCs w:val="20"/>
                <w:color w:val="auto"/>
              </w:rPr>
            </w:pPr>
            <w:r>
              <w:rPr>
                <w:rFonts w:ascii="Arial" w:cs="Arial" w:eastAsia="Arial" w:hAnsi="Arial"/>
                <w:sz w:val="16"/>
                <w:szCs w:val="16"/>
                <w:b w:val="1"/>
                <w:bCs w:val="1"/>
                <w:color w:val="auto"/>
              </w:rPr>
              <w:t>EBITDA Margin</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 Change - Reported</w:t>
            </w:r>
          </w:p>
        </w:tc>
        <w:tc>
          <w:tcPr>
            <w:tcW w:w="2100" w:type="dxa"/>
            <w:vAlign w:val="bottom"/>
            <w:tcBorders>
              <w:right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6%</w:t>
            </w:r>
          </w:p>
        </w:tc>
        <w:tc>
          <w:tcPr>
            <w:tcW w:w="2020" w:type="dxa"/>
            <w:vAlign w:val="bottom"/>
            <w:tcBorders>
              <w:right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3%</w:t>
            </w:r>
          </w:p>
        </w:tc>
        <w:tc>
          <w:tcPr>
            <w:tcW w:w="100" w:type="dxa"/>
            <w:vAlign w:val="bottom"/>
            <w:tcBorders>
              <w:right w:val="single" w:sz="8" w:color="auto"/>
            </w:tcBorders>
            <w:shd w:val="clear" w:color="auto" w:fill="CCEEFF"/>
          </w:tcPr>
          <w:p>
            <w:pPr>
              <w:spacing w:after="0"/>
              <w:rPr>
                <w:sz w:val="18"/>
                <w:szCs w:val="18"/>
                <w:color w:val="auto"/>
              </w:rPr>
            </w:pPr>
          </w:p>
        </w:tc>
        <w:tc>
          <w:tcPr>
            <w:tcW w:w="2600" w:type="dxa"/>
            <w:vAlign w:val="bottom"/>
            <w:tcBorders>
              <w:right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tcBorders>
              <w:right w:val="single" w:sz="8" w:color="auto"/>
            </w:tcBorders>
            <w:gridSpan w:val="2"/>
          </w:tcPr>
          <w:p>
            <w:pPr>
              <w:ind w:left="340"/>
              <w:spacing w:after="0"/>
              <w:rPr>
                <w:sz w:val="20"/>
                <w:szCs w:val="20"/>
                <w:color w:val="auto"/>
              </w:rPr>
            </w:pPr>
            <w:r>
              <w:rPr>
                <w:rFonts w:ascii="Arial" w:cs="Arial" w:eastAsia="Arial" w:hAnsi="Arial"/>
                <w:sz w:val="16"/>
                <w:szCs w:val="16"/>
                <w:color w:val="auto"/>
              </w:rPr>
              <w:t>Portfolio Impact</w:t>
            </w:r>
          </w:p>
        </w:tc>
        <w:tc>
          <w:tcPr>
            <w:tcW w:w="2100" w:type="dxa"/>
            <w:vAlign w:val="bottom"/>
            <w:tcBorders>
              <w:right w:val="single" w:sz="8" w:color="auto"/>
            </w:tcBorders>
          </w:tcPr>
          <w:p>
            <w:pPr>
              <w:jc w:val="right"/>
              <w:ind w:right="899"/>
              <w:spacing w:after="0"/>
              <w:rPr>
                <w:sz w:val="20"/>
                <w:szCs w:val="20"/>
                <w:color w:val="auto"/>
              </w:rPr>
            </w:pPr>
            <w:r>
              <w:rPr>
                <w:rFonts w:ascii="Arial" w:cs="Arial" w:eastAsia="Arial" w:hAnsi="Arial"/>
                <w:sz w:val="16"/>
                <w:szCs w:val="16"/>
                <w:color w:val="auto"/>
              </w:rPr>
              <w:t>0%</w:t>
            </w:r>
          </w:p>
        </w:tc>
        <w:tc>
          <w:tcPr>
            <w:tcW w:w="2020" w:type="dxa"/>
            <w:vAlign w:val="bottom"/>
            <w:tcBorders>
              <w:right w:val="single" w:sz="8" w:color="auto"/>
            </w:tcBorders>
          </w:tcPr>
          <w:p>
            <w:pPr>
              <w:jc w:val="right"/>
              <w:ind w:right="819"/>
              <w:spacing w:after="0"/>
              <w:rPr>
                <w:sz w:val="20"/>
                <w:szCs w:val="20"/>
                <w:color w:val="auto"/>
              </w:rPr>
            </w:pPr>
            <w:r>
              <w:rPr>
                <w:rFonts w:ascii="Arial" w:cs="Arial" w:eastAsia="Arial" w:hAnsi="Arial"/>
                <w:sz w:val="16"/>
                <w:szCs w:val="16"/>
                <w:color w:val="auto"/>
              </w:rPr>
              <w:t>2%</w:t>
            </w:r>
          </w:p>
        </w:tc>
        <w:tc>
          <w:tcPr>
            <w:tcW w:w="1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right"/>
              <w:ind w:right="105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4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 Change - Comparable</w:t>
            </w:r>
          </w:p>
        </w:tc>
        <w:tc>
          <w:tcPr>
            <w:tcW w:w="2100" w:type="dxa"/>
            <w:vAlign w:val="bottom"/>
            <w:tcBorders>
              <w:right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6%</w:t>
            </w:r>
          </w:p>
        </w:tc>
        <w:tc>
          <w:tcPr>
            <w:tcW w:w="2020" w:type="dxa"/>
            <w:vAlign w:val="bottom"/>
            <w:tcBorders>
              <w:right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5%</w:t>
            </w:r>
          </w:p>
        </w:tc>
        <w:tc>
          <w:tcPr>
            <w:tcW w:w="100" w:type="dxa"/>
            <w:vAlign w:val="bottom"/>
            <w:tcBorders>
              <w:right w:val="single" w:sz="8" w:color="auto"/>
            </w:tcBorders>
            <w:shd w:val="clear" w:color="auto" w:fill="CCEEFF"/>
          </w:tcPr>
          <w:p>
            <w:pPr>
              <w:spacing w:after="0"/>
              <w:rPr>
                <w:sz w:val="18"/>
                <w:szCs w:val="18"/>
                <w:color w:val="auto"/>
              </w:rPr>
            </w:pPr>
          </w:p>
        </w:tc>
        <w:tc>
          <w:tcPr>
            <w:tcW w:w="2600" w:type="dxa"/>
            <w:vAlign w:val="bottom"/>
            <w:tcBorders>
              <w:right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tcBorders>
              <w:right w:val="single" w:sz="8" w:color="auto"/>
            </w:tcBorders>
            <w:gridSpan w:val="2"/>
          </w:tcPr>
          <w:p>
            <w:pPr>
              <w:ind w:left="340"/>
              <w:spacing w:after="0"/>
              <w:rPr>
                <w:sz w:val="20"/>
                <w:szCs w:val="20"/>
                <w:color w:val="auto"/>
              </w:rPr>
            </w:pPr>
            <w:r>
              <w:rPr>
                <w:rFonts w:ascii="Arial" w:cs="Arial" w:eastAsia="Arial" w:hAnsi="Arial"/>
                <w:sz w:val="16"/>
                <w:szCs w:val="16"/>
                <w:color w:val="auto"/>
              </w:rPr>
              <w:t>Currency Impact</w:t>
            </w:r>
          </w:p>
        </w:tc>
        <w:tc>
          <w:tcPr>
            <w:tcW w:w="2100" w:type="dxa"/>
            <w:vAlign w:val="bottom"/>
            <w:tcBorders>
              <w:right w:val="single" w:sz="8" w:color="auto"/>
            </w:tcBorders>
          </w:tcPr>
          <w:p>
            <w:pPr>
              <w:jc w:val="right"/>
              <w:ind w:right="859"/>
              <w:spacing w:after="0"/>
              <w:rPr>
                <w:sz w:val="20"/>
                <w:szCs w:val="20"/>
                <w:color w:val="auto"/>
              </w:rPr>
            </w:pPr>
            <w:r>
              <w:rPr>
                <w:rFonts w:ascii="Arial" w:cs="Arial" w:eastAsia="Arial" w:hAnsi="Arial"/>
                <w:sz w:val="16"/>
                <w:szCs w:val="16"/>
                <w:color w:val="auto"/>
              </w:rPr>
              <w:t>(5)%</w:t>
            </w:r>
          </w:p>
        </w:tc>
        <w:tc>
          <w:tcPr>
            <w:tcW w:w="2020" w:type="dxa"/>
            <w:vAlign w:val="bottom"/>
            <w:tcBorders>
              <w:right w:val="single" w:sz="8" w:color="auto"/>
            </w:tcBorders>
          </w:tcPr>
          <w:p>
            <w:pPr>
              <w:jc w:val="right"/>
              <w:ind w:right="759"/>
              <w:spacing w:after="0"/>
              <w:rPr>
                <w:sz w:val="20"/>
                <w:szCs w:val="20"/>
                <w:color w:val="auto"/>
              </w:rPr>
            </w:pPr>
            <w:r>
              <w:rPr>
                <w:rFonts w:ascii="Arial" w:cs="Arial" w:eastAsia="Arial" w:hAnsi="Arial"/>
                <w:sz w:val="16"/>
                <w:szCs w:val="16"/>
                <w:color w:val="auto"/>
              </w:rPr>
              <w:t>(7)%</w:t>
            </w:r>
          </w:p>
        </w:tc>
        <w:tc>
          <w:tcPr>
            <w:tcW w:w="1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right"/>
              <w:ind w:right="99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4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 Change - Currency Neutral</w:t>
            </w:r>
          </w:p>
        </w:tc>
        <w:tc>
          <w:tcPr>
            <w:tcW w:w="2100" w:type="dxa"/>
            <w:vAlign w:val="bottom"/>
            <w:tcBorders>
              <w:bottom w:val="single" w:sz="8" w:color="auto"/>
              <w:right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1%</w:t>
            </w:r>
          </w:p>
        </w:tc>
        <w:tc>
          <w:tcPr>
            <w:tcW w:w="2020" w:type="dxa"/>
            <w:vAlign w:val="bottom"/>
            <w:tcBorders>
              <w:bottom w:val="single" w:sz="8" w:color="auto"/>
              <w:right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(2)%</w:t>
            </w:r>
          </w:p>
        </w:tc>
        <w:tc>
          <w:tcPr>
            <w:tcW w:w="100" w:type="dxa"/>
            <w:vAlign w:val="bottom"/>
            <w:tcBorders>
              <w:right w:val="single" w:sz="8" w:color="auto"/>
            </w:tcBorders>
            <w:shd w:val="clear" w:color="auto" w:fill="CCEEFF"/>
          </w:tcPr>
          <w:p>
            <w:pPr>
              <w:spacing w:after="0"/>
              <w:rPr>
                <w:sz w:val="18"/>
                <w:szCs w:val="18"/>
                <w:color w:val="auto"/>
              </w:rPr>
            </w:pPr>
          </w:p>
        </w:tc>
        <w:tc>
          <w:tcPr>
            <w:tcW w:w="2600" w:type="dxa"/>
            <w:vAlign w:val="bottom"/>
            <w:tcBorders>
              <w:bottom w:val="single" w:sz="8" w:color="auto"/>
              <w:right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4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Q1 2026 Consolidated</w:t>
            </w:r>
          </w:p>
        </w:tc>
        <w:tc>
          <w:tcPr>
            <w:tcW w:w="2100" w:type="dxa"/>
            <w:vAlign w:val="bottom"/>
            <w:tcBorders>
              <w:top w:val="single" w:sz="8" w:color="auto"/>
              <w:right w:val="single" w:sz="8" w:color="auto"/>
            </w:tcBorders>
            <w:vMerge w:val="restart"/>
          </w:tcPr>
          <w:p>
            <w:pPr>
              <w:ind w:left="780"/>
              <w:spacing w:after="0"/>
              <w:rPr>
                <w:sz w:val="20"/>
                <w:szCs w:val="20"/>
                <w:color w:val="auto"/>
              </w:rPr>
            </w:pPr>
            <w:r>
              <w:rPr>
                <w:rFonts w:ascii="Arial" w:cs="Arial" w:eastAsia="Arial" w:hAnsi="Arial"/>
                <w:sz w:val="16"/>
                <w:szCs w:val="16"/>
                <w:b w:val="1"/>
                <w:bCs w:val="1"/>
                <w:color w:val="auto"/>
              </w:rPr>
              <w:t>Sales</w:t>
            </w:r>
          </w:p>
        </w:tc>
        <w:tc>
          <w:tcPr>
            <w:tcW w:w="202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Adjusted Operating</w:t>
            </w:r>
          </w:p>
        </w:tc>
        <w:tc>
          <w:tcPr>
            <w:tcW w:w="100" w:type="dxa"/>
            <w:vAlign w:val="bottom"/>
            <w:tcBorders>
              <w:right w:val="single" w:sz="8" w:color="auto"/>
            </w:tcBorders>
          </w:tcPr>
          <w:p>
            <w:pPr>
              <w:spacing w:after="0"/>
              <w:rPr>
                <w:sz w:val="15"/>
                <w:szCs w:val="15"/>
                <w:color w:val="auto"/>
              </w:rPr>
            </w:pPr>
          </w:p>
        </w:tc>
        <w:tc>
          <w:tcPr>
            <w:tcW w:w="260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Adjusted Operating EBITDA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20" w:type="dxa"/>
            <w:vAlign w:val="bottom"/>
            <w:tcBorders>
              <w:right w:val="single" w:sz="8" w:color="auto"/>
            </w:tcBorders>
            <w:gridSpan w:val="2"/>
            <w:vMerge w:val="continue"/>
          </w:tcPr>
          <w:p>
            <w:pPr>
              <w:spacing w:after="0"/>
              <w:rPr>
                <w:sz w:val="15"/>
                <w:szCs w:val="15"/>
                <w:color w:val="auto"/>
              </w:rPr>
            </w:pPr>
          </w:p>
        </w:tc>
        <w:tc>
          <w:tcPr>
            <w:tcW w:w="2100" w:type="dxa"/>
            <w:vAlign w:val="bottom"/>
            <w:tcBorders>
              <w:right w:val="single" w:sz="8" w:color="auto"/>
            </w:tcBorders>
            <w:vMerge w:val="continue"/>
          </w:tcPr>
          <w:p>
            <w:pPr>
              <w:spacing w:after="0"/>
              <w:rPr>
                <w:sz w:val="15"/>
                <w:szCs w:val="15"/>
                <w:color w:val="auto"/>
              </w:rPr>
            </w:pPr>
          </w:p>
        </w:tc>
        <w:tc>
          <w:tcPr>
            <w:tcW w:w="202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EBITDA</w:t>
            </w:r>
          </w:p>
        </w:tc>
        <w:tc>
          <w:tcPr>
            <w:tcW w:w="10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9"/>
              </w:rPr>
              <w:t>Margin</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 Change - Reported</w:t>
            </w:r>
          </w:p>
        </w:tc>
        <w:tc>
          <w:tcPr>
            <w:tcW w:w="2100" w:type="dxa"/>
            <w:vAlign w:val="bottom"/>
            <w:tcBorders>
              <w:right w:val="single" w:sz="8" w:color="auto"/>
            </w:tcBorders>
            <w:shd w:val="clear" w:color="auto" w:fill="CCEEFF"/>
          </w:tcPr>
          <w:p>
            <w:pPr>
              <w:jc w:val="center"/>
              <w:ind w:right="39"/>
              <w:spacing w:after="0"/>
              <w:rPr>
                <w:sz w:val="20"/>
                <w:szCs w:val="20"/>
                <w:color w:val="auto"/>
              </w:rPr>
            </w:pPr>
            <w:r>
              <w:rPr>
                <w:rFonts w:ascii="Arial" w:cs="Arial" w:eastAsia="Arial" w:hAnsi="Arial"/>
                <w:sz w:val="16"/>
                <w:szCs w:val="16"/>
                <w:color w:val="auto"/>
              </w:rPr>
              <w:t>(4)%</w:t>
            </w:r>
          </w:p>
        </w:tc>
        <w:tc>
          <w:tcPr>
            <w:tcW w:w="20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100" w:type="dxa"/>
            <w:vAlign w:val="bottom"/>
            <w:tcBorders>
              <w:right w:val="single" w:sz="8" w:color="auto"/>
            </w:tcBorders>
            <w:shd w:val="clear" w:color="auto" w:fill="CCEEFF"/>
          </w:tcPr>
          <w:p>
            <w:pPr>
              <w:spacing w:after="0"/>
              <w:rPr>
                <w:sz w:val="18"/>
                <w:szCs w:val="18"/>
                <w:color w:val="auto"/>
              </w:rPr>
            </w:pPr>
          </w:p>
        </w:tc>
        <w:tc>
          <w:tcPr>
            <w:tcW w:w="26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tcBorders>
              <w:right w:val="single" w:sz="8" w:color="auto"/>
            </w:tcBorders>
            <w:gridSpan w:val="2"/>
          </w:tcPr>
          <w:p>
            <w:pPr>
              <w:ind w:left="340"/>
              <w:spacing w:after="0"/>
              <w:rPr>
                <w:sz w:val="20"/>
                <w:szCs w:val="20"/>
                <w:color w:val="auto"/>
              </w:rPr>
            </w:pPr>
            <w:r>
              <w:rPr>
                <w:rFonts w:ascii="Arial" w:cs="Arial" w:eastAsia="Arial" w:hAnsi="Arial"/>
                <w:sz w:val="16"/>
                <w:szCs w:val="16"/>
                <w:color w:val="auto"/>
              </w:rPr>
              <w:t>Portfolio Impact</w:t>
            </w:r>
          </w:p>
        </w:tc>
        <w:tc>
          <w:tcPr>
            <w:tcW w:w="210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w w:val="99"/>
              </w:rPr>
              <w:t>11%</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13%</w:t>
            </w:r>
          </w:p>
        </w:tc>
        <w:tc>
          <w:tcPr>
            <w:tcW w:w="1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0.4%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4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 Change - Comparable</w:t>
            </w:r>
          </w:p>
        </w:tc>
        <w:tc>
          <w:tcPr>
            <w:tcW w:w="2100" w:type="dxa"/>
            <w:vAlign w:val="bottom"/>
            <w:tcBorders>
              <w:right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color w:val="auto"/>
              </w:rPr>
              <w:t>7%</w:t>
            </w:r>
          </w:p>
        </w:tc>
        <w:tc>
          <w:tcPr>
            <w:tcW w:w="20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12%</w:t>
            </w:r>
          </w:p>
        </w:tc>
        <w:tc>
          <w:tcPr>
            <w:tcW w:w="100" w:type="dxa"/>
            <w:vAlign w:val="bottom"/>
            <w:tcBorders>
              <w:right w:val="single" w:sz="8" w:color="auto"/>
            </w:tcBorders>
            <w:shd w:val="clear" w:color="auto" w:fill="CCEEFF"/>
          </w:tcPr>
          <w:p>
            <w:pPr>
              <w:spacing w:after="0"/>
              <w:rPr>
                <w:sz w:val="18"/>
                <w:szCs w:val="18"/>
                <w:color w:val="auto"/>
              </w:rPr>
            </w:pPr>
          </w:p>
        </w:tc>
        <w:tc>
          <w:tcPr>
            <w:tcW w:w="26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tcBorders>
              <w:right w:val="single" w:sz="8" w:color="auto"/>
            </w:tcBorders>
            <w:gridSpan w:val="2"/>
          </w:tcPr>
          <w:p>
            <w:pPr>
              <w:ind w:left="340"/>
              <w:spacing w:after="0"/>
              <w:rPr>
                <w:sz w:val="20"/>
                <w:szCs w:val="20"/>
                <w:color w:val="auto"/>
              </w:rPr>
            </w:pPr>
            <w:r>
              <w:rPr>
                <w:rFonts w:ascii="Arial" w:cs="Arial" w:eastAsia="Arial" w:hAnsi="Arial"/>
                <w:sz w:val="16"/>
                <w:szCs w:val="16"/>
                <w:color w:val="auto"/>
              </w:rPr>
              <w:t>Currency Impact</w:t>
            </w:r>
          </w:p>
        </w:tc>
        <w:tc>
          <w:tcPr>
            <w:tcW w:w="210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rPr>
              <w:t>(4)%</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w:t>
            </w:r>
          </w:p>
        </w:tc>
        <w:tc>
          <w:tcPr>
            <w:tcW w:w="10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0.3%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4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 Change - Currency Neutral</w:t>
            </w:r>
          </w:p>
        </w:tc>
        <w:tc>
          <w:tcPr>
            <w:tcW w:w="2100" w:type="dxa"/>
            <w:vAlign w:val="bottom"/>
            <w:tcBorders>
              <w:bottom w:val="single" w:sz="8" w:color="auto"/>
              <w:right w:val="single" w:sz="8" w:color="auto"/>
            </w:tcBorders>
            <w:shd w:val="clear" w:color="auto" w:fill="CCEEFF"/>
          </w:tcPr>
          <w:p>
            <w:pPr>
              <w:jc w:val="center"/>
              <w:ind w:right="19"/>
              <w:spacing w:after="0"/>
              <w:rPr>
                <w:sz w:val="20"/>
                <w:szCs w:val="20"/>
                <w:color w:val="auto"/>
              </w:rPr>
            </w:pPr>
            <w:r>
              <w:rPr>
                <w:rFonts w:ascii="Arial" w:cs="Arial" w:eastAsia="Arial" w:hAnsi="Arial"/>
                <w:sz w:val="16"/>
                <w:szCs w:val="16"/>
                <w:color w:val="auto"/>
              </w:rPr>
              <w:t>3%</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100" w:type="dxa"/>
            <w:vAlign w:val="bottom"/>
            <w:tcBorders>
              <w:right w:val="single" w:sz="8" w:color="auto"/>
            </w:tcBorders>
            <w:shd w:val="clear" w:color="auto" w:fill="CCEEFF"/>
          </w:tcPr>
          <w:p>
            <w:pPr>
              <w:spacing w:after="0"/>
              <w:rPr>
                <w:sz w:val="18"/>
                <w:szCs w:val="18"/>
                <w:color w:val="auto"/>
              </w:rPr>
            </w:pPr>
          </w:p>
        </w:tc>
        <w:tc>
          <w:tcPr>
            <w:tcW w:w="2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1.1%</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6"/>
          <w:szCs w:val="16"/>
          <w:color w:val="auto"/>
        </w:rPr>
        <w:t>_________________________</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Note: The sum of these items may not foot due to rounding.</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17</w:t>
      </w:r>
    </w:p>
    <w:sectPr>
      <w:pgSz w:w="11900" w:h="16838" w:orient="portrait"/>
      <w:cols w:equalWidth="0" w:num="1">
        <w:col w:w="11260"/>
      </w:cols>
      <w:pgMar w:left="320" w:top="89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Letter"/>
      <w:start w:val="6"/>
    </w:lvl>
  </w:abstractNum>
  <w:abstractNum w:abstractNumId="10">
    <w:nsid w:val="1BEFD79F"/>
    <w:multiLevelType w:val="hybridMultilevel"/>
    <w:lvl w:ilvl="0">
      <w:lvlJc w:val="left"/>
      <w:lvlText w:val="(%1)"/>
      <w:numFmt w:val="lowerLetter"/>
      <w:start w:val="7"/>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6"/>
    </w:lvl>
  </w:abstractNum>
  <w:abstractNum w:abstractNumId="13">
    <w:nsid w:val="4E6AFB66"/>
    <w:multiLevelType w:val="hybridMultilevel"/>
    <w:lvl w:ilvl="0">
      <w:lvlJc w:val="left"/>
      <w:lvlText w:val="(%1)"/>
      <w:numFmt w:val="lowerLetter"/>
      <w:start w:val="7"/>
    </w:lvl>
  </w:abstractNum>
  <w:abstractNum w:abstractNumId="14">
    <w:nsid w:val="25E45D32"/>
    <w:multiLevelType w:val="hybridMultilevel"/>
    <w:lvl w:ilvl="0">
      <w:lvlJc w:val="left"/>
      <w:lvlText w:val="(%1)"/>
      <w:numFmt w:val="lowerLetter"/>
      <w:start w:val="9"/>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2026-05-05T15:30:53Z</dcterms:created>
  <dcterms:modified xsi:type="dcterms:W3CDTF">2026-05-05T15:30:53Z</dcterms:modified>
</cp:coreProperties>
</file>