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3.jpeg" ContentType="image/jpeg"/>
  <Override PartName="/word/media/image37.jpeg" ContentType="image/jpeg"/>
  <Override PartName="/word/media/image25.jpeg" ContentType="image/jpeg"/>
  <Override PartName="/word/media/image84.jpeg" ContentType="image/jpeg"/>
  <Override PartName="/word/media/image104.jpeg" ContentType="image/jpeg"/>
  <Override PartName="/word/media/image4.jpeg" ContentType="image/jpeg"/>
  <Override PartName="/word/media/image105.jpeg" ContentType="image/jpeg"/>
  <Override PartName="/word/media/image26.jpeg" ContentType="image/jpeg"/>
  <Override PartName="/word/media/image85.jpeg" ContentType="image/jpeg"/>
  <Override PartName="/word/media/image5.jpeg" ContentType="image/jpeg"/>
  <Override PartName="/word/media/image97.jpeg" ContentType="image/jpeg"/>
  <Override PartName="/word/media/image38.jpeg" ContentType="image/jpeg"/>
  <Override PartName="/word/media/image108.jpeg" ContentType="image/jpeg"/>
  <Override PartName="/word/media/image12.jpeg" ContentType="image/jpeg"/>
  <Override PartName="/word/media/image29.jpeg" ContentType="image/jpeg"/>
  <Override PartName="/word/media/image88.jpeg" ContentType="image/jpeg"/>
  <Override PartName="/word/media/image52.jpeg" ContentType="image/jpeg"/>
  <Override PartName="/word/media/image106.jpeg" ContentType="image/jpeg"/>
  <Override PartName="/word/media/image86.jpeg" ContentType="image/jpeg"/>
  <Override PartName="/word/media/image27.jpeg" ContentType="image/jpeg"/>
  <Override PartName="/word/media/image10.jpeg" ContentType="image/jpeg"/>
  <Override PartName="/word/media/image50.jpeg" ContentType="image/jpeg"/>
  <Override PartName="/word/media/image24.jpeg" ContentType="image/jpeg"/>
  <Override PartName="/word/media/image83.jpeg" ContentType="image/jpeg"/>
  <Override PartName="/word/media/image103.jpeg" ContentType="image/jpeg"/>
  <Override PartName="/word/media/image98.jpeg" ContentType="image/jpeg"/>
  <Override PartName="/word/media/image39.jpeg" ContentType="image/jpeg"/>
  <Override PartName="/word/media/image8.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6.jpeg" ContentType="image/jpeg"/>
  <Override PartName="/word/media/image128.jpeg" ContentType="image/jpeg"/>
  <Override PartName="/word/media/image55.jpeg" ContentType="image/jpeg"/>
  <Override PartName="/word/media/image7.jpeg" ContentType="image/jpeg"/>
  <Override PartName="/word/media/image129.jpeg" ContentType="image/jpeg"/>
  <Override PartName="/word/media/image56.jpeg" ContentType="image/jpeg"/>
  <Override PartName="/word/media/image87.jpeg" ContentType="image/jpeg"/>
  <Override PartName="/word/media/image28.jpeg" ContentType="image/jpeg"/>
  <Override PartName="/word/media/image107.jpeg" ContentType="image/jpeg"/>
  <Override PartName="/word/media/image11.jpeg" ContentType="image/jpeg"/>
  <Override PartName="/word/media/image57.jpeg" ContentType="image/jpeg"/>
  <Override PartName="/word/media/image58.jpeg" ContentType="image/jpeg"/>
  <Override PartName="/word/media/image42.jpeg" ContentType="image/jpeg"/>
  <Override PartName="/word/media/image59.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51.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40.jpeg" ContentType="image/jpeg"/>
  <Override PartName="/word/media/image1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media/image99.jpeg" ContentType="image/jpeg"/>
  <Override PartName="/word/media/image113.jpeg" ContentType="image/jpeg"/>
  <Override PartName="/word/media/image114.jpeg" ContentType="image/jpeg"/>
  <Override PartName="/word/media/image115.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Commission file number 1-4858</w:t>
      </w:r>
    </w:p>
    <w:p>
      <w:pPr>
        <w:pStyle w:val="TextBody"/>
        <w:bidi w:val="0"/>
        <w:spacing w:lineRule="auto" w:line="288" w:before="0" w:after="0"/>
        <w:jc w:val="center"/>
        <w:rPr/>
      </w:pPr>
      <w:r>
        <w:rPr>
          <w:color w:val="000000"/>
        </w:rPr>
        <w:t> </w:t>
      </w:r>
      <w:r>
        <w:rPr>
          <w:rFonts w:ascii="Times New Roman;serif" w:hAnsi="Times New Roman;serif"/>
          <w:b/>
          <w:color w:val="000000"/>
          <w:sz w:val="40"/>
        </w:rPr>
        <w:t xml:space="preserve">INTERNATIONAL FLAVORS &amp; FRAGRANCES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181" w:type="dxa"/>
        <w:jc w:val="left"/>
        <w:tblInd w:w="0" w:type="dxa"/>
        <w:tblLayout w:type="fixed"/>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13-1432060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521 West 57th Street, New York, NY 10019-2960</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200 Powder Mill Road, Wilmington, DE 19803-2907</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(212) 765-5500 </w:t>
      </w:r>
    </w:p>
    <w:p>
      <w:pPr>
        <w:pStyle w:val="TextBody"/>
        <w:bidi w:val="0"/>
        <w:spacing w:lineRule="auto" w:line="288" w:before="120" w:after="283"/>
        <w:jc w:val="center"/>
        <w:rPr>
          <w:color w:val="000000"/>
        </w:rPr>
      </w:pPr>
      <w:r>
        <w:rPr>
          <w:color w:val="000000"/>
        </w:rPr>
        <w:t> </w:t>
      </w:r>
      <w:r>
        <w:rPr>
          <w:rFonts w:ascii="Times New Roman;serif" w:hAnsi="Times New Roman;serif"/>
          <w:b/>
          <w:color w:val="000000"/>
          <w:sz w:val="20"/>
        </w:rPr>
        <w:t>Securities registered pursuant to Section 12(b) of the Act:</w:t>
      </w:r>
    </w:p>
    <w:tbl>
      <w:tblPr>
        <w:tblW w:w="8331" w:type="dxa"/>
        <w:jc w:val="center"/>
        <w:tblInd w:w="0" w:type="dxa"/>
        <w:tblLayout w:type="fixed"/>
        <w:tblCellMar>
          <w:top w:w="28" w:type="dxa"/>
          <w:left w:w="28" w:type="dxa"/>
          <w:bottom w:w="28" w:type="dxa"/>
          <w:right w:w="28" w:type="dxa"/>
        </w:tblCellMar>
      </w:tblPr>
      <w:tblGrid>
        <w:gridCol w:w="1322"/>
        <w:gridCol w:w="1162"/>
        <w:gridCol w:w="1175"/>
        <w:gridCol w:w="109"/>
        <w:gridCol w:w="109"/>
        <w:gridCol w:w="109"/>
        <w:gridCol w:w="564"/>
        <w:gridCol w:w="564"/>
        <w:gridCol w:w="566"/>
        <w:gridCol w:w="109"/>
        <w:gridCol w:w="109"/>
        <w:gridCol w:w="109"/>
        <w:gridCol w:w="679"/>
        <w:gridCol w:w="679"/>
        <w:gridCol w:w="966"/>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12 1/2¢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1.800% Senior Notes due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IFF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No  </w:t>
      </w:r>
      <w:r>
        <w:rPr>
          <w:color w:val="000000"/>
        </w:rPr>
        <w: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of common stock outstanding as of April 28, 2026: 255,303,473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FLAVORS &amp; FRAGRANCES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37"/>
        <w:gridCol w:w="296"/>
        <w:gridCol w:w="298"/>
        <w:gridCol w:w="2914"/>
        <w:gridCol w:w="2868"/>
        <w:gridCol w:w="2875"/>
        <w:gridCol w:w="180"/>
        <w:gridCol w:w="180"/>
        <w:gridCol w:w="257"/>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bfc8953fa4e7285a908d862ce4fd2_10">
              <w:r>
                <w:rPr>
                  <w:rStyle w:val="InternetLink"/>
                  <w:rFonts w:ascii="Times New Roman;serif" w:hAnsi="Times New Roman;serif"/>
                  <w:b w:val="false"/>
                  <w:color w:val="0000FF"/>
                  <w:sz w:val="20"/>
                  <w:u w:val="single"/>
                </w:rPr>
                <w:t>Financial Statements (Unaudited)</w:t>
              </w:r>
            </w:hyperlink>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bfc8953fa4e7285a908d862ce4fd2_13">
              <w:r>
                <w:rPr>
                  <w:rStyle w:val="InternetLink"/>
                  <w:rFonts w:ascii="Times New Roman;serif" w:hAnsi="Times New Roman;serif"/>
                  <w:b w:val="false"/>
                  <w:color w:val="0000FF"/>
                  <w:sz w:val="20"/>
                  <w:u w:val="single"/>
                </w:rPr>
                <w:t>Consolidated Statements of Income (Loss) and Comprehensive Income (Loss) - Three Months Ended March 31, 2026 and 2025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bfc8953fa4e7285a908d862ce4fd2_13">
              <w:r>
                <w:rPr>
                  <w:rStyle w:val="InternetLink"/>
                  <w:rFonts w:ascii="Times New Roman;serif" w:hAnsi="Times New Roman;serif"/>
                  <w:b w:val="false"/>
                  <w:color w:val="0000FF"/>
                  <w:sz w:val="20"/>
                  <w:u w:val="single"/>
                </w:rPr>
                <w:t>1</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bfc8953fa4e7285a908d862ce4fd2_16">
              <w:r>
                <w:rPr>
                  <w:rStyle w:val="InternetLink"/>
                  <w:rFonts w:ascii="Times New Roman;serif" w:hAnsi="Times New Roman;serif"/>
                  <w:b w:val="false"/>
                  <w:color w:val="000080"/>
                  <w:sz w:val="20"/>
                  <w:u w:val="single"/>
                </w:rPr>
                <w:t>Consolidated Balance Sheets - March 31, 20</w:t>
              </w:r>
            </w:hyperlink>
            <w:hyperlink w:anchor="i745bfc8953fa4e7285a908d862ce4fd2_16">
              <w:r>
                <w:rPr>
                  <w:rStyle w:val="InternetLink"/>
                  <w:rFonts w:ascii="Times New Roman;serif" w:hAnsi="Times New Roman;serif"/>
                  <w:b w:val="false"/>
                  <w:color w:val="000080"/>
                  <w:sz w:val="20"/>
                  <w:u w:val="single"/>
                </w:rPr>
                <w:t>26</w:t>
              </w:r>
            </w:hyperlink>
            <w:hyperlink w:anchor="i745bfc8953fa4e7285a908d862ce4fd2_16">
              <w:r>
                <w:rPr>
                  <w:rStyle w:val="InternetLink"/>
                  <w:rFonts w:ascii="Times New Roman;serif" w:hAnsi="Times New Roman;serif"/>
                  <w:b w:val="false"/>
                  <w:color w:val="000080"/>
                  <w:sz w:val="20"/>
                  <w:u w:val="single"/>
                </w:rPr>
                <w:t xml:space="preserve"> and December 31, 20</w:t>
              </w:r>
            </w:hyperlink>
            <w:hyperlink w:anchor="i745bfc8953fa4e7285a908d862ce4fd2_16">
              <w:r>
                <w:rPr>
                  <w:rStyle w:val="InternetLink"/>
                  <w:rFonts w:ascii="Times New Roman;serif" w:hAnsi="Times New Roman;serif"/>
                  <w:b w:val="false"/>
                  <w:color w:val="000080"/>
                  <w:sz w:val="20"/>
                  <w:u w:val="single"/>
                </w:rPr>
                <w:t>25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bfc8953fa4e7285a908d862ce4fd2_16">
              <w:r>
                <w:rPr>
                  <w:rStyle w:val="InternetLink"/>
                  <w:rFonts w:ascii="Times New Roman;serif" w:hAnsi="Times New Roman;serif"/>
                  <w:b w:val="false"/>
                  <w:color w:val="0000FF"/>
                  <w:sz w:val="20"/>
                  <w:u w:val="single"/>
                </w:rPr>
                <w:t>2</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bfc8953fa4e7285a908d862ce4fd2_19">
              <w:r>
                <w:rPr>
                  <w:rStyle w:val="InternetLink"/>
                  <w:rFonts w:ascii="Times New Roman;serif" w:hAnsi="Times New Roman;serif"/>
                  <w:b w:val="false"/>
                  <w:color w:val="000080"/>
                  <w:sz w:val="20"/>
                  <w:u w:val="single"/>
                </w:rPr>
                <w:t>Consolidated Statements of Shareholders’ Equity - Three Months Ended March 31, 202</w:t>
              </w:r>
            </w:hyperlink>
            <w:hyperlink w:anchor="i745bfc8953fa4e7285a908d862ce4fd2_19">
              <w:r>
                <w:rPr>
                  <w:rStyle w:val="InternetLink"/>
                  <w:rFonts w:ascii="Times New Roman;serif" w:hAnsi="Times New Roman;serif"/>
                  <w:b w:val="false"/>
                  <w:color w:val="000080"/>
                  <w:sz w:val="20"/>
                  <w:u w:val="single"/>
                </w:rPr>
                <w:t>6</w:t>
              </w:r>
            </w:hyperlink>
            <w:hyperlink w:anchor="i745bfc8953fa4e7285a908d862ce4fd2_19">
              <w:r>
                <w:rPr>
                  <w:rStyle w:val="InternetLink"/>
                  <w:rFonts w:ascii="Times New Roman;serif" w:hAnsi="Times New Roman;serif"/>
                  <w:b w:val="false"/>
                  <w:color w:val="000080"/>
                  <w:sz w:val="20"/>
                  <w:u w:val="single"/>
                </w:rPr>
                <w:t xml:space="preserve"> and 20</w:t>
              </w:r>
            </w:hyperlink>
            <w:hyperlink w:anchor="i745bfc8953fa4e7285a908d862ce4fd2_19">
              <w:r>
                <w:rPr>
                  <w:rStyle w:val="InternetLink"/>
                  <w:rFonts w:ascii="Times New Roman;serif" w:hAnsi="Times New Roman;serif"/>
                  <w:b w:val="false"/>
                  <w:color w:val="000080"/>
                  <w:sz w:val="20"/>
                  <w:u w:val="single"/>
                </w:rPr>
                <w:t>25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bfc8953fa4e7285a908d862ce4fd2_19">
              <w:r>
                <w:rPr>
                  <w:rStyle w:val="InternetLink"/>
                  <w:rFonts w:ascii="Times New Roman;serif" w:hAnsi="Times New Roman;serif"/>
                  <w:b w:val="false"/>
                  <w:color w:val="0000FF"/>
                  <w:sz w:val="20"/>
                  <w:u w:val="single"/>
                </w:rPr>
                <w:t>3</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bfc8953fa4e7285a908d862ce4fd2_28">
              <w:r>
                <w:rPr>
                  <w:rStyle w:val="InternetLink"/>
                  <w:rFonts w:ascii="Times New Roman;serif" w:hAnsi="Times New Roman;serif"/>
                  <w:b w:val="false"/>
                  <w:color w:val="000080"/>
                  <w:sz w:val="20"/>
                  <w:u w:val="single"/>
                </w:rPr>
                <w:t>Consolidated Statements of Cash Flows - Three Months Ended March 31, 202</w:t>
              </w:r>
            </w:hyperlink>
            <w:hyperlink w:anchor="i745bfc8953fa4e7285a908d862ce4fd2_28">
              <w:r>
                <w:rPr>
                  <w:rStyle w:val="InternetLink"/>
                  <w:rFonts w:ascii="Times New Roman;serif" w:hAnsi="Times New Roman;serif"/>
                  <w:b w:val="false"/>
                  <w:color w:val="000080"/>
                  <w:sz w:val="20"/>
                  <w:u w:val="single"/>
                </w:rPr>
                <w:t>6</w:t>
              </w:r>
            </w:hyperlink>
            <w:hyperlink w:anchor="i745bfc8953fa4e7285a908d862ce4fd2_28">
              <w:r>
                <w:rPr>
                  <w:rStyle w:val="InternetLink"/>
                  <w:rFonts w:ascii="Times New Roman;serif" w:hAnsi="Times New Roman;serif"/>
                  <w:b w:val="false"/>
                  <w:color w:val="000080"/>
                  <w:sz w:val="20"/>
                  <w:u w:val="single"/>
                </w:rPr>
                <w:t xml:space="preserve"> and 20</w:t>
              </w:r>
            </w:hyperlink>
            <w:hyperlink w:anchor="i745bfc8953fa4e7285a908d862ce4fd2_28">
              <w:r>
                <w:rPr>
                  <w:rStyle w:val="InternetLink"/>
                  <w:rFonts w:ascii="Times New Roman;serif" w:hAnsi="Times New Roman;serif"/>
                  <w:b w:val="false"/>
                  <w:color w:val="000080"/>
                  <w:sz w:val="20"/>
                  <w:u w:val="single"/>
                </w:rPr>
                <w:t>25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bfc8953fa4e7285a908d862ce4fd2_28">
              <w:r>
                <w:rPr>
                  <w:rStyle w:val="InternetLink"/>
                  <w:rFonts w:ascii="Times New Roman;serif" w:hAnsi="Times New Roman;serif"/>
                  <w:b w:val="false"/>
                  <w:color w:val="0000FF"/>
                  <w:sz w:val="20"/>
                  <w:u w:val="single"/>
                </w:rPr>
                <w:t>4</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bfc8953fa4e7285a908d862ce4fd2_31">
              <w:r>
                <w:rPr>
                  <w:rStyle w:val="InternetLink"/>
                  <w:rFonts w:ascii="Times New Roman;serif" w:hAnsi="Times New Roman;serif"/>
                  <w:b w:val="false"/>
                  <w:color w:val="0000FF"/>
                  <w:sz w:val="20"/>
                  <w:u w:val="single"/>
                </w:rPr>
                <w:t>Notes to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bfc8953fa4e7285a908d862ce4fd2_31">
              <w:r>
                <w:rPr>
                  <w:rStyle w:val="InternetLink"/>
                  <w:rFonts w:ascii="Times New Roman;serif" w:hAnsi="Times New Roman;serif"/>
                  <w:b w:val="false"/>
                  <w:color w:val="0000FF"/>
                  <w:sz w:val="20"/>
                  <w:u w:val="single"/>
                </w:rPr>
                <w:t>5</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bfc8953fa4e7285a908d862ce4fd2_13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bfc8953fa4e7285a908d862ce4fd2_133">
              <w:r>
                <w:rPr>
                  <w:rStyle w:val="InternetLink"/>
                  <w:rFonts w:ascii="Times New Roman;serif" w:hAnsi="Times New Roman;serif"/>
                  <w:b w:val="false"/>
                  <w:color w:val="0000FF"/>
                  <w:sz w:val="20"/>
                  <w:u w:val="single"/>
                </w:rPr>
                <w:t>26</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bfc8953fa4e7285a908d862ce4fd2_160">
              <w:r>
                <w:rPr>
                  <w:rStyle w:val="InternetLink"/>
                  <w:rFonts w:ascii="Times New Roman;serif" w:hAnsi="Times New Roman;serif"/>
                  <w:b w:val="false"/>
                  <w:color w:val="0000FF"/>
                  <w:sz w:val="20"/>
                  <w:u w:val="single"/>
                </w:rPr>
                <w:t>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bfc8953fa4e7285a908d862ce4fd2_160">
              <w:r>
                <w:rPr>
                  <w:rStyle w:val="InternetLink"/>
                  <w:rFonts w:ascii="Times New Roman;serif" w:hAnsi="Times New Roman;serif"/>
                  <w:b w:val="false"/>
                  <w:color w:val="0000FF"/>
                  <w:sz w:val="20"/>
                  <w:u w:val="single"/>
                </w:rPr>
                <w:t>36</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bfc8953fa4e7285a908d862ce4fd2_163">
              <w:r>
                <w:rPr>
                  <w:rStyle w:val="InternetLink"/>
                  <w:rFonts w:ascii="Times New Roman;serif" w:hAnsi="Times New Roman;serif"/>
                  <w:b w:val="false"/>
                  <w:color w:val="0000FF"/>
                  <w:sz w:val="20"/>
                  <w:u w:val="single"/>
                </w:rPr>
                <w:t>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bfc8953fa4e7285a908d862ce4fd2_163">
              <w:r>
                <w:rPr>
                  <w:rStyle w:val="InternetLink"/>
                  <w:rFonts w:ascii="Times New Roman;serif" w:hAnsi="Times New Roman;serif"/>
                  <w:b w:val="false"/>
                  <w:color w:val="0000FF"/>
                  <w:sz w:val="20"/>
                  <w:u w:val="single"/>
                </w:rPr>
                <w:t>36</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bfc8953fa4e7285a908d862ce4fd2_169">
              <w:r>
                <w:rPr>
                  <w:rStyle w:val="InternetLink"/>
                  <w:rFonts w:ascii="Times New Roman;serif" w:hAnsi="Times New Roman;serif"/>
                  <w:b w:val="false"/>
                  <w:color w:val="0000FF"/>
                  <w:sz w:val="20"/>
                  <w:u w:val="single"/>
                </w:rPr>
                <w:t>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bfc8953fa4e7285a908d862ce4fd2_169">
              <w:r>
                <w:rPr>
                  <w:rStyle w:val="InternetLink"/>
                  <w:rFonts w:ascii="Times New Roman;serif" w:hAnsi="Times New Roman;serif"/>
                  <w:b w:val="false"/>
                  <w:color w:val="0000FF"/>
                  <w:sz w:val="20"/>
                  <w:u w:val="single"/>
                </w:rPr>
                <w:t>37</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bfc8953fa4e7285a908d862ce4fd2_172">
              <w:r>
                <w:rPr>
                  <w:rStyle w:val="InternetLink"/>
                  <w:rFonts w:ascii="Times New Roman;serif" w:hAnsi="Times New Roman;serif"/>
                  <w:b w:val="false"/>
                  <w:color w:val="0000FF"/>
                  <w:sz w:val="20"/>
                  <w:u w:val="single"/>
                </w:rPr>
                <w:t>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bfc8953fa4e7285a908d862ce4fd2_172">
              <w:r>
                <w:rPr>
                  <w:rStyle w:val="InternetLink"/>
                  <w:rFonts w:ascii="Times New Roman;serif" w:hAnsi="Times New Roman;serif"/>
                  <w:b w:val="false"/>
                  <w:color w:val="0000FF"/>
                  <w:sz w:val="20"/>
                  <w:u w:val="single"/>
                </w:rPr>
                <w:t>37</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bfc8953fa4e7285a908d862ce4fd2_175">
              <w:r>
                <w:rPr>
                  <w:rStyle w:val="InternetLink"/>
                  <w:rFonts w:ascii="Times New Roman;serif" w:hAnsi="Times New Roman;serif"/>
                  <w:b w:val="false"/>
                  <w:color w:val="0000FF"/>
                  <w:sz w:val="20"/>
                  <w:u w:val="single"/>
                </w:rPr>
                <w:t>Unregistered Sales of Equity Securities and Use of Proceeds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bfc8953fa4e7285a908d862ce4fd2_175">
              <w:r>
                <w:rPr>
                  <w:rStyle w:val="InternetLink"/>
                  <w:rFonts w:ascii="Times New Roman;serif" w:hAnsi="Times New Roman;serif"/>
                  <w:b w:val="false"/>
                  <w:color w:val="0000FF"/>
                  <w:sz w:val="20"/>
                  <w:u w:val="single"/>
                </w:rPr>
                <w:t>37</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bfc8953fa4e7285a908d862ce4fd2_178">
              <w:r>
                <w:rPr>
                  <w:rStyle w:val="InternetLink"/>
                  <w:rFonts w:ascii="Times New Roman;serif" w:hAnsi="Times New Roman;serif"/>
                  <w:b w:val="false"/>
                  <w:color w:val="0000FF"/>
                  <w:sz w:val="20"/>
                  <w:u w:val="single"/>
                </w:rPr>
                <w:t>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bfc8953fa4e7285a908d862ce4fd2_178">
              <w:r>
                <w:rPr>
                  <w:rStyle w:val="InternetLink"/>
                  <w:rFonts w:ascii="Times New Roman;serif" w:hAnsi="Times New Roman;serif"/>
                  <w:b w:val="false"/>
                  <w:color w:val="0000FF"/>
                  <w:sz w:val="20"/>
                  <w:u w:val="single"/>
                </w:rPr>
                <w:t>37</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5bfc8953fa4e7285a908d862ce4fd2_181">
              <w:r>
                <w:rPr>
                  <w:rStyle w:val="InternetLink"/>
                  <w:rFonts w:ascii="Times New Roman;serif" w:hAnsi="Times New Roman;serif"/>
                  <w:b w:val="false"/>
                  <w:color w:val="0000FF"/>
                  <w:sz w:val="20"/>
                  <w:u w:val="single"/>
                </w:rPr>
                <w:t>Exhibits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bfc8953fa4e7285a908d862ce4fd2_181">
              <w:r>
                <w:rPr>
                  <w:rStyle w:val="InternetLink"/>
                  <w:rFonts w:ascii="Times New Roman;serif" w:hAnsi="Times New Roman;serif"/>
                  <w:b w:val="false"/>
                  <w:color w:val="0000FF"/>
                  <w:sz w:val="20"/>
                  <w:u w:val="single"/>
                </w:rPr>
                <w:t>37</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45bfc8953fa4e7285a908d862ce4fd2_184">
              <w:r>
                <w:rPr>
                  <w:rStyle w:val="InternetLink"/>
                  <w:rFonts w:ascii="Times New Roman;serif" w:hAnsi="Times New Roman;serif"/>
                  <w:b w:val="false"/>
                  <w:color w:val="0000FF"/>
                  <w:sz w:val="20"/>
                  <w:u w:val="single"/>
                </w:rPr>
                <w:t>Signatures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5bfc8953fa4e7285a908d862ce4fd2_184">
              <w:r>
                <w:rPr>
                  <w:rStyle w:val="InternetLink"/>
                  <w:rFonts w:ascii="Times New Roman;serif" w:hAnsi="Times New Roman;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INTERNATIONAL FLAVORS &amp; FRAGRANCES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 (LOSS)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155" w:type="dxa"/>
        <w:jc w:val="left"/>
        <w:tblInd w:w="0" w:type="dxa"/>
        <w:tblLayout w:type="fixed"/>
        <w:tblCellMar>
          <w:top w:w="28" w:type="dxa"/>
          <w:left w:w="28" w:type="dxa"/>
          <w:bottom w:w="28" w:type="dxa"/>
          <w:right w:w="28" w:type="dxa"/>
        </w:tblCellMar>
      </w:tblPr>
      <w:tblGrid>
        <w:gridCol w:w="1954"/>
        <w:gridCol w:w="1720"/>
        <w:gridCol w:w="1726"/>
        <w:gridCol w:w="211"/>
        <w:gridCol w:w="616"/>
        <w:gridCol w:w="109"/>
        <w:gridCol w:w="109"/>
        <w:gridCol w:w="109"/>
        <w:gridCol w:w="109"/>
        <w:gridCol w:w="211"/>
        <w:gridCol w:w="691"/>
        <w:gridCol w:w="109"/>
        <w:gridCol w:w="109"/>
        <w:gridCol w:w="109"/>
        <w:gridCol w:w="109"/>
        <w:gridCol w:w="154"/>
      </w:tblGrid>
      <w:tr>
        <w:trPr/>
        <w:tc>
          <w:tcPr>
            <w:tcW w:w="1954"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AND SHARES IN MILLIONS EXCEPT PER 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acquisition-related intangibles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business disposals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IFF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shares outstanding - 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shares outstanding - diluted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Statements of Comprehensive Income (Loss)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after tax:</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derivatives qualifying as hedges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liability adjustment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IFF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93370"/>
                <wp:effectExtent l="0" t="0" r="0" b="0"/>
                <wp:wrapNone/>
                <wp:docPr id="3" name="Frame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FLAVORS &amp; FRAGRANCES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93"/>
        <w:gridCol w:w="2212"/>
        <w:gridCol w:w="2219"/>
        <w:gridCol w:w="235"/>
        <w:gridCol w:w="777"/>
        <w:gridCol w:w="131"/>
        <w:gridCol w:w="109"/>
        <w:gridCol w:w="109"/>
        <w:gridCol w:w="109"/>
        <w:gridCol w:w="256"/>
        <w:gridCol w:w="848"/>
        <w:gridCol w:w="207"/>
      </w:tblGrid>
      <w:tr>
        <w:trPr/>
        <w:tc>
          <w:tcPr>
            <w:tcW w:w="2993"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7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AND SHARES IN MILLIONS EXCEPT PER SHARE AMOUNTS)</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receivables (net of allowances of $26 and $27, respectively)</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5,594 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and current portion of long-term debt</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bonus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held for sale</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Liabilities:</w:t>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liabilities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Liabilities</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7,420 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Commitments and Contingencies (Note 17)</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$0.125 par value; 500.0 shares authorized; 275.7 shares issued as of March 31, 2026 and December 31, 2025; and 255.2 and 255.7 shares outstanding as of March 31, 2026 and December 31, 2025, respectively</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(20.5 and 20.0 shares as of March 31, 2026 and December 31, 2025, respectively)</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14,154 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 including Non-controlling interests</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14,186 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25,539 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93370"/>
                <wp:effectExtent l="0" t="0" r="0" b="0"/>
                <wp:wrapNone/>
                <wp:docPr id="4" name="Frame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INTERNATIONAL FLAVORS &amp; FRAGRANCES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SHAREHOLDERS’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2023" w:type="dxa"/>
        <w:jc w:val="center"/>
        <w:tblInd w:w="0" w:type="dxa"/>
        <w:tblLayout w:type="fixed"/>
        <w:tblCellMar>
          <w:top w:w="28" w:type="dxa"/>
          <w:left w:w="28" w:type="dxa"/>
          <w:bottom w:w="28" w:type="dxa"/>
          <w:right w:w="28" w:type="dxa"/>
        </w:tblCellMar>
      </w:tblPr>
      <w:tblGrid>
        <w:gridCol w:w="596"/>
        <w:gridCol w:w="287"/>
        <w:gridCol w:w="288"/>
        <w:gridCol w:w="278"/>
        <w:gridCol w:w="278"/>
        <w:gridCol w:w="196"/>
        <w:gridCol w:w="109"/>
        <w:gridCol w:w="109"/>
        <w:gridCol w:w="109"/>
        <w:gridCol w:w="196"/>
        <w:gridCol w:w="331"/>
        <w:gridCol w:w="109"/>
        <w:gridCol w:w="109"/>
        <w:gridCol w:w="109"/>
        <w:gridCol w:w="109"/>
        <w:gridCol w:w="196"/>
        <w:gridCol w:w="646"/>
        <w:gridCol w:w="109"/>
        <w:gridCol w:w="109"/>
        <w:gridCol w:w="109"/>
        <w:gridCol w:w="109"/>
        <w:gridCol w:w="235"/>
        <w:gridCol w:w="685"/>
        <w:gridCol w:w="131"/>
        <w:gridCol w:w="109"/>
        <w:gridCol w:w="109"/>
        <w:gridCol w:w="109"/>
        <w:gridCol w:w="262"/>
        <w:gridCol w:w="763"/>
        <w:gridCol w:w="146"/>
        <w:gridCol w:w="109"/>
        <w:gridCol w:w="109"/>
        <w:gridCol w:w="109"/>
        <w:gridCol w:w="240"/>
        <w:gridCol w:w="241"/>
        <w:gridCol w:w="196"/>
        <w:gridCol w:w="109"/>
        <w:gridCol w:w="109"/>
        <w:gridCol w:w="109"/>
        <w:gridCol w:w="196"/>
        <w:gridCol w:w="436"/>
        <w:gridCol w:w="109"/>
        <w:gridCol w:w="109"/>
        <w:gridCol w:w="109"/>
        <w:gridCol w:w="109"/>
        <w:gridCol w:w="388"/>
        <w:gridCol w:w="656"/>
        <w:gridCol w:w="217"/>
        <w:gridCol w:w="109"/>
        <w:gridCol w:w="109"/>
        <w:gridCol w:w="109"/>
        <w:gridCol w:w="196"/>
        <w:gridCol w:w="646"/>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AND SHARES IN MILLIONS EXCEPT PER SHARE AMOUNTS)</w:t>
            </w:r>
          </w:p>
        </w:tc>
        <w:tc>
          <w:tcPr>
            <w:tcW w:w="1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in</w:t>
              <w:br/>
              <w:t>excess of</w:t>
              <w:br/>
              <w:t>par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 2025</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dividends declared</w:t>
            </w:r>
            <w:r>
              <w:rPr>
                <w:rFonts w:ascii="Times New Roman;serif" w:hAnsi="Times New Roman;serif"/>
                <w:b w:val="false"/>
                <w:color w:val="000000"/>
                <w:sz w:val="10"/>
              </w:rPr>
              <w:t>(1)</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 stock options, and SSARs</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 and awards</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(2,123)</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11848" w:type="dxa"/>
        <w:jc w:val="center"/>
        <w:tblInd w:w="0" w:type="dxa"/>
        <w:tblLayout w:type="fixed"/>
        <w:tblCellMar>
          <w:top w:w="28" w:type="dxa"/>
          <w:left w:w="28" w:type="dxa"/>
          <w:bottom w:w="28" w:type="dxa"/>
          <w:right w:w="28" w:type="dxa"/>
        </w:tblCellMar>
      </w:tblPr>
      <w:tblGrid>
        <w:gridCol w:w="596"/>
        <w:gridCol w:w="287"/>
        <w:gridCol w:w="288"/>
        <w:gridCol w:w="278"/>
        <w:gridCol w:w="278"/>
        <w:gridCol w:w="196"/>
        <w:gridCol w:w="109"/>
        <w:gridCol w:w="109"/>
        <w:gridCol w:w="109"/>
        <w:gridCol w:w="196"/>
        <w:gridCol w:w="331"/>
        <w:gridCol w:w="109"/>
        <w:gridCol w:w="109"/>
        <w:gridCol w:w="109"/>
        <w:gridCol w:w="109"/>
        <w:gridCol w:w="196"/>
        <w:gridCol w:w="646"/>
        <w:gridCol w:w="109"/>
        <w:gridCol w:w="109"/>
        <w:gridCol w:w="109"/>
        <w:gridCol w:w="109"/>
        <w:gridCol w:w="196"/>
        <w:gridCol w:w="571"/>
        <w:gridCol w:w="109"/>
        <w:gridCol w:w="109"/>
        <w:gridCol w:w="109"/>
        <w:gridCol w:w="109"/>
        <w:gridCol w:w="262"/>
        <w:gridCol w:w="763"/>
        <w:gridCol w:w="146"/>
        <w:gridCol w:w="109"/>
        <w:gridCol w:w="109"/>
        <w:gridCol w:w="109"/>
        <w:gridCol w:w="240"/>
        <w:gridCol w:w="241"/>
        <w:gridCol w:w="196"/>
        <w:gridCol w:w="109"/>
        <w:gridCol w:w="109"/>
        <w:gridCol w:w="109"/>
        <w:gridCol w:w="196"/>
        <w:gridCol w:w="436"/>
        <w:gridCol w:w="109"/>
        <w:gridCol w:w="109"/>
        <w:gridCol w:w="109"/>
        <w:gridCol w:w="109"/>
        <w:gridCol w:w="388"/>
        <w:gridCol w:w="656"/>
        <w:gridCol w:w="217"/>
        <w:gridCol w:w="109"/>
        <w:gridCol w:w="109"/>
        <w:gridCol w:w="109"/>
        <w:gridCol w:w="196"/>
        <w:gridCol w:w="646"/>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AND SHARES IN MILLIONS EXCEPT PER SHARE AMOUNTS)</w:t>
            </w:r>
          </w:p>
        </w:tc>
        <w:tc>
          <w:tcPr>
            <w:tcW w:w="1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in</w:t>
              <w:br/>
              <w:t>excess of</w:t>
              <w:br/>
              <w:t>par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 2026</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dividends declared</w:t>
            </w:r>
            <w:r>
              <w:rPr>
                <w:rFonts w:ascii="Times New Roman;serif" w:hAnsi="Times New Roman;serif"/>
                <w:b w:val="false"/>
                <w:color w:val="000000"/>
                <w:sz w:val="10"/>
              </w:rPr>
              <w:t>(1)</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 stock options, and SSARs</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share repurchases</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 and awards</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(1)Cash dividends declared per common share were $0.40 for each of the three months ended March 31, 2026 and 2025.</w:t>
      </w:r>
    </w:p>
    <w:tbl>
      <w:tblPr>
        <w:tblW w:w="594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2" w:type="dxa"/>
            <w:gridSpan w:val="3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93370"/>
                <wp:effectExtent l="0" t="0" r="0" b="0"/>
                <wp:wrapNone/>
                <wp:docPr id="5" name="Frame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INTERNATIONAL FLAVORS &amp; FRAGRANCES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9806" w:type="dxa"/>
        <w:jc w:val="center"/>
        <w:tblInd w:w="0" w:type="dxa"/>
        <w:tblLayout w:type="fixed"/>
        <w:tblCellMar>
          <w:top w:w="28" w:type="dxa"/>
          <w:left w:w="28" w:type="dxa"/>
          <w:bottom w:w="28" w:type="dxa"/>
          <w:right w:w="28" w:type="dxa"/>
        </w:tblCellMar>
      </w:tblPr>
      <w:tblGrid>
        <w:gridCol w:w="2524"/>
        <w:gridCol w:w="2221"/>
        <w:gridCol w:w="2230"/>
        <w:gridCol w:w="275"/>
        <w:gridCol w:w="609"/>
        <w:gridCol w:w="142"/>
        <w:gridCol w:w="142"/>
        <w:gridCol w:w="142"/>
        <w:gridCol w:w="142"/>
        <w:gridCol w:w="275"/>
        <w:gridCol w:w="903"/>
        <w:gridCol w:w="201"/>
      </w:tblGrid>
      <w:tr>
        <w:trPr/>
        <w:tc>
          <w:tcPr>
            <w:tcW w:w="2524"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business disposals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contributions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for incentive compensation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assets/liabilities, net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received from business disposals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received on foreign currency forward contracts </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 to shareholders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(repayments) borrowings of commercial paper (maturities less than three months)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of debt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93370"/>
                <wp:effectExtent l="0" t="0" r="0" b="0"/>
                <wp:wrapNone/>
                <wp:docPr id="6" name="Frame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FLAVORS &amp; FRAGRANCES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    NATURE OF OPERATIONS AND SUMMARY OF SIGNIFICANT ACCOUNTING POLICIES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Nature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International Flavors &amp; Fragrances Inc. and its subsidiaries (the “Registrant,” “IFF,” the “Company,” “we,” “us” and “our”) is a leading creator and manufacturer of products for application in food, beverage, health &amp; biosciences, scent (and pharmaceuticals, until the sale of our Pharma Solutions disposal group in May 2025), as well as complementary adjacent products, including natural health ingredients, all of which are used in a wide variety of consumer and end-use products. Our products are sold principally to manufacturers of dairy, meat, beverages, snacks, savory, sweet, baked goods, grain processors and other foods, personal care products, soaps and detergents, cleaning products, perfumes, dietary supplements, food protection, infant, elderly and animal nutrition, functional food, bio-fuel, pharmaceutical and oral care products. As a result, we hold global leadership positions in the Food &amp; Beverage, Home &amp; Personal Care and Health &amp; Wellness markets, and across key Tastes, Textures, Scents, Nutrition, Enzymes, Cultures, Soy Proteins, and Probiotics categories, among others.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interim Consolidated Financial Statements should be read in conjunction with the Consolidated Financial Statements and the related notes included in our 2025 Annual Report on Form 10-K (“2025 Form 10-K”), filed on February 27, 2026 with the Securities and Exchange Commission (“SEC”).</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interim Consolidated Financial Statements are prepared in accordance with generally accepted accounting principles (“GAAP”) in the United States of America for interim financial information and with the rules and regulations for reporting on Form 10-Q, and are unaudited. Accordingly, certain information and footnote disclosures normally included in financial statements prepared in accordance with GAAP in the United States of America have been condensed or omitted, if not materially different from the 2025 Form 10-K. The year-end balance sheet data included in this Form 10-Q was derived from the audited financial statements. In the opinion of management, all adjustments, which consist of normal recurring adjustments necessary for a fair statement of the interim Consolidated Financial Statements, have been made.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judgments that affect the reported amounts of assets and liabilities, the disclosure of contingent assets and liabilities at the date of the financial statements, and revenue and expenses during the periods reported. The Company uses estimates to assess expected credit losses on its financial assets, sales discounts, rebates and allowances, the recoverability of inventory, the realization of deferred tax assets, annual effective tax rate, the recoverability of long-lived assets, useful lives and impairment of tangible and intangible assets including goodwill, restructuring reserves, pension and postretirement benefit costs, fair value of equity compensation, and the amount of exposure from potential loss contingencies, among others. Estimates and assumptions are reviewed periodically, and the effects of revisions are reflected in the Combined Financial Statements in the period they are determined to be necessary. Inputs into the Company’s judgments and estimates take into account the ongoing global current events and macroeconomic environment on the Company’s critical and significant accounting estimates. Actual results could differ from those estimates.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reported in the Company’s balance sheet as of March 31, 2026, December 31, 2025, March 31, 2025 and December 31, 2024 were as follows:</w:t>
      </w:r>
    </w:p>
    <w:tbl>
      <w:tblPr>
        <w:tblW w:w="10205" w:type="dxa"/>
        <w:jc w:val="center"/>
        <w:tblInd w:w="0" w:type="dxa"/>
        <w:tblLayout w:type="fixed"/>
        <w:tblCellMar>
          <w:top w:w="28" w:type="dxa"/>
          <w:left w:w="28" w:type="dxa"/>
          <w:bottom w:w="28" w:type="dxa"/>
          <w:right w:w="28" w:type="dxa"/>
        </w:tblCellMar>
      </w:tblPr>
      <w:tblGrid>
        <w:gridCol w:w="1370"/>
        <w:gridCol w:w="1163"/>
        <w:gridCol w:w="1167"/>
        <w:gridCol w:w="333"/>
        <w:gridCol w:w="737"/>
        <w:gridCol w:w="172"/>
        <w:gridCol w:w="109"/>
        <w:gridCol w:w="109"/>
        <w:gridCol w:w="109"/>
        <w:gridCol w:w="399"/>
        <w:gridCol w:w="885"/>
        <w:gridCol w:w="209"/>
        <w:gridCol w:w="109"/>
        <w:gridCol w:w="109"/>
        <w:gridCol w:w="109"/>
        <w:gridCol w:w="333"/>
        <w:gridCol w:w="737"/>
        <w:gridCol w:w="172"/>
        <w:gridCol w:w="109"/>
        <w:gridCol w:w="109"/>
        <w:gridCol w:w="109"/>
        <w:gridCol w:w="390"/>
        <w:gridCol w:w="863"/>
        <w:gridCol w:w="294"/>
      </w:tblGrid>
      <w:tr>
        <w:trPr/>
        <w:tc>
          <w:tcPr>
            <w:tcW w:w="137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included in Assets held for sale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r>
      <w:tr>
        <w:trPr/>
        <w:tc>
          <w:tcPr>
            <w:tcW w:w="370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r>
      <w:tr>
        <w:trPr/>
        <w:tc>
          <w:tcPr>
            <w:tcW w:w="370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no restricted cash as of March 31, 2026 and December 31, 2025.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various factoring agreements globally under which it can factor up to approximately $533 million of its trade receivables (“Company’s own factoring agreements”). In addition, the Company utilizes factoring agreements sponsored by certain customers. Under all of the arrangements, the Company sells the trade receivables on a non-recourse basis to unrelated financial institutions and accounts for the transactions as sales of receivables. The applicable receivables are removed from the Company’s Consolidated Balance Sheets when the cash proceeds are received by the Company.</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The Company sold a total of approximately </w:t>
      </w:r>
      <w:r>
        <w:rPr>
          <w:rFonts w:ascii="Times New Roman;serif" w:hAnsi="Times New Roman;serif"/>
          <w:b w:val="false"/>
          <w:color w:val="000000"/>
          <w:sz w:val="20"/>
          <w:shd w:fill="FFFFFF" w:val="clear"/>
        </w:rPr>
        <w:t>$516 million</w:t>
      </w:r>
      <w:r>
        <w:rPr>
          <w:color w:val="000000"/>
        </w:rPr>
        <w:t xml:space="preserve"> </w:t>
      </w:r>
      <w:r>
        <w:rPr>
          <w:rFonts w:ascii="Times New Roman;serif" w:hAnsi="Times New Roman;serif"/>
          <w:b w:val="false"/>
          <w:color w:val="000000"/>
          <w:sz w:val="20"/>
        </w:rPr>
        <w:t xml:space="preserve">and $413 million of receivables under the Company’s own factoring agreements and customer sponsored factoring agreements for the three months ended March 31, 2026 and 2025, </w:t>
      </w:r>
      <w:r>
        <w:rPr>
          <w:rFonts w:ascii="Times New Roman;serif" w:hAnsi="Times New Roman;serif"/>
          <w:b w:val="false"/>
          <w:color w:val="000000"/>
          <w:sz w:val="20"/>
          <w:shd w:fill="FFFFFF" w:val="clear"/>
        </w:rPr>
        <w:t>respectively. The cost of participating in these programs was approximately $6 million for each of the three months ended March 31, 2026 and 2025. These costs are included as a component of interest expense. Although the Company’s own factoring agreements are non-recourse to the Company, the Company has continued responsibility to collect receivables on behalf of the sponsoring banks. Under these agreements, the Company sold approximately $402 million and $196 million of receivables for the three months ended March 31, 2026 and 2025, respectively. The outstanding principal amounts of receivables under the Company’s own factoring agreements amounted to approximately $394 million and $361 million as of March 31, 2026 and December 31, 2025, respectively. The proceeds from the sales of receivables are inc</w:t>
      </w:r>
      <w:r>
        <w:rPr>
          <w:rFonts w:ascii="Times New Roman;serif" w:hAnsi="Times New Roman;serif"/>
          <w:b w:val="false"/>
          <w:color w:val="000000"/>
          <w:sz w:val="20"/>
        </w:rPr>
        <w:t>luded in Net cash provided by operating activities in the Consolidated Statements of Cash Flows.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Expected Credit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reported $1.830 billion of trade receivables, net of allowances of $26 million. Based on the aging analysis as of March 31, 2026, less than 1% of the Company’s accounts receivable were past due by over 365 days based on the payment terms of the invoice.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roll-forward of the Company’s allowances for bad debts for the three months ended March 31, 2026 and 2025:</w:t>
      </w:r>
    </w:p>
    <w:tbl>
      <w:tblPr>
        <w:tblW w:w="5622" w:type="dxa"/>
        <w:jc w:val="center"/>
        <w:tblInd w:w="0" w:type="dxa"/>
        <w:tblLayout w:type="fixed"/>
        <w:tblCellMar>
          <w:top w:w="28" w:type="dxa"/>
          <w:left w:w="28" w:type="dxa"/>
          <w:bottom w:w="28" w:type="dxa"/>
          <w:right w:w="28" w:type="dxa"/>
        </w:tblCellMar>
      </w:tblPr>
      <w:tblGrid>
        <w:gridCol w:w="1009"/>
        <w:gridCol w:w="889"/>
        <w:gridCol w:w="891"/>
        <w:gridCol w:w="425"/>
        <w:gridCol w:w="727"/>
        <w:gridCol w:w="219"/>
        <w:gridCol w:w="425"/>
        <w:gridCol w:w="727"/>
        <w:gridCol w:w="310"/>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Allowances for bad debt expense</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(on a weighted-average basis) or net realizable value. The Company’s inventories consisted of the following:</w:t>
      </w:r>
    </w:p>
    <w:tbl>
      <w:tblPr>
        <w:tblW w:w="5500" w:type="dxa"/>
        <w:jc w:val="left"/>
        <w:tblInd w:w="0" w:type="dxa"/>
        <w:tblLayout w:type="fixed"/>
        <w:tblCellMar>
          <w:top w:w="28" w:type="dxa"/>
          <w:left w:w="28" w:type="dxa"/>
          <w:bottom w:w="28" w:type="dxa"/>
          <w:right w:w="28" w:type="dxa"/>
        </w:tblCellMar>
      </w:tblPr>
      <w:tblGrid>
        <w:gridCol w:w="711"/>
        <w:gridCol w:w="626"/>
        <w:gridCol w:w="628"/>
        <w:gridCol w:w="324"/>
        <w:gridCol w:w="948"/>
        <w:gridCol w:w="167"/>
        <w:gridCol w:w="109"/>
        <w:gridCol w:w="109"/>
        <w:gridCol w:w="109"/>
        <w:gridCol w:w="380"/>
        <w:gridCol w:w="1110"/>
        <w:gridCol w:w="279"/>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Pronouncements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to address suggestions received from stakeholders on the Accounting Standards Codification and to make other incremental improvements to U.S. GAAP. The update represents changes to the Codification that (1) clarify, (2) correct errors, or (3) make minor improvements. The amendments make the Codification easier to understand and apply. The guidance is effective for fiscal years beginning after December 15, 2026, including interim periods within those fiscal years. The Company does not expect this guidance to have a significant impact on its Consolidated Financial Statements and related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2025-11 to amend the guidance in “Interim Reporting”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designed to enhance clarity in application. The guidance is effective for fiscal years beginning after December 15, 2027, including interim periods within those fiscal years. The Company does not expect any significant impact on its financial condition or results of operations upon adoption.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The update provides recognition, measurement, presentation, and disclosure requirements for government grants, including guidance for grants related to an asset and grants related to income. The amendments introduce two permitted approaches for asset-related grants: a deferred income approach or a cost accumulation approach. The guidance is effective for fiscal years beginning after December 15, 2028, including interim periods within those fiscal years. The Company is currently evaluating the impact of this guidance on its Consolidated Financial Statements and related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2025, the FASB issued ASU 2025-09 to amend the guidance in “Derivatives and Hedging” (Topic 815). The update provides targeted improvements intended to enhance the application of hedge accounting, including expanded eligibility of forecasted transactions, additional flexibility in measuring hedge effectiveness, and clarifications related to hedging non-financial items. The guidance is effective for fiscal years beginning after December 15, 2026, including interim periods within those fiscal years. The Company is currently evaluating the impact of this guidance on its Consolidated Financial Statements and related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 use Software (Subtopic 350-40): Targeted improvements to the Accounting for Internal-use Software”. The ASU was issued to modernize the accounting for internal-use software by eliminating the accounting consideration of software project development stages and clarifying the threshold applied to begin capitalizing costs. This guidance is effective for annual periods beginning after December 15, 2027, and interim reporting periods within those annual reporting periods, with early adoption permitted. Public business entities are permitted to adopt the ASU prospectively or retrospectively. The Company is currently evaluating the impact of this guidance on its Consolidated Financial Statements and related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which provides a practical expedient to measure credit losses on accounts receivable and contract assets. This guidance is effective for annual reporting periods beginning after December 15, 2025, and interim reporting periods within those annual reporting periods. The Company has adopted the ASU prospectively and has determined that there is no material impact of this guidance on its Consolidated Financial Statements and related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and in January 2025, issued ASU 2025-01, Income Statement - Reporting Comprehensive Income - Expense Disaggregation Disclosures (Subtopic 220-40): Clarifying the Effective Date (“ASU 2025-01”). The ASU was issued to improve the disclosures about a public business entity’s expenses, primarily through disaggregation of certain expense captions into specified categories in disclosures within the footnotes to the financial statements. This guidance is effective for fiscal years beginning after December 15, 2026, and interim periods within fiscal years beginning after December 15, 2027, with early adoption permitted. Public business entities are permitted to adopt the ASU prospectively or retrospectively. The Company is currently evaluating the impact that this guidance will have on its Consolidated Financial Statements and related disclosures.</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NET INCOME (LOSS) PER SHARE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the shares used in the computation of basic and diluted net income (loss) per share is as follows:</w:t>
      </w:r>
    </w:p>
    <w:tbl>
      <w:tblPr>
        <w:tblW w:w="7753" w:type="dxa"/>
        <w:jc w:val="left"/>
        <w:tblInd w:w="0" w:type="dxa"/>
        <w:tblLayout w:type="fixed"/>
        <w:tblCellMar>
          <w:top w:w="28" w:type="dxa"/>
          <w:left w:w="28" w:type="dxa"/>
          <w:bottom w:w="28" w:type="dxa"/>
          <w:right w:w="28" w:type="dxa"/>
        </w:tblCellMar>
      </w:tblPr>
      <w:tblGrid>
        <w:gridCol w:w="1621"/>
        <w:gridCol w:w="1427"/>
        <w:gridCol w:w="1436"/>
        <w:gridCol w:w="271"/>
        <w:gridCol w:w="657"/>
        <w:gridCol w:w="140"/>
        <w:gridCol w:w="140"/>
        <w:gridCol w:w="140"/>
        <w:gridCol w:w="140"/>
        <w:gridCol w:w="271"/>
        <w:gridCol w:w="889"/>
        <w:gridCol w:w="140"/>
        <w:gridCol w:w="109"/>
        <w:gridCol w:w="109"/>
        <w:gridCol w:w="109"/>
        <w:gridCol w:w="154"/>
      </w:tblGrid>
      <w:tr>
        <w:trPr/>
        <w:tc>
          <w:tcPr>
            <w:tcW w:w="1621"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(AMOUNTS IN MILLIONS EXCEPT PER SHARE AMOUNTS)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available to IFF shareholders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assumed dilution:</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 awards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assuming dilution (diluted)</w:t>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 basic and diluted</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declared a quarterly dividend to its shareholders of $0.40 for each of the three months ended March 31, 2026 and 2025.</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For the three months ended March 31, 2026 and 2025, there were approximately </w:t>
      </w:r>
      <w:r>
        <w:rPr>
          <w:rFonts w:ascii="Times New Roman;serif" w:hAnsi="Times New Roman;serif"/>
          <w:b w:val="false"/>
          <w:color w:val="000000"/>
          <w:sz w:val="20"/>
          <w:shd w:fill="FFFFFF" w:val="clear"/>
        </w:rPr>
        <w:t>0.3 million</w:t>
      </w:r>
      <w:r>
        <w:rPr>
          <w:color w:val="000000"/>
        </w:rPr>
        <w:t xml:space="preserve"> </w:t>
      </w:r>
      <w:r>
        <w:rPr>
          <w:rFonts w:ascii="Times New Roman;serif" w:hAnsi="Times New Roman;serif"/>
          <w:b w:val="false"/>
          <w:color w:val="000000"/>
          <w:sz w:val="20"/>
        </w:rPr>
        <w:t xml:space="preserve">share equivalents that had an anti-dilutive effect and therefore were excluded from the computation of diluted net income per share in the period. </w:t>
      </w:r>
    </w:p>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5, 2025, the Company announced that its Board of Directors has authorized a new share repurchase program with a total value of $500 million. The program began on October 1, 2025 and does not have a specified term or termination date. Under the program, the Company is authorized to repurchase shares of common stock in privately negotiated transactions, and/or open market transactions, including under plans complying with Rule 10b5-1 under the Exchange Act, and in block trades, or a combination of the foregoing. The Board will review the share repurchase program periodically and may authorize adjustment of its term and size. The Company plans to fund repurchases from available cash and cash provided by operating activities.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During the first quarter of 2026, the Company repurchased approximately 481,000 s</w:t>
      </w:r>
      <w:r>
        <w:rPr>
          <w:rFonts w:ascii="Times New Roman;serif" w:hAnsi="Times New Roman;serif"/>
          <w:b w:val="false"/>
          <w:color w:val="000000"/>
          <w:sz w:val="20"/>
          <w:shd w:fill="FFFFFF" w:val="clear"/>
        </w:rPr>
        <w:t>hares of common stock at a cost of approximately $35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 3. BUSINESS DIVESTITURES AND ASSETS AND LIABILITIES HELD FOR SALE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Divestiture of Soy Crush, Concentrates &amp; Lecithin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2025, the Company announced it had entered into a definitive agreement to divest its Soy Crush, Concentrates, and Lecithin business (the “SCL disposal group”), which was included in the Food Ingredients segment. This sale aligned with IFF’s strategy to strengthen its portfolio and supports the ongoing evaluation of strategic alternatives for the Food Ingredients segment.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completed the divestiture on March 2, 2026, and received cash proceeds of approximately $105 million and recognized a pre-tax loss of approximately $7 million, presented in Losses on business disposals on the Consolidated Statements of Income (Loss) and Comprehensive Income (Loss) for the three months ended March 31, 2026. This is in addition to the life-to-date loss on assets classified as held for sale of $115 million recognized through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sale consideration is subject to certain post-closing adjustments in accordance with the transaction agreement.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income tax benefit recognized was approximately $1 million for the three months ended March 31, 2026. This is in addition to approximately $27 million of income tax benefit that was recognized for the year ended December 31, 2025 for a total income tax benefit of $28 million. </w:t>
      </w:r>
    </w:p>
    <w:tbl>
      <w:tblPr>
        <w:tblW w:w="3486" w:type="dxa"/>
        <w:jc w:val="left"/>
        <w:tblInd w:w="0" w:type="dxa"/>
        <w:tblLayout w:type="fixed"/>
        <w:tblCellMar>
          <w:top w:w="28" w:type="dxa"/>
          <w:left w:w="28" w:type="dxa"/>
          <w:bottom w:w="28" w:type="dxa"/>
          <w:right w:w="28" w:type="dxa"/>
        </w:tblCellMar>
      </w:tblPr>
      <w:tblGrid>
        <w:gridCol w:w="961"/>
        <w:gridCol w:w="846"/>
        <w:gridCol w:w="848"/>
        <w:gridCol w:w="211"/>
        <w:gridCol w:w="46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from the buyer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to sell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sale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 of net assets associated with the SCL disposal group as of the disposal date was approximately $110 million. The major classes of assets and liabilities sold consisted of the following:</w:t>
      </w:r>
    </w:p>
    <w:tbl>
      <w:tblPr>
        <w:tblW w:w="5332" w:type="dxa"/>
        <w:jc w:val="left"/>
        <w:tblInd w:w="0" w:type="dxa"/>
        <w:tblLayout w:type="fixed"/>
        <w:tblCellMar>
          <w:top w:w="28" w:type="dxa"/>
          <w:left w:w="28" w:type="dxa"/>
          <w:bottom w:w="28" w:type="dxa"/>
          <w:right w:w="28" w:type="dxa"/>
        </w:tblCellMar>
      </w:tblPr>
      <w:tblGrid>
        <w:gridCol w:w="1351"/>
        <w:gridCol w:w="1190"/>
        <w:gridCol w:w="1194"/>
        <w:gridCol w:w="109"/>
        <w:gridCol w:w="109"/>
        <w:gridCol w:w="350"/>
        <w:gridCol w:w="774"/>
        <w:gridCol w:w="255"/>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 2026</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 recognized on assets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net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Carrying Amount of Assets and Liabilities Held for Sale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Consolidated Balance Sheet as of December 31, 2025 included the carrying amounts of the assets and liabilities of the SCL disposal group as held for sale.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assets or liabilities held for sale as of March 31, 2026.</w:t>
      </w:r>
    </w:p>
    <w:tbl>
      <w:tblPr>
        <w:tblW w:w="5722" w:type="dxa"/>
        <w:jc w:val="left"/>
        <w:tblInd w:w="0" w:type="dxa"/>
        <w:tblLayout w:type="fixed"/>
        <w:tblCellMar>
          <w:top w:w="28" w:type="dxa"/>
          <w:left w:w="28" w:type="dxa"/>
          <w:bottom w:w="28" w:type="dxa"/>
          <w:right w:w="28" w:type="dxa"/>
        </w:tblCellMar>
      </w:tblPr>
      <w:tblGrid>
        <w:gridCol w:w="1351"/>
        <w:gridCol w:w="1190"/>
        <w:gridCol w:w="1194"/>
        <w:gridCol w:w="109"/>
        <w:gridCol w:w="109"/>
        <w:gridCol w:w="448"/>
        <w:gridCol w:w="992"/>
        <w:gridCol w:w="329"/>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 recognized on assets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RESTRUCTURING AND OTHER CHARGES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and other charges primarily consist of separation costs for employees including severance, outplacement and other employee benefit costs (“Severance”), charges related to the write-down of fixed assets of plants to be closed (“Fixed asset write-down”) and all other related restructuring (“Other”) costs. All restructuring and other charges are separately stated on the Consolidated Statements of Income (Loss) and Comprehensive Income (Loss).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IFF Productivity Program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2024, the Company commenced a productivity enhancement program aimed at improving productivity and optimizing its organizational footprint to align with business needs. This program will involve a series of actions, including ceasing operations in select manufacturing plants, consolidating leased and owned real estate space, and reducing employee headcount. The Company aims to substantially complete this productivity program by December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total cost of the program initiatives ranges from $110 million to $130 million. The anticipated cash charges include employee-related costs such as severance, contract terminations costs, and dismantling costs. Additionally, non-cash charges related to assets, such as fixed asset write downs, are expected.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inception of the program, the Company has recognized $85 million in severance costs and $14 million in fixed asset write-downs and site closure expenses. During the first quarter of 2026, the Company incurred approximately $6 million in severance costs in connection with the IFF Productivity program, including $1 million of non-cash stock compensation acceleration expense. During the first quarter of 2025, the Company incurred approximately $17 million in severance costs.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Restructuring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restructuring liabilities during the three months ended March 31, 2026 were as follows:</w:t>
      </w:r>
    </w:p>
    <w:tbl>
      <w:tblPr>
        <w:tblW w:w="10205" w:type="dxa"/>
        <w:jc w:val="center"/>
        <w:tblInd w:w="0" w:type="dxa"/>
        <w:tblLayout w:type="fixed"/>
        <w:tblCellMar>
          <w:top w:w="28" w:type="dxa"/>
          <w:left w:w="28" w:type="dxa"/>
          <w:bottom w:w="28" w:type="dxa"/>
          <w:right w:w="28" w:type="dxa"/>
        </w:tblCellMar>
      </w:tblPr>
      <w:tblGrid>
        <w:gridCol w:w="868"/>
        <w:gridCol w:w="599"/>
        <w:gridCol w:w="601"/>
        <w:gridCol w:w="377"/>
        <w:gridCol w:w="646"/>
        <w:gridCol w:w="195"/>
        <w:gridCol w:w="109"/>
        <w:gridCol w:w="109"/>
        <w:gridCol w:w="109"/>
        <w:gridCol w:w="654"/>
        <w:gridCol w:w="793"/>
        <w:gridCol w:w="338"/>
        <w:gridCol w:w="109"/>
        <w:gridCol w:w="109"/>
        <w:gridCol w:w="109"/>
        <w:gridCol w:w="446"/>
        <w:gridCol w:w="573"/>
        <w:gridCol w:w="232"/>
        <w:gridCol w:w="109"/>
        <w:gridCol w:w="109"/>
        <w:gridCol w:w="109"/>
        <w:gridCol w:w="342"/>
        <w:gridCol w:w="609"/>
        <w:gridCol w:w="178"/>
        <w:gridCol w:w="109"/>
        <w:gridCol w:w="109"/>
        <w:gridCol w:w="109"/>
        <w:gridCol w:w="109"/>
        <w:gridCol w:w="109"/>
        <w:gridCol w:w="353"/>
        <w:gridCol w:w="605"/>
        <w:gridCol w:w="270"/>
      </w:tblGrid>
      <w:tr>
        <w:trPr/>
        <w:tc>
          <w:tcPr>
            <w:tcW w:w="86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Balance at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Charges (Reversals),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Non-Cash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Balance at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IFF Productivity Program </w:t>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Severance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other charges</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liabilities are presented in “Other current liabilities” on the Consolidated Balance Sheets.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Charges by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amount of costs incurred in connection with the restructuring programs and activities by segment:</w:t>
      </w:r>
    </w:p>
    <w:tbl>
      <w:tblPr>
        <w:tblW w:w="6449" w:type="dxa"/>
        <w:jc w:val="center"/>
        <w:tblInd w:w="0" w:type="dxa"/>
        <w:tblLayout w:type="fixed"/>
        <w:tblCellMar>
          <w:top w:w="28" w:type="dxa"/>
          <w:left w:w="28" w:type="dxa"/>
          <w:bottom w:w="28" w:type="dxa"/>
          <w:right w:w="28" w:type="dxa"/>
        </w:tblCellMar>
      </w:tblPr>
      <w:tblGrid>
        <w:gridCol w:w="1150"/>
        <w:gridCol w:w="1013"/>
        <w:gridCol w:w="1016"/>
        <w:gridCol w:w="371"/>
        <w:gridCol w:w="451"/>
        <w:gridCol w:w="192"/>
        <w:gridCol w:w="192"/>
        <w:gridCol w:w="192"/>
        <w:gridCol w:w="192"/>
        <w:gridCol w:w="371"/>
        <w:gridCol w:w="636"/>
        <w:gridCol w:w="192"/>
        <w:gridCol w:w="109"/>
        <w:gridCol w:w="109"/>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Taste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Ingredients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Scent</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other charges</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STOCK COMPENSATION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various plans under which its officers, senior management, other key employees and directors may be granted equity-based awards. Equity awards outstanding under the plans include Restricted Stock Units (“RSUs”), Stock-Settled Appreciation Rights (“SSARs”) and Stock Options, and Performance Stock Units (“PSUs”). Liability-based awards outstanding under the plans are cash-settled RSUs.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and related tax benefits were as follows:</w:t>
      </w:r>
    </w:p>
    <w:tbl>
      <w:tblPr>
        <w:tblW w:w="7469" w:type="dxa"/>
        <w:jc w:val="left"/>
        <w:tblInd w:w="0" w:type="dxa"/>
        <w:tblLayout w:type="fixed"/>
        <w:tblCellMar>
          <w:top w:w="28" w:type="dxa"/>
          <w:left w:w="28" w:type="dxa"/>
          <w:bottom w:w="28" w:type="dxa"/>
          <w:right w:w="28" w:type="dxa"/>
        </w:tblCellMar>
      </w:tblPr>
      <w:tblGrid>
        <w:gridCol w:w="1520"/>
        <w:gridCol w:w="1338"/>
        <w:gridCol w:w="1342"/>
        <w:gridCol w:w="348"/>
        <w:gridCol w:w="596"/>
        <w:gridCol w:w="180"/>
        <w:gridCol w:w="180"/>
        <w:gridCol w:w="180"/>
        <w:gridCol w:w="180"/>
        <w:gridCol w:w="348"/>
        <w:gridCol w:w="596"/>
        <w:gridCol w:w="180"/>
        <w:gridCol w:w="109"/>
        <w:gridCol w:w="109"/>
        <w:gridCol w:w="109"/>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awards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Tax benefit</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after tax</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As of March 31, 2026, there was approximately </w:t>
      </w:r>
      <w:r>
        <w:rPr>
          <w:rFonts w:ascii="Times New Roman;serif" w:hAnsi="Times New Roman;serif"/>
          <w:b w:val="false"/>
          <w:color w:val="000000"/>
          <w:sz w:val="20"/>
          <w:shd w:fill="FFFFFF" w:val="clear"/>
        </w:rPr>
        <w:t>$58 million</w:t>
      </w:r>
      <w:r>
        <w:rPr>
          <w:color w:val="000000"/>
        </w:rPr>
        <w:t xml:space="preserve"> </w:t>
      </w:r>
      <w:r>
        <w:rPr>
          <w:rFonts w:ascii="Times New Roman;serif" w:hAnsi="Times New Roman;serif"/>
          <w:b w:val="false"/>
          <w:color w:val="000000"/>
          <w:sz w:val="20"/>
        </w:rPr>
        <w:t>of total unrecognized compensation cost related to non-vested awards granted under the equity incentive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SEGMENT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reportable segments are: Taste, Food Ingredients, Health &amp; Biosciences, and Scent. Prior to the sale of the Pharma Solutions disposal group in the second quarter of 2025, Pharma Solutions was also a reportable segment. </w:t>
      </w:r>
    </w:p>
    <w:p>
      <w:pPr>
        <w:pStyle w:val="TextBody"/>
        <w:bidi w:val="0"/>
        <w:spacing w:lineRule="auto" w:line="288" w:before="120" w:after="283"/>
        <w:ind w:left="0" w:right="0" w:firstLine="470"/>
        <w:jc w:val="both"/>
        <w:rPr/>
      </w:pPr>
      <w:r>
        <w:rPr>
          <w:rFonts w:ascii="Times New Roman;serif" w:hAnsi="Times New Roman;serif"/>
          <w:b w:val="false"/>
          <w:color w:val="000000"/>
          <w:sz w:val="20"/>
        </w:rPr>
        <w:t>The Company’s CODM evaluates the performance of these reportable segments based on its Adjusted Operating EBITDA,</w:t>
      </w:r>
      <w:r>
        <w:rPr>
          <w:color w:val="000000"/>
        </w:rPr>
        <w:t xml:space="preserve"> </w:t>
      </w:r>
      <w:r>
        <w:rPr>
          <w:rFonts w:ascii="Times New Roman;serif" w:hAnsi="Times New Roman;serif"/>
          <w:b w:val="false"/>
          <w:color w:val="000000"/>
          <w:sz w:val="20"/>
        </w:rPr>
        <w:t>which is defined as Income (loss) before taxes, depreciation and amortization expense, interest expense, restructuring</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other charges</w:t>
      </w:r>
      <w:r>
        <w:rPr>
          <w:color w:val="000000"/>
        </w:rPr>
        <w:t xml:space="preserve"> </w:t>
      </w:r>
      <w:r>
        <w:rPr>
          <w:rFonts w:ascii="Times New Roman;serif" w:hAnsi="Times New Roman;serif"/>
          <w:b w:val="false"/>
          <w:color w:val="000000"/>
          <w:sz w:val="20"/>
        </w:rPr>
        <w:t>and certain items</w:t>
      </w:r>
      <w:r>
        <w:rPr>
          <w:color w:val="000000"/>
        </w:rPr>
        <w:t xml:space="preserve"> </w:t>
      </w:r>
      <w:r>
        <w:rPr>
          <w:rFonts w:ascii="Times New Roman;serif" w:hAnsi="Times New Roman;serif"/>
          <w:b w:val="false"/>
          <w:color w:val="000000"/>
          <w:sz w:val="20"/>
        </w:rPr>
        <w:t>that</w:t>
      </w:r>
      <w:r>
        <w:rPr>
          <w:color w:val="000000"/>
        </w:rPr>
        <w:t xml:space="preserve"> </w:t>
      </w:r>
      <w:r>
        <w:rPr>
          <w:rFonts w:ascii="Times New Roman;serif" w:hAnsi="Times New Roman;serif"/>
          <w:b w:val="false"/>
          <w:color w:val="000000"/>
          <w:sz w:val="20"/>
        </w:rPr>
        <w:t>are</w:t>
      </w:r>
      <w:r>
        <w:rPr>
          <w:color w:val="000000"/>
        </w:rPr>
        <w:t xml:space="preserve"> </w:t>
      </w:r>
      <w:r>
        <w:rPr>
          <w:rFonts w:ascii="Times New Roman;serif" w:hAnsi="Times New Roman;serif"/>
          <w:b w:val="false"/>
          <w:color w:val="000000"/>
          <w:sz w:val="20"/>
        </w:rPr>
        <w:t>not</w:t>
      </w:r>
      <w:r>
        <w:rPr>
          <w:color w:val="000000"/>
        </w:rPr>
        <w:t xml:space="preserve"> </w:t>
      </w:r>
      <w:r>
        <w:rPr>
          <w:rFonts w:ascii="Times New Roman;serif" w:hAnsi="Times New Roman;serif"/>
          <w:b w:val="false"/>
          <w:color w:val="000000"/>
          <w:sz w:val="20"/>
        </w:rPr>
        <w:t>related to recurring</w:t>
      </w:r>
      <w:r>
        <w:rPr>
          <w:color w:val="000000"/>
        </w:rPr>
        <w:t xml:space="preserve"> </w:t>
      </w:r>
      <w:r>
        <w:rPr>
          <w:rFonts w:ascii="Times New Roman;serif" w:hAnsi="Times New Roman;serif"/>
          <w:b w:val="false"/>
          <w:color w:val="000000"/>
          <w:sz w:val="20"/>
        </w:rPr>
        <w:t>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70"/>
        <w:jc w:val="both"/>
        <w:rPr>
          <w:rFonts w:ascii="Times New Roman;serif" w:hAnsi="Times New Roman;serif"/>
          <w:b w:val="false"/>
          <w:color w:val="000000"/>
          <w:sz w:val="20"/>
        </w:rPr>
      </w:pPr>
      <w:r>
        <w:rPr>
          <w:rFonts w:ascii="Times New Roman;serif" w:hAnsi="Times New Roman;serif"/>
          <w:b w:val="false"/>
          <w:color w:val="000000"/>
          <w:sz w:val="20"/>
        </w:rPr>
        <w:t>The Company’s CODM uses Adjusted Operating EBITDA to evaluate segment performance in deciding whether to reinvest resources into the respective segment or into other parts of the entity. Budget versus actual results of Adjusted Operating EBITDA is used in assessing performance of the segment and in establishing certain compensation payouts. The Company’s CODM also uses Adjusted Operating EBITDA in competitive analysis by benchmarking to the Company’s competitors.</w:t>
      </w:r>
    </w:p>
    <w:p>
      <w:pPr>
        <w:pStyle w:val="TextBody"/>
        <w:bidi w:val="0"/>
        <w:spacing w:lineRule="auto" w:line="288" w:before="120" w:after="283"/>
        <w:ind w:left="0" w:right="0" w:firstLine="470"/>
        <w:jc w:val="both"/>
        <w:rPr>
          <w:rFonts w:ascii="Times New Roman;serif" w:hAnsi="Times New Roman;serif"/>
          <w:b w:val="false"/>
          <w:color w:val="000000"/>
          <w:sz w:val="20"/>
        </w:rPr>
      </w:pPr>
      <w:r>
        <w:rPr>
          <w:rFonts w:ascii="Times New Roman;serif" w:hAnsi="Times New Roman;serif"/>
          <w:b w:val="false"/>
          <w:color w:val="000000"/>
          <w:sz w:val="20"/>
        </w:rPr>
        <w:t>The Company’s CODM does not use assets by segment to evaluate segment performance or allocate resources and thus, total assets by segment are not disclosed.</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Reportable segment information was as follows:</w:t>
      </w:r>
    </w:p>
    <w:tbl>
      <w:tblPr>
        <w:tblW w:w="10205" w:type="dxa"/>
        <w:jc w:val="left"/>
        <w:tblInd w:w="0" w:type="dxa"/>
        <w:tblLayout w:type="fixed"/>
        <w:tblCellMar>
          <w:top w:w="28" w:type="dxa"/>
          <w:left w:w="28" w:type="dxa"/>
          <w:bottom w:w="28" w:type="dxa"/>
          <w:right w:w="28" w:type="dxa"/>
        </w:tblCellMar>
      </w:tblPr>
      <w:tblGrid>
        <w:gridCol w:w="1021"/>
        <w:gridCol w:w="884"/>
        <w:gridCol w:w="900"/>
        <w:gridCol w:w="211"/>
        <w:gridCol w:w="466"/>
        <w:gridCol w:w="109"/>
        <w:gridCol w:w="109"/>
        <w:gridCol w:w="109"/>
        <w:gridCol w:w="109"/>
        <w:gridCol w:w="398"/>
        <w:gridCol w:w="882"/>
        <w:gridCol w:w="206"/>
        <w:gridCol w:w="109"/>
        <w:gridCol w:w="109"/>
        <w:gridCol w:w="109"/>
        <w:gridCol w:w="490"/>
        <w:gridCol w:w="1085"/>
        <w:gridCol w:w="254"/>
        <w:gridCol w:w="109"/>
        <w:gridCol w:w="109"/>
        <w:gridCol w:w="109"/>
        <w:gridCol w:w="211"/>
        <w:gridCol w:w="466"/>
        <w:gridCol w:w="109"/>
        <w:gridCol w:w="109"/>
        <w:gridCol w:w="109"/>
        <w:gridCol w:w="109"/>
        <w:gridCol w:w="109"/>
        <w:gridCol w:w="109"/>
        <w:gridCol w:w="211"/>
        <w:gridCol w:w="616"/>
        <w:gridCol w:w="160"/>
      </w:tblGrid>
      <w:tr>
        <w:trPr/>
        <w:tc>
          <w:tcPr>
            <w:tcW w:w="102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6"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1314" w:type="dxa"/>
            <w:gridSpan w:val="6"/>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Food Ingredients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Health &amp; Biosciences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&amp; development expenses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&amp; administrative expenses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add-back (a)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981" w:type="dxa"/>
        <w:jc w:val="left"/>
        <w:tblInd w:w="0" w:type="dxa"/>
        <w:tblLayout w:type="fixed"/>
        <w:tblCellMar>
          <w:top w:w="28" w:type="dxa"/>
          <w:left w:w="28" w:type="dxa"/>
          <w:bottom w:w="28" w:type="dxa"/>
          <w:right w:w="28" w:type="dxa"/>
        </w:tblCellMar>
      </w:tblPr>
      <w:tblGrid>
        <w:gridCol w:w="387"/>
        <w:gridCol w:w="341"/>
        <w:gridCol w:w="341"/>
        <w:gridCol w:w="341"/>
        <w:gridCol w:w="341"/>
        <w:gridCol w:w="341"/>
        <w:gridCol w:w="341"/>
        <w:gridCol w:w="341"/>
        <w:gridCol w:w="341"/>
        <w:gridCol w:w="341"/>
        <w:gridCol w:w="341"/>
        <w:gridCol w:w="353"/>
        <w:gridCol w:w="211"/>
        <w:gridCol w:w="466"/>
        <w:gridCol w:w="154"/>
      </w:tblGrid>
      <w:tr>
        <w:trPr/>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Reconciliation of Adjusted Operating EBITDA: </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889" w:type="dxa"/>
            <w:gridSpan w:val="9"/>
            <w:tcBorders/>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889" w:type="dxa"/>
            <w:gridSpan w:val="9"/>
            <w:tcBorders/>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889" w:type="dxa"/>
            <w:gridSpan w:val="9"/>
            <w:tcBorders/>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889" w:type="dxa"/>
            <w:gridSpan w:val="9"/>
            <w:tcBorders/>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889" w:type="dxa"/>
            <w:gridSpan w:val="9"/>
            <w:tcBorders/>
          </w:tcPr>
          <w:p>
            <w:pPr>
              <w:pStyle w:val="TableContents"/>
              <w:bidi w:val="0"/>
              <w:spacing w:before="0" w:after="283"/>
              <w:jc w:val="left"/>
              <w:rPr>
                <w:sz w:val="4"/>
                <w:szCs w:val="4"/>
              </w:rPr>
            </w:pPr>
            <w:r>
              <w:rPr>
                <w:sz w:val="4"/>
                <w:szCs w:val="4"/>
              </w:rPr>
            </w:r>
          </w:p>
        </w:tc>
      </w:tr>
      <w:tr>
        <w:trPr/>
        <w:tc>
          <w:tcPr>
            <w:tcW w:w="415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Operating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(b)</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(c)</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889" w:type="dxa"/>
            <w:gridSpan w:val="9"/>
            <w:tcBorders/>
          </w:tcPr>
          <w:p>
            <w:pPr>
              <w:pStyle w:val="TableContents"/>
              <w:bidi w:val="0"/>
              <w:spacing w:before="0" w:after="283"/>
              <w:jc w:val="left"/>
              <w:rPr>
                <w:sz w:val="4"/>
                <w:szCs w:val="4"/>
              </w:rPr>
            </w:pPr>
            <w:r>
              <w:rPr>
                <w:sz w:val="4"/>
                <w:szCs w:val="4"/>
              </w:rPr>
            </w:r>
          </w:p>
        </w:tc>
      </w:tr>
      <w:tr>
        <w:trPr/>
        <w:tc>
          <w:tcPr>
            <w:tcW w:w="41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Business Disposals (e)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Costs (f)</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 Costs (g)</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Costs (h)</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889" w:type="dxa"/>
            <w:gridSpan w:val="9"/>
            <w:tcBorders/>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889" w:type="dxa"/>
            <w:gridSpan w:val="9"/>
            <w:tcBorders/>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889" w:type="dxa"/>
            <w:gridSpan w:val="9"/>
            <w:tcBorders/>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889" w:type="dxa"/>
            <w:gridSpan w:val="9"/>
            <w:tcBorders/>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889" w:type="dxa"/>
            <w:gridSpan w:val="9"/>
            <w:tcBorders/>
          </w:tcPr>
          <w:p>
            <w:pPr>
              <w:pStyle w:val="TableContents"/>
              <w:bidi w:val="0"/>
              <w:spacing w:before="0" w:after="283"/>
              <w:jc w:val="left"/>
              <w:rPr>
                <w:sz w:val="4"/>
                <w:szCs w:val="4"/>
              </w:rPr>
            </w:pPr>
            <w:r>
              <w:rPr>
                <w:sz w:val="4"/>
                <w:szCs w:val="4"/>
              </w:rPr>
            </w:r>
          </w:p>
        </w:tc>
      </w:tr>
      <w:tr>
        <w:trPr/>
        <w:tc>
          <w:tcPr>
            <w:tcW w:w="41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87"/>
        <w:gridCol w:w="633"/>
        <w:gridCol w:w="645"/>
        <w:gridCol w:w="211"/>
        <w:gridCol w:w="466"/>
        <w:gridCol w:w="109"/>
        <w:gridCol w:w="109"/>
        <w:gridCol w:w="109"/>
        <w:gridCol w:w="109"/>
        <w:gridCol w:w="335"/>
        <w:gridCol w:w="742"/>
        <w:gridCol w:w="173"/>
        <w:gridCol w:w="109"/>
        <w:gridCol w:w="109"/>
        <w:gridCol w:w="109"/>
        <w:gridCol w:w="409"/>
        <w:gridCol w:w="906"/>
        <w:gridCol w:w="212"/>
        <w:gridCol w:w="109"/>
        <w:gridCol w:w="109"/>
        <w:gridCol w:w="109"/>
        <w:gridCol w:w="211"/>
        <w:gridCol w:w="466"/>
        <w:gridCol w:w="109"/>
        <w:gridCol w:w="109"/>
        <w:gridCol w:w="109"/>
        <w:gridCol w:w="109"/>
        <w:gridCol w:w="312"/>
        <w:gridCol w:w="693"/>
        <w:gridCol w:w="163"/>
        <w:gridCol w:w="109"/>
        <w:gridCol w:w="109"/>
        <w:gridCol w:w="109"/>
        <w:gridCol w:w="211"/>
        <w:gridCol w:w="616"/>
        <w:gridCol w:w="161"/>
      </w:tblGrid>
      <w:tr>
        <w:trPr/>
        <w:tc>
          <w:tcPr>
            <w:tcW w:w="78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r>
      <w:tr>
        <w:trPr/>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Food Ingredients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Health &amp; Biosciences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Pharma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&amp; development expenses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&amp; administrative expenses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add-back (a)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056" w:type="dxa"/>
        <w:jc w:val="left"/>
        <w:tblInd w:w="0" w:type="dxa"/>
        <w:tblLayout w:type="fixed"/>
        <w:tblCellMar>
          <w:top w:w="28" w:type="dxa"/>
          <w:left w:w="28" w:type="dxa"/>
          <w:bottom w:w="28" w:type="dxa"/>
          <w:right w:w="28" w:type="dxa"/>
        </w:tblCellMar>
      </w:tblPr>
      <w:tblGrid>
        <w:gridCol w:w="387"/>
        <w:gridCol w:w="341"/>
        <w:gridCol w:w="341"/>
        <w:gridCol w:w="341"/>
        <w:gridCol w:w="341"/>
        <w:gridCol w:w="341"/>
        <w:gridCol w:w="341"/>
        <w:gridCol w:w="341"/>
        <w:gridCol w:w="341"/>
        <w:gridCol w:w="341"/>
        <w:gridCol w:w="341"/>
        <w:gridCol w:w="353"/>
        <w:gridCol w:w="211"/>
        <w:gridCol w:w="541"/>
        <w:gridCol w:w="154"/>
      </w:tblGrid>
      <w:tr>
        <w:trPr/>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Reconciliation of Adjusted Operating EBITDA: </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964" w:type="dxa"/>
            <w:gridSpan w:val="9"/>
            <w:tcBorders/>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964" w:type="dxa"/>
            <w:gridSpan w:val="9"/>
            <w:tcBorders/>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964" w:type="dxa"/>
            <w:gridSpan w:val="9"/>
            <w:tcBorders/>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964" w:type="dxa"/>
            <w:gridSpan w:val="9"/>
            <w:tcBorders/>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964" w:type="dxa"/>
            <w:gridSpan w:val="9"/>
            <w:tcBorders/>
          </w:tcPr>
          <w:p>
            <w:pPr>
              <w:pStyle w:val="TableContents"/>
              <w:bidi w:val="0"/>
              <w:spacing w:before="0" w:after="283"/>
              <w:jc w:val="left"/>
              <w:rPr>
                <w:sz w:val="4"/>
                <w:szCs w:val="4"/>
              </w:rPr>
            </w:pPr>
            <w:r>
              <w:rPr>
                <w:sz w:val="4"/>
                <w:szCs w:val="4"/>
              </w:rPr>
            </w:r>
          </w:p>
        </w:tc>
      </w:tr>
      <w:tr>
        <w:trPr/>
        <w:tc>
          <w:tcPr>
            <w:tcW w:w="415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Operating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Costs (f)</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Initiatives Costs (g)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Costs (h)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964" w:type="dxa"/>
            <w:gridSpan w:val="9"/>
            <w:tcBorders/>
          </w:tcPr>
          <w:p>
            <w:pPr>
              <w:pStyle w:val="TableContents"/>
              <w:bidi w:val="0"/>
              <w:spacing w:before="0" w:after="283"/>
              <w:jc w:val="left"/>
              <w:rPr>
                <w:sz w:val="4"/>
                <w:szCs w:val="4"/>
              </w:rPr>
            </w:pPr>
            <w:r>
              <w:rPr>
                <w:sz w:val="4"/>
                <w:szCs w:val="4"/>
              </w:rPr>
            </w:r>
          </w:p>
        </w:tc>
      </w:tr>
      <w:tr>
        <w:trPr/>
        <w:tc>
          <w:tcPr>
            <w:tcW w:w="41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964" w:type="dxa"/>
            <w:gridSpan w:val="9"/>
            <w:tcBorders/>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964" w:type="dxa"/>
            <w:gridSpan w:val="9"/>
            <w:tcBorders/>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964" w:type="dxa"/>
            <w:gridSpan w:val="9"/>
            <w:tcBorders/>
          </w:tcPr>
          <w:p>
            <w:pPr>
              <w:pStyle w:val="TableContents"/>
              <w:bidi w:val="0"/>
              <w:spacing w:before="0" w:after="283"/>
              <w:jc w:val="left"/>
              <w:rPr>
                <w:sz w:val="4"/>
                <w:szCs w:val="4"/>
              </w:rPr>
            </w:pPr>
            <w:r>
              <w:rPr>
                <w:sz w:val="4"/>
                <w:szCs w:val="4"/>
              </w:rPr>
            </w:r>
          </w:p>
        </w:tc>
      </w:tr>
      <w:tr>
        <w:trPr/>
        <w:tc>
          <w:tcPr>
            <w:tcW w:w="415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79"/>
        <w:gridCol w:w="2979"/>
        <w:gridCol w:w="2986"/>
        <w:gridCol w:w="109"/>
        <w:gridCol w:w="109"/>
        <w:gridCol w:w="109"/>
        <w:gridCol w:w="109"/>
        <w:gridCol w:w="10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w:t>
            </w:r>
          </w:p>
        </w:tc>
        <w:tc>
          <w:tcPr>
            <w:tcW w:w="8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There is depreciation recorded within cost of sales, research &amp; development expenses, and selling &amp; administrative expenses, which is then added back to calculate segment Adjusted Operating EBITDA. This reflects how the CODM reviews Segment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w:t>
            </w:r>
          </w:p>
        </w:tc>
        <w:tc>
          <w:tcPr>
            <w:tcW w:w="894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Please refer to Note 8 for additional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w:t>
            </w:r>
          </w:p>
        </w:tc>
        <w:tc>
          <w:tcPr>
            <w:tcW w:w="8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Represents costs related to severance as part of the IFF Productivity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w:t>
            </w:r>
          </w:p>
        </w:tc>
        <w:tc>
          <w:tcPr>
            <w:tcW w:w="8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For 2025, represents the impairment of goodwill related to the Food Ingredients reporting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w:t>
            </w:r>
          </w:p>
        </w:tc>
        <w:tc>
          <w:tcPr>
            <w:tcW w:w="8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For 2026, primarily represents losses recognized as part of the divestiture of the Soy, Concentrates and Lecithin disposal group.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w:t>
            </w:r>
          </w:p>
        </w:tc>
        <w:tc>
          <w:tcPr>
            <w:tcW w:w="8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For 2026 and 2025, primarily represents costs related to the Company’s completed and anticipated divestitures. These costs primarily consisted of external consulting fees, professional and legal fees and salaries of individuals who are fully dedicated to such efforts.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w:t>
            </w:r>
          </w:p>
        </w:tc>
        <w:tc>
          <w:tcPr>
            <w:tcW w:w="8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Represents costs related to the Company’s strategic assessment and business portfolio optimization efforts and reorganizing the Global Business Services (GBS) Centers. In 2026, the GBS reorganization has been expanded to include additional functions such as customer service, supply chain and logistics in addition to human resources, accounting and finance, as well as additional efforts to automate processes and expand the use of artificial intelligence (AI) for these functions. These costs primarily consisted of external consulting fees and salaries of individuals who are fully dedicated to such efforts. Costs to develop software and AI are only included to the extent that they do not qualify for capitalization.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(h)</w:t>
            </w:r>
          </w:p>
        </w:tc>
        <w:tc>
          <w:tcPr>
            <w:tcW w:w="8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Represents costs primarily related to legal fees incurred and provisions recognized for the ongoing investigations of the fragrance businesses.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w:t>
            </w:r>
          </w:p>
        </w:tc>
        <w:tc>
          <w:tcPr>
            <w:tcW w:w="8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For 2025, represents the net impact of costs related to severance, including accelerated stock compensation expense, for certain executives who have separated from the Company, in addition to consulting costs related to the Company’s implementation of a phased restructuring initiative aimed at optimizing its legal entity framework.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Segment capital expenditures consisted as follows: </w:t>
      </w:r>
    </w:p>
    <w:tbl>
      <w:tblPr>
        <w:tblW w:w="4797" w:type="dxa"/>
        <w:jc w:val="left"/>
        <w:tblInd w:w="0" w:type="dxa"/>
        <w:tblLayout w:type="fixed"/>
        <w:tblCellMar>
          <w:top w:w="28" w:type="dxa"/>
          <w:left w:w="28" w:type="dxa"/>
          <w:bottom w:w="28" w:type="dxa"/>
          <w:right w:w="28" w:type="dxa"/>
        </w:tblCellMar>
      </w:tblPr>
      <w:tblGrid>
        <w:gridCol w:w="711"/>
        <w:gridCol w:w="626"/>
        <w:gridCol w:w="628"/>
        <w:gridCol w:w="307"/>
        <w:gridCol w:w="679"/>
        <w:gridCol w:w="159"/>
        <w:gridCol w:w="159"/>
        <w:gridCol w:w="159"/>
        <w:gridCol w:w="159"/>
        <w:gridCol w:w="307"/>
        <w:gridCol w:w="679"/>
        <w:gridCol w:w="22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Ingredients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Scent </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 Solutions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sales, which are attributed to individual regions based upon the destination of product delivery, were as follows:</w:t>
      </w:r>
    </w:p>
    <w:tbl>
      <w:tblPr>
        <w:tblW w:w="5936" w:type="dxa"/>
        <w:jc w:val="left"/>
        <w:tblInd w:w="0" w:type="dxa"/>
        <w:tblLayout w:type="fixed"/>
        <w:tblCellMar>
          <w:top w:w="28" w:type="dxa"/>
          <w:left w:w="28" w:type="dxa"/>
          <w:bottom w:w="28" w:type="dxa"/>
          <w:right w:w="28" w:type="dxa"/>
        </w:tblCellMar>
      </w:tblPr>
      <w:tblGrid>
        <w:gridCol w:w="966"/>
        <w:gridCol w:w="850"/>
        <w:gridCol w:w="853"/>
        <w:gridCol w:w="267"/>
        <w:gridCol w:w="781"/>
        <w:gridCol w:w="138"/>
        <w:gridCol w:w="138"/>
        <w:gridCol w:w="138"/>
        <w:gridCol w:w="138"/>
        <w:gridCol w:w="267"/>
        <w:gridCol w:w="781"/>
        <w:gridCol w:w="138"/>
        <w:gridCol w:w="109"/>
        <w:gridCol w:w="109"/>
        <w:gridCol w:w="109"/>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Africa and Middle East</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Asia</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839" w:type="dxa"/>
        <w:jc w:val="left"/>
        <w:tblInd w:w="0" w:type="dxa"/>
        <w:tblLayout w:type="fixed"/>
        <w:tblCellMar>
          <w:top w:w="28" w:type="dxa"/>
          <w:left w:w="28" w:type="dxa"/>
          <w:bottom w:w="28" w:type="dxa"/>
          <w:right w:w="28" w:type="dxa"/>
        </w:tblCellMar>
      </w:tblPr>
      <w:tblGrid>
        <w:gridCol w:w="1291"/>
        <w:gridCol w:w="1138"/>
        <w:gridCol w:w="1141"/>
        <w:gridCol w:w="310"/>
        <w:gridCol w:w="684"/>
        <w:gridCol w:w="160"/>
        <w:gridCol w:w="160"/>
        <w:gridCol w:w="160"/>
        <w:gridCol w:w="160"/>
        <w:gridCol w:w="310"/>
        <w:gridCol w:w="684"/>
        <w:gridCol w:w="160"/>
        <w:gridCol w:w="109"/>
        <w:gridCol w:w="109"/>
        <w:gridCol w:w="109"/>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related to the U.S.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attributed to all foreign countries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country other than the U.S. had net sales greater than 10% of total consolidated net sales for each of the three months ended March 31,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EMPLOYEE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Pension and other defined contribution retirement plan expenses included the following components:</w:t>
      </w:r>
    </w:p>
    <w:tbl>
      <w:tblPr>
        <w:tblW w:w="7105" w:type="dxa"/>
        <w:jc w:val="left"/>
        <w:tblInd w:w="0" w:type="dxa"/>
        <w:tblLayout w:type="fixed"/>
        <w:tblCellMar>
          <w:top w:w="28" w:type="dxa"/>
          <w:left w:w="28" w:type="dxa"/>
          <w:bottom w:w="28" w:type="dxa"/>
          <w:right w:w="28" w:type="dxa"/>
        </w:tblCellMar>
      </w:tblPr>
      <w:tblGrid>
        <w:gridCol w:w="1389"/>
        <w:gridCol w:w="1223"/>
        <w:gridCol w:w="1227"/>
        <w:gridCol w:w="361"/>
        <w:gridCol w:w="695"/>
        <w:gridCol w:w="186"/>
        <w:gridCol w:w="186"/>
        <w:gridCol w:w="186"/>
        <w:gridCol w:w="186"/>
        <w:gridCol w:w="361"/>
        <w:gridCol w:w="438"/>
        <w:gridCol w:w="186"/>
        <w:gridCol w:w="109"/>
        <w:gridCol w:w="109"/>
        <w:gridCol w:w="109"/>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27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Plans</w:t>
            </w:r>
          </w:p>
        </w:tc>
        <w:tc>
          <w:tcPr>
            <w:tcW w:w="481" w:type="dxa"/>
            <w:gridSpan w:val="4"/>
            <w:tcBorders/>
          </w:tcPr>
          <w:p>
            <w:pPr>
              <w:pStyle w:val="TableContents"/>
              <w:bidi w:val="0"/>
              <w:spacing w:before="0" w:after="283"/>
              <w:jc w:val="left"/>
              <w:rPr>
                <w:sz w:val="4"/>
                <w:szCs w:val="4"/>
              </w:rPr>
            </w:pPr>
            <w:r>
              <w:rPr>
                <w:sz w:val="4"/>
                <w:szCs w:val="4"/>
              </w:rPr>
            </w:r>
          </w:p>
        </w:tc>
      </w:tr>
      <w:tr>
        <w:trPr/>
        <w:tc>
          <w:tcPr>
            <w:tcW w:w="3839" w:type="dxa"/>
            <w:gridSpan w:val="3"/>
            <w:vMerge w:val="continue"/>
            <w:tcBorders/>
            <w:tcMar>
              <w:top w:w="0" w:type="dxa"/>
              <w:left w:w="0" w:type="dxa"/>
              <w:bottom w:w="0" w:type="dxa"/>
              <w:right w:w="0" w:type="dxa"/>
            </w:tcMar>
            <w:vAlign w:val="center"/>
          </w:tcPr>
          <w:p>
            <w:pPr>
              <w:pStyle w:val="Normal"/>
              <w:bidi w:val="0"/>
              <w:jc w:val="left"/>
              <w:rPr/>
            </w:pPr>
            <w:r>
              <w:rPr/>
            </w:r>
          </w:p>
        </w:tc>
        <w:tc>
          <w:tcPr>
            <w:tcW w:w="27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39" w:type="dxa"/>
            <w:gridSpan w:val="3"/>
            <w:vMerge w:val="continue"/>
            <w:tcBorders/>
            <w:tcMar>
              <w:top w:w="0" w:type="dxa"/>
              <w:left w:w="0" w:type="dxa"/>
              <w:bottom w:w="0" w:type="dxa"/>
              <w:right w:w="0" w:type="dxa"/>
            </w:tcMar>
            <w:vAlign w:val="center"/>
          </w:tcPr>
          <w:p>
            <w:pPr>
              <w:pStyle w:val="Normal"/>
              <w:bidi w:val="0"/>
              <w:jc w:val="left"/>
              <w:rPr/>
            </w:pPr>
            <w:r>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cost on projected benefit obligation</w:t>
            </w:r>
            <w:r>
              <w:rPr>
                <w:rFonts w:ascii="Times New Roman;serif" w:hAnsi="Times New Roman;serif"/>
                <w:b w:val="false"/>
                <w:color w:val="000000"/>
                <w:sz w:val="13"/>
              </w:rPr>
              <w:t>(1)</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08" w:type="dxa"/>
        <w:jc w:val="left"/>
        <w:tblInd w:w="0" w:type="dxa"/>
        <w:tblLayout w:type="fixed"/>
        <w:tblCellMar>
          <w:top w:w="28" w:type="dxa"/>
          <w:left w:w="28" w:type="dxa"/>
          <w:bottom w:w="28" w:type="dxa"/>
          <w:right w:w="28" w:type="dxa"/>
        </w:tblCellMar>
      </w:tblPr>
      <w:tblGrid>
        <w:gridCol w:w="1390"/>
        <w:gridCol w:w="1223"/>
        <w:gridCol w:w="1227"/>
        <w:gridCol w:w="398"/>
        <w:gridCol w:w="483"/>
        <w:gridCol w:w="205"/>
        <w:gridCol w:w="205"/>
        <w:gridCol w:w="205"/>
        <w:gridCol w:w="205"/>
        <w:gridCol w:w="398"/>
        <w:gridCol w:w="483"/>
        <w:gridCol w:w="205"/>
        <w:gridCol w:w="109"/>
        <w:gridCol w:w="109"/>
        <w:gridCol w:w="109"/>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27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Non-U.S. Plans</w:t>
            </w:r>
          </w:p>
        </w:tc>
        <w:tc>
          <w:tcPr>
            <w:tcW w:w="481" w:type="dxa"/>
            <w:gridSpan w:val="4"/>
            <w:tcBorders/>
          </w:tcPr>
          <w:p>
            <w:pPr>
              <w:pStyle w:val="TableContents"/>
              <w:bidi w:val="0"/>
              <w:spacing w:before="0" w:after="283"/>
              <w:jc w:val="left"/>
              <w:rPr>
                <w:sz w:val="4"/>
                <w:szCs w:val="4"/>
              </w:rPr>
            </w:pPr>
            <w:r>
              <w:rPr>
                <w:sz w:val="4"/>
                <w:szCs w:val="4"/>
              </w:rPr>
            </w:r>
          </w:p>
        </w:tc>
      </w:tr>
      <w:tr>
        <w:trPr/>
        <w:tc>
          <w:tcPr>
            <w:tcW w:w="3840" w:type="dxa"/>
            <w:gridSpan w:val="3"/>
            <w:vMerge w:val="continue"/>
            <w:tcBorders/>
            <w:tcMar>
              <w:top w:w="0" w:type="dxa"/>
              <w:left w:w="0" w:type="dxa"/>
              <w:bottom w:w="0" w:type="dxa"/>
              <w:right w:w="0" w:type="dxa"/>
            </w:tcMar>
            <w:vAlign w:val="center"/>
          </w:tcPr>
          <w:p>
            <w:pPr>
              <w:pStyle w:val="Normal"/>
              <w:bidi w:val="0"/>
              <w:jc w:val="left"/>
              <w:rPr/>
            </w:pPr>
            <w:r>
              <w:rPr/>
            </w:r>
          </w:p>
        </w:tc>
        <w:tc>
          <w:tcPr>
            <w:tcW w:w="27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40"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Service cost for benefits earned</w:t>
            </w:r>
            <w:r>
              <w:rPr>
                <w:rFonts w:ascii="Times New Roman;serif" w:hAnsi="Times New Roman;serif"/>
                <w:b w:val="false"/>
                <w:color w:val="000000"/>
                <w:sz w:val="13"/>
              </w:rPr>
              <w:t>(2)</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cost on projected benefit obligation</w:t>
            </w:r>
            <w:r>
              <w:rPr>
                <w:rFonts w:ascii="Times New Roman;serif" w:hAnsi="Times New Roman;serif"/>
                <w:b w:val="false"/>
                <w:color w:val="000000"/>
                <w:sz w:val="13"/>
              </w:rPr>
              <w:t>(1)</w:t>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Expected return on plan assets</w:t>
            </w:r>
            <w:r>
              <w:rPr>
                <w:rFonts w:ascii="Times New Roman;serif" w:hAnsi="Times New Roman;serif"/>
                <w:b w:val="false"/>
                <w:color w:val="000000"/>
                <w:sz w:val="13"/>
              </w:rPr>
              <w:t>(1)</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amortization and deferrals</w:t>
            </w:r>
            <w:r>
              <w:rPr>
                <w:rFonts w:ascii="Times New Roman;serif" w:hAnsi="Times New Roman;serif"/>
                <w:b w:val="false"/>
                <w:color w:val="000000"/>
                <w:sz w:val="13"/>
              </w:rPr>
              <w:t>(1)</w:t>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(1)Included as a component of Other expense, net.</w:t>
      </w:r>
    </w:p>
    <w:p>
      <w:pPr>
        <w:pStyle w:val="TextBody"/>
        <w:bidi w:val="0"/>
        <w:spacing w:lineRule="auto" w:line="288" w:before="6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(2)Included as a component of Operating profit (loss).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expects to contribute a total of $5 million to its U.S. pension plans and a total of $17 million to its non-U.S. pension plans during 2026. During the three months ended March 31, 2026, $4 million of contributions were made to the non-U.S. pension plans and $1 million of contributions were made with respect to the Company’s non-qualified U.S. pension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Expense recognized for post-retirement benefits other than pensions included the following components:</w:t>
      </w:r>
    </w:p>
    <w:tbl>
      <w:tblPr>
        <w:tblW w:w="6941" w:type="dxa"/>
        <w:jc w:val="left"/>
        <w:tblInd w:w="0" w:type="dxa"/>
        <w:tblLayout w:type="fixed"/>
        <w:tblCellMar>
          <w:top w:w="28" w:type="dxa"/>
          <w:left w:w="28" w:type="dxa"/>
          <w:bottom w:w="28" w:type="dxa"/>
          <w:right w:w="28" w:type="dxa"/>
        </w:tblCellMar>
      </w:tblPr>
      <w:tblGrid>
        <w:gridCol w:w="1330"/>
        <w:gridCol w:w="1171"/>
        <w:gridCol w:w="1174"/>
        <w:gridCol w:w="361"/>
        <w:gridCol w:w="438"/>
        <w:gridCol w:w="186"/>
        <w:gridCol w:w="186"/>
        <w:gridCol w:w="186"/>
        <w:gridCol w:w="186"/>
        <w:gridCol w:w="361"/>
        <w:gridCol w:w="695"/>
        <w:gridCol w:w="186"/>
        <w:gridCol w:w="109"/>
        <w:gridCol w:w="109"/>
        <w:gridCol w:w="109"/>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 on projected benefit obligation</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and deferrals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postretirement benefit expense</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expects to make $4 million of payments related to its postretirement benefits other than pension plans during 2026. In the three months ended March 31, 2026, $2 million of benefit payments were made.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OTHER EXPENSE, NET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expense, net consisted of the following:</w:t>
      </w:r>
    </w:p>
    <w:tbl>
      <w:tblPr>
        <w:tblW w:w="5368" w:type="dxa"/>
        <w:jc w:val="left"/>
        <w:tblInd w:w="0" w:type="dxa"/>
        <w:tblLayout w:type="fixed"/>
        <w:tblCellMar>
          <w:top w:w="28" w:type="dxa"/>
          <w:left w:w="28" w:type="dxa"/>
          <w:bottom w:w="28" w:type="dxa"/>
          <w:right w:w="28" w:type="dxa"/>
        </w:tblCellMar>
      </w:tblPr>
      <w:tblGrid>
        <w:gridCol w:w="760"/>
        <w:gridCol w:w="669"/>
        <w:gridCol w:w="671"/>
        <w:gridCol w:w="320"/>
        <w:gridCol w:w="661"/>
        <w:gridCol w:w="165"/>
        <w:gridCol w:w="165"/>
        <w:gridCol w:w="165"/>
        <w:gridCol w:w="165"/>
        <w:gridCol w:w="320"/>
        <w:gridCol w:w="661"/>
        <w:gridCol w:w="165"/>
        <w:gridCol w:w="109"/>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Pension-related benefit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March 31, 2026 was 18.7%, which was primarily driven by favorable legislative changes impacting U.S. foreign inclusions, the mix of earnings, as well as tax costs associated with repatriation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March 31, 2025 was (2.3)%, which was primarily due to a goodwill impairment charge that was mostly non-taxable, as well as the mix of earnings.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PROPERTY, PLANT AND EQUIPMENT, NET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consisted of the following amounts:</w:t>
      </w:r>
    </w:p>
    <w:tbl>
      <w:tblPr>
        <w:tblW w:w="6939" w:type="dxa"/>
        <w:jc w:val="left"/>
        <w:tblInd w:w="0" w:type="dxa"/>
        <w:tblLayout w:type="fixed"/>
        <w:tblCellMar>
          <w:top w:w="28" w:type="dxa"/>
          <w:left w:w="28" w:type="dxa"/>
          <w:bottom w:w="28" w:type="dxa"/>
          <w:right w:w="28" w:type="dxa"/>
        </w:tblCellMar>
      </w:tblPr>
      <w:tblGrid>
        <w:gridCol w:w="1232"/>
        <w:gridCol w:w="1084"/>
        <w:gridCol w:w="1088"/>
        <w:gridCol w:w="324"/>
        <w:gridCol w:w="948"/>
        <w:gridCol w:w="167"/>
        <w:gridCol w:w="109"/>
        <w:gridCol w:w="109"/>
        <w:gridCol w:w="109"/>
        <w:gridCol w:w="380"/>
        <w:gridCol w:w="1110"/>
        <w:gridCol w:w="279"/>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 Type</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technology</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was $100 million and $93 million for the three months ended March 31, 2026 and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incurred during the construction period of certain property, plant and equipment is capitalized until the underlying assets are placed in service, at which time straight-line amortization of the capitalized interest begins over the estimated useful lives of the related assets. Capitalized interest was approximately $4 million and $3 million for each of the three months ended March 31, 2026 and 2025,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GOODWILL AND OTHER INTANGIBLE ASSETS, NET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Movements in goodwill attributable to each reportable segment for the three months ended March 31, 2026 were as follows:</w:t>
      </w:r>
    </w:p>
    <w:tbl>
      <w:tblPr>
        <w:tblW w:w="9138" w:type="dxa"/>
        <w:jc w:val="left"/>
        <w:tblInd w:w="0" w:type="dxa"/>
        <w:tblLayout w:type="fixed"/>
        <w:tblCellMar>
          <w:top w:w="28" w:type="dxa"/>
          <w:left w:w="28" w:type="dxa"/>
          <w:bottom w:w="28" w:type="dxa"/>
          <w:right w:w="28" w:type="dxa"/>
        </w:tblCellMar>
      </w:tblPr>
      <w:tblGrid>
        <w:gridCol w:w="836"/>
        <w:gridCol w:w="736"/>
        <w:gridCol w:w="738"/>
        <w:gridCol w:w="109"/>
        <w:gridCol w:w="109"/>
        <w:gridCol w:w="109"/>
        <w:gridCol w:w="109"/>
        <w:gridCol w:w="211"/>
        <w:gridCol w:w="616"/>
        <w:gridCol w:w="109"/>
        <w:gridCol w:w="109"/>
        <w:gridCol w:w="109"/>
        <w:gridCol w:w="109"/>
        <w:gridCol w:w="109"/>
        <w:gridCol w:w="109"/>
        <w:gridCol w:w="429"/>
        <w:gridCol w:w="1253"/>
        <w:gridCol w:w="222"/>
        <w:gridCol w:w="109"/>
        <w:gridCol w:w="109"/>
        <w:gridCol w:w="109"/>
        <w:gridCol w:w="211"/>
        <w:gridCol w:w="616"/>
        <w:gridCol w:w="109"/>
        <w:gridCol w:w="109"/>
        <w:gridCol w:w="109"/>
        <w:gridCol w:w="109"/>
        <w:gridCol w:w="109"/>
        <w:gridCol w:w="109"/>
        <w:gridCol w:w="109"/>
        <w:gridCol w:w="109"/>
        <w:gridCol w:w="211"/>
        <w:gridCol w:w="61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Health &amp; Biosciences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January 1, 2025, there is no remaining goodwill attributable to the Food Ingredients reporting unit.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Goodwill Impairment Test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Effective January 1, 2025, the Company reorganized its Nourish segment into two new reportable segments: Taste and Food Ingredients, to align with changes in the Company’s internal management reporting structure. As a result of this change, goodwill previously allocated to the Nourish reporting unit was reallocated between the new Taste and Food Ingredients reporting units. </w:t>
      </w:r>
      <w:r>
        <w:rPr>
          <w:rFonts w:ascii="Times New Roman;serif" w:hAnsi="Times New Roman;serif"/>
          <w:b w:val="false"/>
          <w:color w:val="222222"/>
          <w:sz w:val="20"/>
        </w:rPr>
        <w:t>In accordance with ASC 350, the Company performed a quantitative goodwill impairment test on the former Nourish reporting unit immediately prior to the change, and separately tested goodwill for the new Taste and Food Ingredients reporting units following the reorganization. Based on the results of the impairment testing, the Company determined that the carrying amount of the Food Ingredients reporting unit exceeded its estimated fair value, and accordingly recognized a goodwill impairment charge of</w:t>
      </w:r>
      <w:r>
        <w:rPr>
          <w:color w:val="000000"/>
        </w:rPr>
        <w:t xml:space="preserve"> </w:t>
      </w:r>
      <w:r>
        <w:rPr>
          <w:rFonts w:ascii="Times New Roman;serif" w:hAnsi="Times New Roman;serif"/>
          <w:b w:val="false"/>
          <w:color w:val="000000"/>
          <w:sz w:val="20"/>
        </w:rPr>
        <w:t>$1.153 billion. This charge is reflected in the Consolidated Statements of Income (Loss) and Comprehensive Income (Loss) for the three months ended March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assessed the fair value of the reporting units using an income approach. Under the income approach, the Company determined the fair value by using a discounted cash flow method at a rate of return that reflects the relative risk of the projected future cash flows of each reporting unit, as well as a terminal value. The Company used the most current actual and forecasted operating data available. Key estimates and assumptions used in these valuations include revenue growth rates, gross margins, adjusted operating EBITDA margins, terminal growth rates and discount rates.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management believes that the estimates and assumptions used in the impairment test were reasonable, changes in key assumptions, including lower revenue growth, operating margin, terminal growth rates or increase in discount rates could result in a future impairment of the Taste reporting unit. Such charge could have a material effect on the Consolidated Statements of Operations and Balance Sheets.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intangible assets, net consisted of the following amounts:</w:t>
      </w:r>
    </w:p>
    <w:tbl>
      <w:tblPr>
        <w:tblW w:w="5367" w:type="dxa"/>
        <w:jc w:val="left"/>
        <w:tblInd w:w="0" w:type="dxa"/>
        <w:tblLayout w:type="fixed"/>
        <w:tblCellMar>
          <w:top w:w="28" w:type="dxa"/>
          <w:left w:w="28" w:type="dxa"/>
          <w:bottom w:w="28" w:type="dxa"/>
          <w:right w:w="28" w:type="dxa"/>
        </w:tblCellMar>
      </w:tblPr>
      <w:tblGrid>
        <w:gridCol w:w="983"/>
        <w:gridCol w:w="865"/>
        <w:gridCol w:w="867"/>
        <w:gridCol w:w="220"/>
        <w:gridCol w:w="642"/>
        <w:gridCol w:w="113"/>
        <w:gridCol w:w="109"/>
        <w:gridCol w:w="109"/>
        <w:gridCol w:w="109"/>
        <w:gridCol w:w="290"/>
        <w:gridCol w:w="847"/>
        <w:gridCol w:w="213"/>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Type</w:t>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Technological know-how</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&amp; patents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carrying value </w:t>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Amortization</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Technological know-how</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&amp; patents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amortization</w:t>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Amortization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was $146 million and $143 million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for the next five years, based on valuations and determinations of useful lives, is expected to be as follows:</w:t>
      </w:r>
    </w:p>
    <w:tbl>
      <w:tblPr>
        <w:tblW w:w="10205" w:type="dxa"/>
        <w:jc w:val="left"/>
        <w:tblInd w:w="0" w:type="dxa"/>
        <w:tblLayout w:type="fixed"/>
        <w:tblCellMar>
          <w:top w:w="28" w:type="dxa"/>
          <w:left w:w="28" w:type="dxa"/>
          <w:bottom w:w="28" w:type="dxa"/>
          <w:right w:w="28" w:type="dxa"/>
        </w:tblCellMar>
      </w:tblPr>
      <w:tblGrid>
        <w:gridCol w:w="1456"/>
        <w:gridCol w:w="1274"/>
        <w:gridCol w:w="1278"/>
        <w:gridCol w:w="455"/>
        <w:gridCol w:w="1007"/>
        <w:gridCol w:w="235"/>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7"/>
      </w:tblGrid>
      <w:tr>
        <w:trPr/>
        <w:tc>
          <w:tcPr>
            <w:tcW w:w="145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4500" w:type="dxa"/>
            <w:gridSpan w:val="24"/>
            <w:tcBorders/>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Remainder of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future intangible amortization expense</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OTHER CURRENT ASSETS AND LIABILITIES, AND OTHER ASSETS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amounts:</w:t>
      </w:r>
    </w:p>
    <w:tbl>
      <w:tblPr>
        <w:tblW w:w="8230" w:type="dxa"/>
        <w:jc w:val="left"/>
        <w:tblInd w:w="0" w:type="dxa"/>
        <w:tblLayout w:type="fixed"/>
        <w:tblCellMar>
          <w:top w:w="28" w:type="dxa"/>
          <w:left w:w="28" w:type="dxa"/>
          <w:bottom w:w="28" w:type="dxa"/>
          <w:right w:w="28" w:type="dxa"/>
        </w:tblCellMar>
      </w:tblPr>
      <w:tblGrid>
        <w:gridCol w:w="1700"/>
        <w:gridCol w:w="1495"/>
        <w:gridCol w:w="1500"/>
        <w:gridCol w:w="386"/>
        <w:gridCol w:w="854"/>
        <w:gridCol w:w="199"/>
        <w:gridCol w:w="109"/>
        <w:gridCol w:w="109"/>
        <w:gridCol w:w="109"/>
        <w:gridCol w:w="448"/>
        <w:gridCol w:w="992"/>
        <w:gridCol w:w="329"/>
      </w:tblGrid>
      <w:tr>
        <w:trPr/>
        <w:tc>
          <w:tcPr>
            <w:tcW w:w="170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Value-added tax receivable</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taxes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 materials and supplies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Earnout and other post-closing adjustments receivable</w:t>
            </w:r>
            <w:r>
              <w:rPr>
                <w:rFonts w:ascii="Times New Roman;serif" w:hAnsi="Times New Roman;serif"/>
                <w:b w:val="false"/>
                <w:color w:val="000000"/>
                <w:sz w:val="13"/>
              </w:rPr>
              <w:t>(1)</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(1)During the three months ended March 31, 2026, in connection with the divestiture of the Pharma Solutions disposal group, the Company collected net proceeds of $93 million related to an earnout based on 2024 results offset by an immaterial payment related to post closing adjustments.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assets consisted of the following amounts:</w:t>
      </w:r>
    </w:p>
    <w:tbl>
      <w:tblPr>
        <w:tblW w:w="7479" w:type="dxa"/>
        <w:jc w:val="left"/>
        <w:tblInd w:w="0" w:type="dxa"/>
        <w:tblLayout w:type="fixed"/>
        <w:tblCellMar>
          <w:top w:w="28" w:type="dxa"/>
          <w:left w:w="28" w:type="dxa"/>
          <w:bottom w:w="28" w:type="dxa"/>
          <w:right w:w="28" w:type="dxa"/>
        </w:tblCellMar>
      </w:tblPr>
      <w:tblGrid>
        <w:gridCol w:w="1427"/>
        <w:gridCol w:w="1257"/>
        <w:gridCol w:w="1260"/>
        <w:gridCol w:w="324"/>
        <w:gridCol w:w="948"/>
        <w:gridCol w:w="167"/>
        <w:gridCol w:w="109"/>
        <w:gridCol w:w="109"/>
        <w:gridCol w:w="109"/>
        <w:gridCol w:w="380"/>
        <w:gridCol w:w="1110"/>
        <w:gridCol w:w="279"/>
      </w:tblGrid>
      <w:tr>
        <w:trPr/>
        <w:tc>
          <w:tcPr>
            <w:tcW w:w="142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Overfunded pension plans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surrender value of life insurance contracts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Long-term income tax receivables</w:t>
            </w:r>
            <w:r>
              <w:rPr>
                <w:rFonts w:ascii="Times New Roman;serif" w:hAnsi="Times New Roman;serif"/>
                <w:b w:val="false"/>
                <w:color w:val="000000"/>
                <w:sz w:val="13"/>
              </w:rPr>
              <w:t>(1)</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(1)Primarily relates to long-term tax receivables due to an operating loss carryback and long-term uncertain tax benefits.</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(2)Primarily relates to land usage rights in China, long-term value-added tax receivables, and receivables from certain government authorities which the Company has corresponding payables to DuPont in relation to the N&amp;B merger in 2021.</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current liabilities consisted of the following amounts:</w:t>
      </w:r>
    </w:p>
    <w:tbl>
      <w:tblPr>
        <w:tblW w:w="8499" w:type="dxa"/>
        <w:jc w:val="left"/>
        <w:tblInd w:w="0" w:type="dxa"/>
        <w:tblLayout w:type="fixed"/>
        <w:tblCellMar>
          <w:top w:w="28" w:type="dxa"/>
          <w:left w:w="28" w:type="dxa"/>
          <w:bottom w:w="28" w:type="dxa"/>
          <w:right w:w="28" w:type="dxa"/>
        </w:tblCellMar>
      </w:tblPr>
      <w:tblGrid>
        <w:gridCol w:w="1796"/>
        <w:gridCol w:w="1581"/>
        <w:gridCol w:w="1587"/>
        <w:gridCol w:w="386"/>
        <w:gridCol w:w="854"/>
        <w:gridCol w:w="199"/>
        <w:gridCol w:w="109"/>
        <w:gridCol w:w="109"/>
        <w:gridCol w:w="109"/>
        <w:gridCol w:w="448"/>
        <w:gridCol w:w="992"/>
        <w:gridCol w:w="329"/>
      </w:tblGrid>
      <w:tr>
        <w:trPr/>
        <w:tc>
          <w:tcPr>
            <w:tcW w:w="179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 and incentives payable</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Value-added tax payable</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pension and other postretirement benefit obligation</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obligation</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payable</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Debt consisted of the following:</w:t>
      </w:r>
    </w:p>
    <w:tbl>
      <w:tblPr>
        <w:tblW w:w="8241" w:type="dxa"/>
        <w:jc w:val="left"/>
        <w:tblInd w:w="0" w:type="dxa"/>
        <w:tblLayout w:type="fixed"/>
        <w:tblCellMar>
          <w:top w:w="28" w:type="dxa"/>
          <w:left w:w="28" w:type="dxa"/>
          <w:bottom w:w="28" w:type="dxa"/>
          <w:right w:w="28" w:type="dxa"/>
        </w:tblCellMar>
      </w:tblPr>
      <w:tblGrid>
        <w:gridCol w:w="868"/>
        <w:gridCol w:w="765"/>
        <w:gridCol w:w="767"/>
        <w:gridCol w:w="439"/>
        <w:gridCol w:w="439"/>
        <w:gridCol w:w="1101"/>
        <w:gridCol w:w="109"/>
        <w:gridCol w:w="109"/>
        <w:gridCol w:w="109"/>
        <w:gridCol w:w="324"/>
        <w:gridCol w:w="948"/>
        <w:gridCol w:w="167"/>
        <w:gridCol w:w="109"/>
        <w:gridCol w:w="109"/>
        <w:gridCol w:w="109"/>
        <w:gridCol w:w="380"/>
        <w:gridCol w:w="1110"/>
        <w:gridCol w:w="279"/>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2026 Euro Notes</w:t>
            </w:r>
            <w:r>
              <w:rPr>
                <w:rFonts w:ascii="Times New Roman;serif" w:hAnsi="Times New Roman;serif"/>
                <w:b w:val="false"/>
                <w:color w:val="000000"/>
                <w:sz w:val="13"/>
              </w:rPr>
              <w:t>(1)</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2027 Notes</w:t>
            </w:r>
            <w:r>
              <w:rPr>
                <w:rFonts w:ascii="Times New Roman;serif" w:hAnsi="Times New Roman;serif"/>
                <w:b w:val="false"/>
                <w:color w:val="000000"/>
                <w:sz w:val="13"/>
              </w:rPr>
              <w:t>(1)</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2028 Notes</w:t>
            </w:r>
            <w:r>
              <w:rPr>
                <w:rFonts w:ascii="Times New Roman;serif" w:hAnsi="Times New Roman;serif"/>
                <w:b w:val="false"/>
                <w:color w:val="000000"/>
                <w:sz w:val="13"/>
              </w:rPr>
              <w:t>(1)</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2030 Notes</w:t>
            </w:r>
            <w:r>
              <w:rPr>
                <w:rFonts w:ascii="Times New Roman;serif" w:hAnsi="Times New Roman;serif"/>
                <w:b w:val="false"/>
                <w:color w:val="000000"/>
                <w:sz w:val="13"/>
              </w:rPr>
              <w:t>(1)</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2040 Notes</w:t>
            </w:r>
            <w:r>
              <w:rPr>
                <w:rFonts w:ascii="Times New Roman;serif" w:hAnsi="Times New Roman;serif"/>
                <w:b w:val="false"/>
                <w:color w:val="000000"/>
                <w:sz w:val="13"/>
              </w:rPr>
              <w:t>(1)</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2047 Notes</w:t>
            </w:r>
            <w:r>
              <w:rPr>
                <w:rFonts w:ascii="Times New Roman;serif" w:hAnsi="Times New Roman;serif"/>
                <w:b w:val="false"/>
                <w:color w:val="000000"/>
                <w:sz w:val="13"/>
              </w:rPr>
              <w:t>(1)</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2048 Notes</w:t>
            </w:r>
            <w:r>
              <w:rPr>
                <w:rFonts w:ascii="Times New Roman;serif" w:hAnsi="Times New Roman;serif"/>
                <w:b w:val="false"/>
                <w:color w:val="000000"/>
                <w:sz w:val="13"/>
              </w:rPr>
              <w:t>(1)</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2050 Notes</w:t>
            </w:r>
            <w:r>
              <w:rPr>
                <w:rFonts w:ascii="Times New Roman;serif" w:hAnsi="Times New Roman;serif"/>
                <w:b w:val="false"/>
                <w:color w:val="000000"/>
                <w:sz w:val="13"/>
              </w:rPr>
              <w:t>(1)</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Revolving Credit Facility</w:t>
            </w:r>
            <w:r>
              <w:rPr>
                <w:rFonts w:ascii="Times New Roman;serif" w:hAnsi="Times New Roman;serif"/>
                <w:b w:val="false"/>
                <w:color w:val="000000"/>
                <w:sz w:val="13"/>
              </w:rPr>
              <w:t>(2)</w:t>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Commercial paper</w:t>
            </w:r>
            <w:r>
              <w:rPr>
                <w:rFonts w:ascii="Times New Roman;serif" w:hAnsi="Times New Roman;serif"/>
                <w:b w:val="false"/>
                <w:color w:val="000000"/>
                <w:sz w:val="13"/>
              </w:rPr>
              <w:t>(3)</w:t>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Bank overdrafts and other</w:t>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Less: Short-term borrowings</w:t>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 </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(1)Amount is net of unamortized discount and debt issuance costs.</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(2)Borrowings under the Revolving Credit Facility are subject to interest at varying spreads above quoted market rates and a commitment fee is paid on the total unused borrowings.</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(3)The effective interest rate of commercial paper issuances fluctuates as short-term interest rates and demand fluctuate, and deferred debt issuance costs are immaterial. Refer to “Commercial Paper” below.</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Commercial Paper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amount of commercial paper outstanding was $154 million with a weighted average interest rate of 4.33% and a weighted average maturity of 24 days. As of December 31, 2025, the amount of commercial paper outstanding was $314 million with a weighted average interest rate of 4.21% and a weighted average maturity of 35 days.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had gross issuances of $1.348 billion and repayments of $1.508 billion under the commercial paper program. For the three months ended March 31, 2025, the Company had gross issuances of $2.125 billion and repayments of $1.833 billion under the commercial paper program. The commercial paper issued during each of the three months ended March 31, 2026 and 2025 had original maturities of less than three months.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commercial paper program is backed by the borrowing capacity available under the Revolving Credit Facility. The effective interest rate of commercial paper issuances does not materially differ from short-term interest rates, which fluctuate due to market conditions and as a result may impact the Company’s interest expense.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Revolving Credit Facility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the Company had no drawdowns or repayments under the Revolving Credit Facility.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Lines of Credit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various lines of credit which are available to support its ongoing business operations. As of March 31, 2026, the Company had a total capacity of approximately $1.702 billion of lines of credit with various financial institutions, of which $1.700 billion is available as of March 31, 2026.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Repayments of Long-term Debt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2025, the Company made a quarterly debt repayment of $16 million related to the 2026 Term Loan Facility.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LEASES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leases for corporate offices, manufacturing facilities, research and development facilities and certain transportation and office equipment. The Company’s leases have remaining lease terms of up to 50 years, some of which include options to extend the leases for up to 15 years.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6763" w:type="dxa"/>
        <w:jc w:val="center"/>
        <w:tblInd w:w="0" w:type="dxa"/>
        <w:tblLayout w:type="fixed"/>
        <w:tblCellMar>
          <w:top w:w="28" w:type="dxa"/>
          <w:left w:w="28" w:type="dxa"/>
          <w:bottom w:w="28" w:type="dxa"/>
          <w:right w:w="28" w:type="dxa"/>
        </w:tblCellMar>
      </w:tblPr>
      <w:tblGrid>
        <w:gridCol w:w="798"/>
        <w:gridCol w:w="702"/>
        <w:gridCol w:w="705"/>
        <w:gridCol w:w="581"/>
        <w:gridCol w:w="994"/>
        <w:gridCol w:w="300"/>
        <w:gridCol w:w="109"/>
        <w:gridCol w:w="109"/>
        <w:gridCol w:w="109"/>
        <w:gridCol w:w="581"/>
        <w:gridCol w:w="994"/>
        <w:gridCol w:w="300"/>
        <w:gridCol w:w="109"/>
        <w:gridCol w:w="109"/>
        <w:gridCol w:w="109"/>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9769" w:type="dxa"/>
        <w:jc w:val="center"/>
        <w:tblInd w:w="0" w:type="dxa"/>
        <w:tblLayout w:type="fixed"/>
        <w:tblCellMar>
          <w:top w:w="28" w:type="dxa"/>
          <w:left w:w="28" w:type="dxa"/>
          <w:bottom w:w="28" w:type="dxa"/>
          <w:right w:w="28" w:type="dxa"/>
        </w:tblCellMar>
      </w:tblPr>
      <w:tblGrid>
        <w:gridCol w:w="2100"/>
        <w:gridCol w:w="1849"/>
        <w:gridCol w:w="1855"/>
        <w:gridCol w:w="446"/>
        <w:gridCol w:w="764"/>
        <w:gridCol w:w="230"/>
        <w:gridCol w:w="202"/>
        <w:gridCol w:w="202"/>
        <w:gridCol w:w="202"/>
        <w:gridCol w:w="555"/>
        <w:gridCol w:w="954"/>
        <w:gridCol w:w="410"/>
      </w:tblGrid>
      <w:tr>
        <w:trPr/>
        <w:tc>
          <w:tcPr>
            <w:tcW w:w="2100"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 right-of-use assets are presented in “Operating lease right-of-use assets” and finance lease right-of-use assets are presented in “Other assets” on the Consolidated Balance Sheets. Operating lease liabilities are presented in “Operating lease liabilities” and finance lease liabilities are presented in “Other liabilities” on the Consolidated Balance Sheets. Any other current liabilities related to operating and finance lease liabilities are presented in “Other current liabilities” on the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FINANCIAL INSTRUMENTS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Fair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create the following fair value hierarchy: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Level 1 — Quoted prices for </w:t>
      </w:r>
      <w:r>
        <w:rPr>
          <w:rFonts w:ascii="Times New Roman;serif" w:hAnsi="Times New Roman;serif"/>
          <w:b w:val="false"/>
          <w:i/>
          <w:color w:val="000000"/>
          <w:sz w:val="20"/>
        </w:rPr>
        <w:t>identical</w:t>
      </w:r>
      <w:r>
        <w:rPr>
          <w:color w:val="000000"/>
        </w:rPr>
        <w:t xml:space="preserve"> </w:t>
      </w:r>
      <w:r>
        <w:rPr>
          <w:rFonts w:ascii="Times New Roman;serif" w:hAnsi="Times New Roman;serif"/>
          <w:b w:val="false"/>
          <w:color w:val="000000"/>
          <w:sz w:val="20"/>
        </w:rPr>
        <w:t>instruments in active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Level 2 — Quoted prices for </w:t>
      </w:r>
      <w:r>
        <w:rPr>
          <w:rFonts w:ascii="Times New Roman;serif" w:hAnsi="Times New Roman;serif"/>
          <w:b w:val="false"/>
          <w:i/>
          <w:color w:val="000000"/>
          <w:sz w:val="20"/>
        </w:rPr>
        <w:t>similar</w:t>
      </w:r>
      <w:r>
        <w:rPr>
          <w:color w:val="000000"/>
        </w:rPr>
        <w:t xml:space="preserve"> </w:t>
      </w:r>
      <w:r>
        <w:rPr>
          <w:rFonts w:ascii="Times New Roman;serif" w:hAnsi="Times New Roman;serif"/>
          <w:b w:val="false"/>
          <w:color w:val="000000"/>
          <w:sz w:val="20"/>
        </w:rPr>
        <w:t>instruments in active markets; quoted prices for identical or similar instruments in markets that are not active; and model-derived valuations in which all significant inputs and significant value drivers are observable in active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3 — Valuations derived from valuation techniques in which one or more significant inputs or significant value drivers are unobservable</w:t>
      </w:r>
      <w:r>
        <w:rPr>
          <w:rFonts w:ascii="Times New Roman;serif" w:hAnsi="Times New Roman;serif"/>
          <w:b w:val="false"/>
          <w:i/>
          <w:color w:val="000000"/>
          <w:sz w:val="20"/>
        </w:rPr>
        <w: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hierarchy requires the Company to use observable market data, when available, and to minimize the use of unobservable inputs when determining fair value. The Company also considers counterparty credit risk in its assessment of fair value. The Company determines the fair value of structured liabilities (where performance is linked to structured interest rates, inflation or currency risks) using the Secured Overnight Financing Rate (“Term SOFR”) swap curve and forward interest and exchange rates at period end. Such instruments are classified as Level 2 based on the observability of significant inputs to the model. Instruments classified as Level 3 include the earnout receivable as discussed in Note 12, as well as instruments held in pension asset trusts as discussed in Note 8 of the Company’s 2025 Form 10-K. These valuations take into consideration the Company’s credit risk and its counterparties’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values and the estimated fair values of financial instruments at March 31, 2026 and December 31, 2025 consisted of the following:</w:t>
      </w:r>
    </w:p>
    <w:tbl>
      <w:tblPr>
        <w:tblW w:w="9140" w:type="dxa"/>
        <w:jc w:val="left"/>
        <w:tblInd w:w="0" w:type="dxa"/>
        <w:tblLayout w:type="fixed"/>
        <w:tblCellMar>
          <w:top w:w="28" w:type="dxa"/>
          <w:left w:w="28" w:type="dxa"/>
          <w:bottom w:w="28" w:type="dxa"/>
          <w:right w:w="28" w:type="dxa"/>
        </w:tblCellMar>
      </w:tblPr>
      <w:tblGrid>
        <w:gridCol w:w="1156"/>
        <w:gridCol w:w="1018"/>
        <w:gridCol w:w="1021"/>
        <w:gridCol w:w="385"/>
        <w:gridCol w:w="854"/>
        <w:gridCol w:w="201"/>
        <w:gridCol w:w="109"/>
        <w:gridCol w:w="109"/>
        <w:gridCol w:w="109"/>
        <w:gridCol w:w="274"/>
        <w:gridCol w:w="605"/>
        <w:gridCol w:w="141"/>
        <w:gridCol w:w="109"/>
        <w:gridCol w:w="109"/>
        <w:gridCol w:w="109"/>
        <w:gridCol w:w="385"/>
        <w:gridCol w:w="854"/>
        <w:gridCol w:w="201"/>
        <w:gridCol w:w="109"/>
        <w:gridCol w:w="109"/>
        <w:gridCol w:w="109"/>
        <w:gridCol w:w="270"/>
        <w:gridCol w:w="597"/>
        <w:gridCol w:w="197"/>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1</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and cash equivalents</w:t>
            </w:r>
            <w:r>
              <w:rPr>
                <w:rFonts w:ascii="Times New Roman;serif" w:hAnsi="Times New Roman;serif"/>
                <w:b w:val="false"/>
                <w:color w:val="000000"/>
                <w:sz w:val="13"/>
              </w:rPr>
              <w:t>(1)</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2</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 facilities and bank overdrafts</w:t>
            </w:r>
            <w:r>
              <w:rPr>
                <w:rFonts w:ascii="Times New Roman;serif" w:hAnsi="Times New Roman;serif"/>
                <w:b w:val="false"/>
                <w:color w:val="000000"/>
                <w:sz w:val="13"/>
              </w:rPr>
              <w:t>(2)</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assets</w:t>
            </w:r>
            <w:r>
              <w:rPr>
                <w:rFonts w:ascii="Times New Roman;serif" w:hAnsi="Times New Roman;serif"/>
                <w:b w:val="false"/>
                <w:color w:val="000000"/>
                <w:sz w:val="13"/>
              </w:rPr>
              <w:t>(3)</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liabilities</w:t>
            </w:r>
            <w:r>
              <w:rPr>
                <w:rFonts w:ascii="Times New Roman;serif" w:hAnsi="Times New Roman;serif"/>
                <w:b w:val="false"/>
                <w:color w:val="000000"/>
                <w:sz w:val="13"/>
              </w:rPr>
              <w:t>(3)</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Commercial paper</w:t>
            </w:r>
            <w:r>
              <w:rPr>
                <w:rFonts w:ascii="Times New Roman;serif" w:hAnsi="Times New Roman;serif"/>
                <w:b w:val="false"/>
                <w:color w:val="000000"/>
                <w:sz w:val="13"/>
              </w:rPr>
              <w:t>(2)</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 Euro Notes</w:t>
            </w:r>
            <w:r>
              <w:rPr>
                <w:rFonts w:ascii="Times New Roman;serif" w:hAnsi="Times New Roman;serif"/>
                <w:b w:val="false"/>
                <w:color w:val="000000"/>
                <w:sz w:val="13"/>
              </w:rPr>
              <w:t>(4)</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2027 Notes</w:t>
            </w:r>
            <w:r>
              <w:rPr>
                <w:rFonts w:ascii="Times New Roman;serif" w:hAnsi="Times New Roman;serif"/>
                <w:b w:val="false"/>
                <w:color w:val="000000"/>
                <w:sz w:val="13"/>
              </w:rPr>
              <w:t>(4)</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2028 Notes</w:t>
            </w:r>
            <w:r>
              <w:rPr>
                <w:rFonts w:ascii="Times New Roman;serif" w:hAnsi="Times New Roman;serif"/>
                <w:b w:val="false"/>
                <w:color w:val="000000"/>
                <w:sz w:val="13"/>
              </w:rPr>
              <w:t>(4)</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2030 Notes</w:t>
            </w:r>
            <w:r>
              <w:rPr>
                <w:rFonts w:ascii="Times New Roman;serif" w:hAnsi="Times New Roman;serif"/>
                <w:b w:val="false"/>
                <w:color w:val="000000"/>
                <w:sz w:val="13"/>
              </w:rPr>
              <w:t>(4)</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2040 Notes</w:t>
            </w:r>
            <w:r>
              <w:rPr>
                <w:rFonts w:ascii="Times New Roman;serif" w:hAnsi="Times New Roman;serif"/>
                <w:b w:val="false"/>
                <w:color w:val="000000"/>
                <w:sz w:val="13"/>
              </w:rPr>
              <w:t>(4)</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2047 Notes</w:t>
            </w:r>
            <w:r>
              <w:rPr>
                <w:rFonts w:ascii="Times New Roman;serif" w:hAnsi="Times New Roman;serif"/>
                <w:b w:val="false"/>
                <w:color w:val="000000"/>
                <w:sz w:val="13"/>
              </w:rPr>
              <w:t>(4)</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2048 Notes</w:t>
            </w:r>
            <w:r>
              <w:rPr>
                <w:rFonts w:ascii="Times New Roman;serif" w:hAnsi="Times New Roman;serif"/>
                <w:b w:val="false"/>
                <w:color w:val="000000"/>
                <w:sz w:val="13"/>
              </w:rPr>
              <w:t>(4)</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2050 Notes</w:t>
            </w:r>
            <w:r>
              <w:rPr>
                <w:rFonts w:ascii="Times New Roman;serif" w:hAnsi="Times New Roman;serif"/>
                <w:b w:val="false"/>
                <w:color w:val="000000"/>
                <w:sz w:val="13"/>
              </w:rPr>
              <w:t>(4)</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(1)The carrying amount of cash and cash equivalents approximates fair value due to the short maturity of those instruments.</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(2)The carrying amount approximates fair value as the interest rate is reset frequently based on current market rates as well as the short maturity of those instruments.</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(3)The carrying amount approximates fair value as the instruments are marked-to-market and held at fair value on the Consolidated Balance Sheets.</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(4)The fair value of the Note is obtained from pricing services engaged by the Company, and the Company receives one price for each security. The fair value provided by the pricing services are estimated using pricing models, where the inputs to those models are based on observable market inputs or recent trades of similar securities. The inputs to the valuation techniques applied by the pricing services are typically benchmark yields, benchmark security prices, credit spreads, reported trades and broker-dealer quotes, all with reasonable levels of transparency.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 Forward Contracts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periodically enters into foreign currency forward contracts with the objective of managing its exchange rate risk related to foreign currency denominated monetary assets and liabilities of its operations. These contracts generally involve the exchange of one currency for a second currency at a future date, have maturities not exceeding twelve months and are with counterparties which are major international financial institutions.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Commodity Contracts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utilized options that were not designated as hedging instruments to reduce exposure to commodity price fluctuations on purchases of inventory such as soybeans. These options were transferred as part of the sale of the Soy Crush, Concentrates, and Lecithin business as discussed in Note 3.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utilizes swaps that are designated as hedging instruments to reduce exposure to commodity price fluctuations on purchases of natural gas used in its manufacturing process.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Hedges Related to Issuances of Debt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designated approximately $925 million of Euro Notes as a hedge of a portion of its net European investments. Accordingly, the change in the value of the debt that is attributable to foreign exchange movements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is recorded in Other comprehensive income (“OCI”) as a component of foreign currency translation adjustments in the accompanying Consolidated Statements of Income (Loss) and Comprehensive Income (Loss).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Cross Currency Swaps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twenty-two EUR/USD cross currency swaps with a notional value of approximately $2.4 billion that mature through February 2036. The swaps all qualified as net investment hedges in order to mitigate a portion of the Company’s net European investments from foreign currency risk. As of March 31, 2026, the swaps were in a net liability position with an aggregate fair value of approximately $186 million, which were classified as Other liabilities on the Consolidated Balance Sheets. Changes in fair value related to cross currency swaps are recorded in OCI.</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notional amount of the Company’s derivative instruments outstanding as of March 31, 2026 and December 31, 2025:</w:t>
      </w:r>
    </w:p>
    <w:tbl>
      <w:tblPr>
        <w:tblW w:w="5980" w:type="dxa"/>
        <w:jc w:val="left"/>
        <w:tblInd w:w="0" w:type="dxa"/>
        <w:tblLayout w:type="fixed"/>
        <w:tblCellMar>
          <w:top w:w="28" w:type="dxa"/>
          <w:left w:w="28" w:type="dxa"/>
          <w:bottom w:w="28" w:type="dxa"/>
          <w:right w:w="28" w:type="dxa"/>
        </w:tblCellMar>
      </w:tblPr>
      <w:tblGrid>
        <w:gridCol w:w="885"/>
        <w:gridCol w:w="779"/>
        <w:gridCol w:w="781"/>
        <w:gridCol w:w="300"/>
        <w:gridCol w:w="984"/>
        <w:gridCol w:w="155"/>
        <w:gridCol w:w="109"/>
        <w:gridCol w:w="109"/>
        <w:gridCol w:w="109"/>
        <w:gridCol w:w="353"/>
        <w:gridCol w:w="1158"/>
        <w:gridCol w:w="258"/>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contracts</w:t>
            </w:r>
            <w:r>
              <w:rPr>
                <w:rFonts w:ascii="Times New Roman;serif" w:hAnsi="Times New Roman;serif"/>
                <w:b w:val="false"/>
                <w:color w:val="000000"/>
                <w:sz w:val="13"/>
              </w:rPr>
              <w:t>(1)</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Commodity contracts</w:t>
            </w:r>
            <w:r>
              <w:rPr>
                <w:rFonts w:ascii="Times New Roman;serif" w:hAnsi="Times New Roman;serif"/>
                <w:b w:val="false"/>
                <w:color w:val="000000"/>
                <w:sz w:val="13"/>
              </w:rPr>
              <w:t>(1)</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(1)Foreign currency contracts and commodity contracts are presented net of the outstanding buy/(sell) instruments.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show the Company’s derivative instruments measured at fair value (Level 2 of the fair value hierarchy), as reflected on the Consolidated Balance Sheets as of March 31, 2026 and December 31, 2025:</w:t>
      </w:r>
    </w:p>
    <w:tbl>
      <w:tblPr>
        <w:tblW w:w="7465" w:type="dxa"/>
        <w:jc w:val="left"/>
        <w:tblInd w:w="0" w:type="dxa"/>
        <w:tblLayout w:type="fixed"/>
        <w:tblCellMar>
          <w:top w:w="28" w:type="dxa"/>
          <w:left w:w="28" w:type="dxa"/>
          <w:bottom w:w="28" w:type="dxa"/>
          <w:right w:w="28" w:type="dxa"/>
        </w:tblCellMar>
      </w:tblPr>
      <w:tblGrid>
        <w:gridCol w:w="1064"/>
        <w:gridCol w:w="936"/>
        <w:gridCol w:w="939"/>
        <w:gridCol w:w="314"/>
        <w:gridCol w:w="694"/>
        <w:gridCol w:w="163"/>
        <w:gridCol w:w="109"/>
        <w:gridCol w:w="109"/>
        <w:gridCol w:w="109"/>
        <w:gridCol w:w="400"/>
        <w:gridCol w:w="684"/>
        <w:gridCol w:w="207"/>
        <w:gridCol w:w="109"/>
        <w:gridCol w:w="109"/>
        <w:gridCol w:w="109"/>
        <w:gridCol w:w="358"/>
        <w:gridCol w:w="791"/>
        <w:gridCol w:w="261"/>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of</w:t>
              <w:br/>
              <w:t>Derivatives</w:t>
              <w:br/>
              <w:t>Designated as</w:t>
              <w:br/>
              <w:t>Hedging</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of</w:t>
              <w:br/>
              <w:t>Derivatives Not</w:t>
              <w:br/>
              <w:t>Designated as</w:t>
              <w:br/>
              <w:t>Hedging</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Fair Value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assets</w:t>
            </w:r>
            <w:r>
              <w:rPr>
                <w:rFonts w:ascii="Times New Roman;serif" w:hAnsi="Times New Roman;serif"/>
                <w:b w:val="false"/>
                <w:color w:val="000000"/>
                <w:sz w:val="13"/>
              </w:rPr>
              <w:t>(1)</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assets</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liabilities</w:t>
            </w:r>
            <w:r>
              <w:rPr>
                <w:rFonts w:ascii="Times New Roman;serif" w:hAnsi="Times New Roman;serif"/>
                <w:b w:val="false"/>
                <w:color w:val="000000"/>
                <w:sz w:val="13"/>
              </w:rPr>
              <w:t>(2)</w:t>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liabilities</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465" w:type="dxa"/>
        <w:jc w:val="left"/>
        <w:tblInd w:w="0" w:type="dxa"/>
        <w:tblLayout w:type="fixed"/>
        <w:tblCellMar>
          <w:top w:w="28" w:type="dxa"/>
          <w:left w:w="28" w:type="dxa"/>
          <w:bottom w:w="28" w:type="dxa"/>
          <w:right w:w="28" w:type="dxa"/>
        </w:tblCellMar>
      </w:tblPr>
      <w:tblGrid>
        <w:gridCol w:w="1064"/>
        <w:gridCol w:w="936"/>
        <w:gridCol w:w="939"/>
        <w:gridCol w:w="314"/>
        <w:gridCol w:w="694"/>
        <w:gridCol w:w="163"/>
        <w:gridCol w:w="109"/>
        <w:gridCol w:w="109"/>
        <w:gridCol w:w="109"/>
        <w:gridCol w:w="400"/>
        <w:gridCol w:w="684"/>
        <w:gridCol w:w="207"/>
        <w:gridCol w:w="109"/>
        <w:gridCol w:w="109"/>
        <w:gridCol w:w="109"/>
        <w:gridCol w:w="358"/>
        <w:gridCol w:w="791"/>
        <w:gridCol w:w="261"/>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of</w:t>
              <w:br/>
              <w:t>Derivatives</w:t>
              <w:br/>
              <w:t>Designated as</w:t>
              <w:br/>
              <w:t>Hedging</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of</w:t>
              <w:br/>
              <w:t>Derivatives Not</w:t>
              <w:br/>
              <w:t>Designated as</w:t>
              <w:br/>
              <w:t>Hedging</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Fair Value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assets</w:t>
            </w:r>
            <w:r>
              <w:rPr>
                <w:rFonts w:ascii="Times New Roman;serif" w:hAnsi="Times New Roman;serif"/>
                <w:b w:val="false"/>
                <w:color w:val="000000"/>
                <w:sz w:val="13"/>
              </w:rPr>
              <w:t>(1)</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assets</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liabilities</w:t>
            </w:r>
            <w:r>
              <w:rPr>
                <w:rFonts w:ascii="Times New Roman;serif" w:hAnsi="Times New Roman;serif"/>
                <w:b w:val="false"/>
                <w:color w:val="000000"/>
                <w:sz w:val="13"/>
              </w:rPr>
              <w:t>(2)</w:t>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liabilities</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(1)Derivative assets are recorded to Prepaid expenses and other current assets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(2)Derivative liabilities are recorded to Other current liabilities and Other liabilities on the Consolidated Balance Sheets.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effect of the Company’s derivative instruments which were not designated as hedging instruments on the Consolidated Statements of Income (Loss) and Comprehensive Income (Loss)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571"/>
        <w:gridCol w:w="503"/>
        <w:gridCol w:w="505"/>
        <w:gridCol w:w="354"/>
        <w:gridCol w:w="691"/>
        <w:gridCol w:w="183"/>
        <w:gridCol w:w="183"/>
        <w:gridCol w:w="183"/>
        <w:gridCol w:w="183"/>
        <w:gridCol w:w="354"/>
        <w:gridCol w:w="606"/>
        <w:gridCol w:w="183"/>
        <w:gridCol w:w="109"/>
        <w:gridCol w:w="109"/>
        <w:gridCol w:w="109"/>
        <w:gridCol w:w="353"/>
        <w:gridCol w:w="688"/>
        <w:gridCol w:w="182"/>
        <w:gridCol w:w="182"/>
        <w:gridCol w:w="182"/>
        <w:gridCol w:w="182"/>
        <w:gridCol w:w="353"/>
        <w:gridCol w:w="604"/>
        <w:gridCol w:w="182"/>
        <w:gridCol w:w="721"/>
        <w:gridCol w:w="721"/>
        <w:gridCol w:w="1029"/>
      </w:tblGrid>
      <w:tr>
        <w:trPr/>
        <w:tc>
          <w:tcPr>
            <w:tcW w:w="5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of Gain (Loss) Recognized in Income on Derivative Settlements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Income on Changes in Fair Value</w:t>
            </w:r>
          </w:p>
        </w:tc>
        <w:tc>
          <w:tcPr>
            <w:tcW w:w="24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Gain (Loss) Recognized in Income on Derivative</w:t>
            </w:r>
          </w:p>
        </w:tc>
      </w:tr>
      <w:tr>
        <w:trPr/>
        <w:tc>
          <w:tcPr>
            <w:tcW w:w="15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9" w:type="dxa"/>
            <w:gridSpan w:val="3"/>
            <w:vMerge w:val="continue"/>
            <w:tcBorders/>
            <w:tcMar>
              <w:top w:w="0" w:type="dxa"/>
              <w:left w:w="0" w:type="dxa"/>
              <w:bottom w:w="0" w:type="dxa"/>
              <w:right w:w="0" w:type="dxa"/>
            </w:tcMar>
            <w:vAlign w:val="center"/>
          </w:tcPr>
          <w:p>
            <w:pPr>
              <w:pStyle w:val="Normal"/>
              <w:bidi w:val="0"/>
              <w:jc w:val="left"/>
              <w:rPr/>
            </w:pPr>
            <w:r>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forward contracts</w:t>
            </w:r>
            <w:r>
              <w:rPr>
                <w:rFonts w:ascii="Times New Roman;serif" w:hAnsi="Times New Roman;serif"/>
                <w:b w:val="false"/>
                <w:color w:val="000000"/>
                <w:sz w:val="13"/>
              </w:rPr>
              <w:t>(1)</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610" w:type="dxa"/>
            <w:gridSpan w:val="6"/>
            <w:tcBorders/>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4156" w:type="dxa"/>
            <w:gridSpan w:val="9"/>
            <w:tcBorders/>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610" w:type="dxa"/>
            <w:gridSpan w:val="6"/>
            <w:tcBorders/>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(1)The foreign currency contract net gains (losses) offset any recognized gains (losses) arising from the revaluation of the related intercompany loans during the same respective periods.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effect of the Company’s derivative and non-derivative instruments designated as cash flow and net investment hedging instruments, net of tax, on the Consolidated Statements of Income (Loss) and Comprehensive Income (Loss)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1134"/>
        <w:gridCol w:w="647"/>
        <w:gridCol w:w="649"/>
        <w:gridCol w:w="256"/>
        <w:gridCol w:w="438"/>
        <w:gridCol w:w="132"/>
        <w:gridCol w:w="132"/>
        <w:gridCol w:w="132"/>
        <w:gridCol w:w="132"/>
        <w:gridCol w:w="256"/>
        <w:gridCol w:w="486"/>
        <w:gridCol w:w="132"/>
        <w:gridCol w:w="109"/>
        <w:gridCol w:w="109"/>
        <w:gridCol w:w="109"/>
        <w:gridCol w:w="1007"/>
        <w:gridCol w:w="1007"/>
        <w:gridCol w:w="1009"/>
        <w:gridCol w:w="109"/>
        <w:gridCol w:w="109"/>
        <w:gridCol w:w="109"/>
        <w:gridCol w:w="231"/>
        <w:gridCol w:w="444"/>
        <w:gridCol w:w="119"/>
        <w:gridCol w:w="119"/>
        <w:gridCol w:w="119"/>
        <w:gridCol w:w="119"/>
        <w:gridCol w:w="231"/>
        <w:gridCol w:w="444"/>
        <w:gridCol w:w="176"/>
      </w:tblGrid>
      <w:tr>
        <w:trPr/>
        <w:tc>
          <w:tcPr>
            <w:tcW w:w="113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w:t>
              <w:br/>
              <w:t>Recognized in OCI on</w:t>
              <w:br/>
              <w:t>Derivative and Non-Derivative (Effective</w:t>
              <w:br/>
              <w:t>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 (Loss)</w:t>
              <w:br/>
              <w:t>Reclassified from Accumulated Other Comprehensive Income (“AOCI”) into Income (Effective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w:t>
              <w:br/>
              <w:t>Reclassified from</w:t>
              <w:br/>
              <w:t>AOCI into</w:t>
              <w:br/>
              <w:t>Income (Effective</w:t>
              <w:br/>
              <w:t>Portion)</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in Cash Flow Hedging Relationships:</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in Net Investment Hedging Relationships:</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Non-Derivatives in Net Investment Hedging Relationships:</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Euro Notes</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 benefit</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2329" w:type="dxa"/>
            <w:gridSpan w:val="12"/>
            <w:tcBorders/>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52" w:type="dxa"/>
            <w:gridSpan w:val="15"/>
            <w:tcBorders/>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ineffective portion of the above noted net investment hedges was approximately $5 million and $4 million for each of the three months ended March 31, 2026 and 2025, respectively, and was recorded as a reduction to Interest expense on the Consolidated Statements of Income (Loss) and Comprehensive Income (Loss).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based on current market rates, the Company does not expect any material derivative losses (net of tax), included in AOCI, to be reclassified into earnings within the next 12 months.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ACCUMULATED OTHER COMPREHENSIVE LOSS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changes in the accumulated balances for each component of other comprehensive (loss) income, including current period other comprehensive (loss) income and reclassifications out of accumulated other comprehensive loss:</w:t>
      </w:r>
    </w:p>
    <w:tbl>
      <w:tblPr>
        <w:tblW w:w="10205" w:type="dxa"/>
        <w:jc w:val="left"/>
        <w:tblInd w:w="0" w:type="dxa"/>
        <w:tblLayout w:type="fixed"/>
        <w:tblCellMar>
          <w:top w:w="28" w:type="dxa"/>
          <w:left w:w="28" w:type="dxa"/>
          <w:bottom w:w="28" w:type="dxa"/>
          <w:right w:w="28" w:type="dxa"/>
        </w:tblCellMar>
      </w:tblPr>
      <w:tblGrid>
        <w:gridCol w:w="1801"/>
        <w:gridCol w:w="1456"/>
        <w:gridCol w:w="1435"/>
        <w:gridCol w:w="246"/>
        <w:gridCol w:w="737"/>
        <w:gridCol w:w="128"/>
        <w:gridCol w:w="109"/>
        <w:gridCol w:w="109"/>
        <w:gridCol w:w="109"/>
        <w:gridCol w:w="335"/>
        <w:gridCol w:w="645"/>
        <w:gridCol w:w="174"/>
        <w:gridCol w:w="109"/>
        <w:gridCol w:w="109"/>
        <w:gridCol w:w="109"/>
        <w:gridCol w:w="324"/>
        <w:gridCol w:w="739"/>
        <w:gridCol w:w="168"/>
        <w:gridCol w:w="109"/>
        <w:gridCol w:w="109"/>
        <w:gridCol w:w="109"/>
        <w:gridCol w:w="211"/>
        <w:gridCol w:w="668"/>
        <w:gridCol w:w="157"/>
      </w:tblGrid>
      <w:tr>
        <w:trPr/>
        <w:tc>
          <w:tcPr>
            <w:tcW w:w="180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w:t>
              <w:br/>
              <w:t>on Derivatives</w:t>
              <w:br/>
              <w:t>Qualifying as</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Pension and</w:t>
              <w:br/>
              <w:t>Postretirement</w:t>
              <w:br/>
              <w:t>Liability</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 net of tax, as of January 1, 2026</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 before reclassifications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 net of tax, as of March 31, 2026</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01"/>
        <w:gridCol w:w="1456"/>
        <w:gridCol w:w="1435"/>
        <w:gridCol w:w="246"/>
        <w:gridCol w:w="737"/>
        <w:gridCol w:w="128"/>
        <w:gridCol w:w="109"/>
        <w:gridCol w:w="109"/>
        <w:gridCol w:w="109"/>
        <w:gridCol w:w="412"/>
        <w:gridCol w:w="528"/>
        <w:gridCol w:w="213"/>
        <w:gridCol w:w="109"/>
        <w:gridCol w:w="109"/>
        <w:gridCol w:w="109"/>
        <w:gridCol w:w="373"/>
        <w:gridCol w:w="665"/>
        <w:gridCol w:w="193"/>
        <w:gridCol w:w="109"/>
        <w:gridCol w:w="109"/>
        <w:gridCol w:w="109"/>
        <w:gridCol w:w="211"/>
        <w:gridCol w:w="668"/>
        <w:gridCol w:w="158"/>
      </w:tblGrid>
      <w:tr>
        <w:trPr/>
        <w:tc>
          <w:tcPr>
            <w:tcW w:w="180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w:t>
              <w:br/>
              <w:t>on Derivatives</w:t>
              <w:br/>
              <w:t>Qualifying as</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Pension and</w:t>
              <w:br/>
              <w:t>Postretirement</w:t>
              <w:br/>
              <w:t>Liability</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 net of tax, as of January 1, 2025</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 before reclassifications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 net of tax, as of March 31, 2025</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about reclassifications out of Accumulated other comprehensive loss to the Consolidated Statements of Income (Loss) and Comprehensive Income (Loss):</w:t>
      </w:r>
    </w:p>
    <w:tbl>
      <w:tblPr>
        <w:tblW w:w="10205" w:type="dxa"/>
        <w:jc w:val="left"/>
        <w:tblInd w:w="0" w:type="dxa"/>
        <w:tblLayout w:type="fixed"/>
        <w:tblCellMar>
          <w:top w:w="28" w:type="dxa"/>
          <w:left w:w="28" w:type="dxa"/>
          <w:bottom w:w="28" w:type="dxa"/>
          <w:right w:w="28" w:type="dxa"/>
        </w:tblCellMar>
      </w:tblPr>
      <w:tblGrid>
        <w:gridCol w:w="559"/>
        <w:gridCol w:w="492"/>
        <w:gridCol w:w="494"/>
        <w:gridCol w:w="309"/>
        <w:gridCol w:w="375"/>
        <w:gridCol w:w="159"/>
        <w:gridCol w:w="159"/>
        <w:gridCol w:w="159"/>
        <w:gridCol w:w="159"/>
        <w:gridCol w:w="309"/>
        <w:gridCol w:w="461"/>
        <w:gridCol w:w="159"/>
        <w:gridCol w:w="109"/>
        <w:gridCol w:w="109"/>
        <w:gridCol w:w="109"/>
        <w:gridCol w:w="2006"/>
        <w:gridCol w:w="1686"/>
        <w:gridCol w:w="2392"/>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Affected Line Item in the Consolidated Statements of Income (Loss) and Comprehensive Income (Loss)</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4"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4"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4"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4"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4"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4"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4"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4"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4"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losses (gains)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4"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4"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of income taxes</w:t>
            </w:r>
          </w:p>
        </w:tc>
      </w:tr>
    </w:tbl>
    <w:p>
      <w:pPr>
        <w:pStyle w:val="TextBody"/>
        <w:bidi w:val="0"/>
        <w:spacing w:lineRule="auto" w:line="288" w:before="0" w:after="0"/>
        <w:jc w:val="left"/>
        <w:rPr/>
      </w:pPr>
      <w:r>
        <w:rPr>
          <w:color w:val="000000"/>
        </w:rPr>
        <w:t> </w:t>
      </w: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(1)The amortization of actuarial losses (gains) is included in the computation of net periodic benefit cost. Refer to Note 7 for additional information regarding net periodic benefit cost.</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COMMITMENTS AND CONTINGENCIES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Guarantees and Letters of Credit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various bank guarantees, letters of credit and surety bonds which are used to support its ongoing business operations, satisfy governmental requirements associated with pending litigation in various jurisdictions and the payment of customs duties.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a total of approximately $241 million of available bank guarantees, commercial guarantees, standby letters of credit and surety bonds with various financial institutions. There was a total of approximately $53 million outstanding under the bank guarantees, standby letters of credit and commercial guarantees as of March 31,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challenge certain assessments in Brazil, the Company has been required to, and has separately pledged assets, principally property, plant and equipment, to cover assessments in the amount of approximately $8 million as of March 31, 2026.</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contingencies related to litigation and/or other matters to determine the degree of probability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range of possible loss if reasonably estimable.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and any assessments or the related decisions on accruals could be inaccurate. On at least a quarterly basis, the Company reviews contingencies related to litigation to determine the adequacy of accruals. The amount of ultimate loss may substantially differ from these estimates and the amounts accrued, and further events may require the Company to increase or decrease the amounts it has accrued on any matter.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Periodically, the Company assesses its insurance coverage for all known claims, where applicable, taking into account aggregate coverage by occurrence, limits of coverage, self-insured retentions and deductibles, historical claims experience and claims experience with its insurance carriers. The probable liabilities are recorded at management’s best estimate of the probable outcome of the lawsuits and claims where reasonably estimable, taking into consideration the facts and circumstances of the individual matters as well as past experience on similar matters. At each balance sheet date, management assesses whether it is probable that a loss as to asserted or unasserted claims has been incurred and if so, whether the amount of loss can be reasonably estimated. The Company records the expected liability with respect to claims in Other current liabilities or Other liabilities and expected recoveries from its insurance carriers in Other current assets or Other assets. The Company recognizes a receivable when it believes that realization of the insurance receivable is probable under the terms of the insurance policies and its payment experience to date.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Litigation Matters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A motion to approve a securities class action was filed in the Tel Aviv District Court, Israel, in August 2019, alleging, among other things, false and misleading statements largely in connection with IFF’s acquisition of Frutarom and improper payments made by Frutarom businesses operating principally in Russia and Ukraine to representatives of customers. The motion (“Oman”) (following an initial amendment) asserted claims under the Israeli Securities Act-1968 against IFF, its former Chairman and CEO, and its former CFO, and against Frutarom and certain former Frutarom officers and directors, as well as claims under the Israeli Companies Act-1999 against certain former Frutarom officers and directors. On July 14, 2022, the court approved the parties’ motion to mediate the dispute, which postponed all case deadlines until after the mediation. The parties held mediation meetings on September 13, 2022, November 22, 2022, March 1, 2023, November 2023, March 3, 2024 and April 1, 2024. In November 2024, the court granted extensions to the parties’ joint filings of the responses to the Oman motion and for the evidential hearings, for the parties to exhaust the mediation proceeding. In the second quarter of 2025, the parties finalized a settlement agreement and submitted it to the court for approval. The settlement, approved by the court in November 2025, resolves all claims against Frutarom and its former officers and directors, and was made to avoid the cost, distraction and uncertainty of prolonged litigation. The settlement agreement states the settlement payment, fees and expenses totaling </w:t>
      </w:r>
      <w:r>
        <w:rPr>
          <w:rFonts w:ascii="Times New Roman;serif" w:hAnsi="Times New Roman;serif"/>
          <w:b w:val="false"/>
          <w:color w:val="000000"/>
          <w:sz w:val="20"/>
          <w:shd w:fill="FFFFFF" w:val="clear"/>
        </w:rPr>
        <w:t>24 million New Israel Shekel (approximately $7 million) will</w:t>
      </w:r>
      <w:r>
        <w:rPr>
          <w:color w:val="000000"/>
        </w:rPr>
        <w:t xml:space="preserve"> </w:t>
      </w:r>
      <w:r>
        <w:rPr>
          <w:rFonts w:ascii="Times New Roman;serif" w:hAnsi="Times New Roman;serif"/>
          <w:b w:val="false"/>
          <w:color w:val="000000"/>
          <w:sz w:val="20"/>
        </w:rPr>
        <w:t>be paid by the respondents’ insurers.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29, 2019, IFF and Frutarom filed a claim in the Tel Aviv District Court, Israel, against Ori Yehudai, the former President and CEO of Frutarom, and against certain former directors of Frutarom, challenging the bonus of $20 million granted to Yehudai in 2018. IFF and Frutarom allege, among other things, that Yehudai was not entitled to receive the bonus because he breached his fiduciary duty by, among other things, knowing of the above-mentioned improper payments and failing to prevent them from being made. The parties agreed, pursuant to the court’s recommendation, to attempt to resolve the dispute through mediation, and a court decision is pending with regard to the order in which this claim and the class action described below will be heard.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11, 2020, an IFF shareholder filed a motion to approve a class action in Israel against, among others, Frutarom, Yehudai, and Frutarom’s former board of directors, alleging that former minority shareholders of Frutarom were harmed as a result of the US $20 million bonus paid to Yehudai. The court held an evidentiary hearing on the motion to approve a class action in March 2024. In September 2025, the court issued a decision granting the motion to certify a class action. In December 2025, Frutarom submitted its motion for rehearing of that decision.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pPr>
      <w:r>
        <w:rPr>
          <w:rFonts w:ascii="Times New Roman;serif" w:hAnsi="Times New Roman;serif"/>
          <w:b w:val="false"/>
          <w:color w:val="000000"/>
          <w:sz w:val="20"/>
        </w:rPr>
        <w:t>Since March 2023, various putative class action lawsuits have been filed against IFF, Firmenich International SA, Givaudan SA, and Symrise AG and/or certain affiliates thereof in the Quebec Superior Court, the Federal Court of Canada, Ontario Superior Court, the Supreme Court of British Columbia and, in several cases, the United States District Court for the District of New Jersey. These actions allege violations of the Canadian Competition Act and the Sherman Act, as applicable, and other related claims, and seek damages and other relief. IFF announced on October 17, 2025, that it entered into a settlement agreement which will be a full settlement of the multiple civil class actions brought by direct purchasers of fragrance products in the Uni</w:t>
      </w:r>
      <w:r>
        <w:rPr>
          <w:rFonts w:ascii="Times New Roman;serif" w:hAnsi="Times New Roman;serif"/>
          <w:b w:val="false"/>
          <w:color w:val="000000"/>
          <w:sz w:val="20"/>
          <w:shd w:fill="FFFFFF" w:val="clear"/>
        </w:rPr>
        <w:t>ted States. On November 17, 2025, the Court granted the motion for preliminary approval of this settlement and IFF then contributed $26 million</w:t>
      </w:r>
      <w:r>
        <w:rPr>
          <w:color w:val="000000"/>
        </w:rPr>
        <w:t xml:space="preserve"> </w:t>
      </w:r>
      <w:r>
        <w:rPr>
          <w:rFonts w:ascii="Times New Roman;serif" w:hAnsi="Times New Roman;serif"/>
          <w:b w:val="false"/>
          <w:color w:val="000000"/>
          <w:sz w:val="20"/>
        </w:rPr>
        <w:t xml:space="preserve">to a settlement fund to resolve all class claims related to this direct purchaser class. Motions for preliminary approval have been filed by the plaintiffs for each of the settlements. On April 6, 2026 and on March 16, 2026, IFF entered into respective settlement agreements with the indirect purchaser plaintiffs and the end-user plaintiffs. During the twelve months ended December 31, 2025, the Company recognized a total provision of $43 million within “Selling and Administrative Expenses” in connection with the U.S. class action lawsuits, based on estimated potential settlement amount inclusive of the $26 million noted above related to settlement with direct purchasers. This provision does not include any potential liabilities that may arise from other civil proceedings not encompassed by the U.S. class action lawsuits. On January 27, 2026, an additional class action complaint was filed in the District of New Jersey on behalf of a class of purchasers in the United States of consumer goods containing fragrance products that were purchased outside the United States. IFF may face additional civil suits, in the United States, Canada, United Kingdom, European Union or in other countries, relating to such alleged conduct. At this time, IFF is unable to predict the potential outcome of these lawsuits or any potential effect they may have on the Company’s results of operations, liquidity or financial condition. The resolution of any of these items could have a material adverse effect on IFF’s results of operation, financial condition, and overall business.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Investigations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3, 2020, the Israel Police’s National Fraud Investigation Unit and the Israeli Securities Authority commenced an investigation into Frutarom and certain of its former executives, based on suspected bribery of foreign officials, money laundering, and violations of the Israeli Securities Act-1968. On February 26, 2024, the Israeli authorities informed Frutarom that the authorities decided to close the criminal investigation.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7, 2023, the European Commission (“EC”) and the United Kingdom Competition and Markets Authority (“CMA”) carried out unannounced inspections of certain of IFF’s facilities. IFF understands the EC, CMA and the Swiss Competition Commission are investigating potential anticompetitive conduct as it relates to IFF’s fragrance businesses. On the same day, IFF was served with a grand jury subpoena by the Antitrust Division of the U.S. Department of Justice (“DOJ”). The Mexican Competition Commission has also announced that it is investigating potential anticompetitive conduct in the fragrance and fragrance ingredients industries. On February 5, 2026, IFF received a letter from DOJ confirming the closing of its investigation (such decision is independent of the other related civil or regulatory matters). The Company has applied for leniency in a number of jurisdictions. Leniency, if obtained in a jurisdiction, would generally carry significant benefits by, for example, reducing or eliminating monetary liability in that jurisdiction. Since March 7, 2023, other investigations have been underway or threatened in other jurisdictions related to claimed anti-competitive conduct. While these investigations are confidential, the Company is cooperating and/or seeking leniency in those jurisdictions, as well. IFF has been and intends to continue actively cooperating with these investigations, as well as any other present or future inquiries from governmental authorities.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2026, additional investigations have been initiated in Singapore and India relating to employment practices in the fragrance industry. As with the other investigations, IFF is cooperating with the regulators in these investigations.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IFF is currently unable to predict or determine the duration or outcome of the investigations, or whether the outcome of the investigations will materially impact the Company’s results of operations, liquidity or financial condition. An adverse judgment or other outcome or settlement with respect to any proceedings discussed above could result in significant fines or payments by IFF. The resolution of any of these items could have a material adverse effect on IFF’s results of operations, financial condition, and overall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Environmental Proceedings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March 22, 2024, the Solae, LLC Memphis site (“Solae”) signed an Administrative Order on Consent (the “Consent Order”) resolving violations and penalties pertaining to the Administrative Order and Assessment received from the City of Memphis on May 27, 2022 related to alleged wastewater discharge violations. In view of the Consent Order, Solae withdrew its previously filed appeal. Pursuant to the Consent Order, Solae is completing its capital project efforts in accordance with the agreed schedule for attaining compliance with current wastewater permit requirements. This matter is not expected to have a material adverse effect on the Company’s financial position, cash flows or results of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Other Commitments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contingencies involving third parties (such as labor, contract, technology or product-related claims or litigation) as well as government-related items in various jurisdictions in which it operates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most significant government-related contingencies exist in Brazil. With regard to the Brazilian matters, the Company believes it has valid defenses for the underlying positions under dispute; however, in order to pursue</w:t>
      </w:r>
      <w:r>
        <w:rPr>
          <w:color w:val="000000"/>
          <w:shd w:fill="FFFFFF" w:val="clear"/>
        </w:rPr>
        <w:t xml:space="preserve"> </w:t>
      </w:r>
      <w:r>
        <w:rPr>
          <w:rFonts w:ascii="Times New Roman;serif" w:hAnsi="Times New Roman;serif"/>
          <w:b w:val="false"/>
          <w:color w:val="000000"/>
          <w:sz w:val="20"/>
          <w:shd w:fill="FFFFFF" w:val="clear"/>
        </w:rPr>
        <w:t xml:space="preserve">these defenses, the </w:t>
      </w:r>
      <w:r>
        <w:rPr>
          <w:rFonts w:ascii="Times New Roman;serif" w:hAnsi="Times New Roman;serif"/>
          <w:b w:val="false"/>
          <w:color w:val="000000"/>
          <w:sz w:val="20"/>
        </w:rPr>
        <w:t>Company is required to, and has provided, bank guarantees and pledged assets in the aggregate amount of approximate</w:t>
      </w:r>
      <w:r>
        <w:rPr>
          <w:rFonts w:ascii="Times New Roman;serif" w:hAnsi="Times New Roman;serif"/>
          <w:b w:val="false"/>
          <w:color w:val="000000"/>
          <w:sz w:val="20"/>
          <w:shd w:fill="FFFFFF" w:val="clear"/>
        </w:rPr>
        <w:t xml:space="preserve">ly </w:t>
      </w:r>
      <w:r>
        <w:rPr>
          <w:rFonts w:ascii="Times New Roman;serif" w:hAnsi="Times New Roman;serif"/>
          <w:b w:val="false"/>
          <w:color w:val="000000"/>
          <w:sz w:val="20"/>
        </w:rPr>
        <w:t xml:space="preserve">$19 million. </w:t>
      </w:r>
      <w:r>
        <w:rPr>
          <w:rFonts w:ascii="Times New Roman;serif" w:hAnsi="Times New Roman;serif"/>
          <w:b w:val="false"/>
          <w:color w:val="000000"/>
          <w:sz w:val="20"/>
          <w:shd w:fill="FFFFFF" w:val="clear"/>
        </w:rPr>
        <w:t>The Brazilian matters take an extended period of time to proceed through the judicial process and there are a li</w:t>
      </w:r>
      <w:r>
        <w:rPr>
          <w:rFonts w:ascii="Times New Roman;serif" w:hAnsi="Times New Roman;serif"/>
          <w:b w:val="false"/>
          <w:color w:val="000000"/>
          <w:sz w:val="20"/>
        </w:rPr>
        <w:t>mited number of rulings to d</w:t>
      </w:r>
      <w:r>
        <w:rPr>
          <w:rFonts w:ascii="Times New Roman;serif" w:hAnsi="Times New Roman;serif"/>
          <w:b w:val="false"/>
          <w:color w:val="000000"/>
          <w:sz w:val="20"/>
          <w:shd w:fill="FFFFFF" w:val="clear"/>
        </w:rPr>
        <w:t>ate.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legal proceedings and claims that have arisen in the ordinary course of business and have not been fully resolved. Due to the inherent subjectivity and unpredictability of outcomes of legal proceedings, the Company is unable to determine, with certainty, the probability of the outcome of these matters or the range of reasonably possible losses, if any.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20, 2026, the Supreme Court of the United States ruled that the International Emergency Economic Powers Act (“IEEPA”) does not authorize the imposition of tariffs, effectively invalidating IEEPA</w:t>
        <w:noBreakHyphen/>
        <w:t>based tariffs that had been in effect since February 2025. On April 20, 2026, U.S. Customs and Border Protection (“CBP”) launched an online portal that may be used to submit requests for refunds of IEEPA tariffs previously assessed. All refund requests are subject to CBP review and approval prior to the issuance of any refunds.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has not recognized an asset related to potential tariff refunds, as significant uncertainty remains regarding the review process, timing, and amount of any refunds that may ultimately be approved. In addition, to the extent refunds are received, the Company may be required, based on the contractual terms with certain customers, to pass some or all of such amounts through to its customers. Accordingly, the ultimate amount, if any, that the Company may retain is uncertain. The Company will continue to evaluate new information and will recognize any refund and related obligations when the recognition criteria under ASC 450, Contingencies, have been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(UNLESS INDICATED OTHERWISE, DOLLARS IN MILLIONS EXCEPT PER SHARE AMOUNTS)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should be read in conjunction with the management’s discussion and analysis of financial condition and results of operations, liquidity and capital resources included in our 2025 Annual Report on Form 10-K, filed on February 27, 2026 with the SEC (“2025 Form 10-K”).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Company Background</w:t>
      </w:r>
    </w:p>
    <w:p>
      <w:pPr>
        <w:pStyle w:val="TextBody"/>
        <w:bidi w:val="0"/>
        <w:spacing w:lineRule="auto" w:line="288" w:before="12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We are organized into four reportable operating segments: Taste, Food Ingredients, Health &amp; Biosciences, and Scent.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Taste segment consists of the development and production of a range of flavor compounds and natural taste solutions that are ultimately used by our customers in a diverse variety of products, including savory products (soups, sauces, meat, fish, poultry, snacks, etc.), beverages (juice drinks, carbonated or flavored beverages, spirits, etc.), sweets (bakery products, candy, cereal, chewing gum, etc.), and dairy products (yogurt, ice cream, cheese, etc.). Taste also includes value-added spices and seasoning ingredients for meat, food service, convenience, alternative protein and culinary products.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Food Ingredients segment consists of a diversified portfolio across natural, artificial and plant-based specialty food ingredients that provide functional properties solutions for food and beverage products, as well as specialty soy protein with value-added formulations, emulsifiers and sweeteners. Natural food protection ingredients consist of natural antioxidants and anti-microbials used for natural food preservation and shelf-life extension for beverages, cosmetic and healthcare products, pet food and feed additives. Food Ingredients also includes savory solutions (such as spices, marinades, and mixtures) and inclusion products (such as products combining flavorings with fruit, vegetables and other natural ingredients).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Health &amp; Biosciences segment consists of the development and production of an advanced biotechnology-derived portfolio of enzymes, food cultures, probiotics and specialty ingredients for food and non-food applications. Among many other applications, our portfolio includes cultures for use in fermented foods such as yogurt, cheese and fermented beverages, probiotic strains, household detergents, animal feed, ethanol production and brewing. Health &amp; Biosciences is comprised of Health, Food Biosciences, Home &amp; Personal Care, Animal Nutrition and Grain Processing.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Scent segment creates fragrance compounds and fragrance ingredients that are integral elements in the world’s finest perfumes and best-known household and personal care products. Consumer insights, science and creativity are at the heart of our Scent business, along with our unique portfolio of natural and synthetic ingredients, global footprint, innovative technologies and know-how, and customer intimacy. The Scent segment is comprised of Fragrance Compounds and Fragrance Ingredients.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completed the divestiture of our Pharma Solutions disposal group, which included certain adjacent businesses, on May 1, 2025 and we divested our nitrocellulose business, which was within our Pharma Solutions segment, on May 9, 2025. Our former Pharma Solutions segment produced, among other things, a vast portfolio of cellulosics and seaweed-based pharmaceutical excipients, used in prescription and over-the-counter pharmaceuticals and dietary supplements.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Financial Performance Overview</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Sales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Sales in the first quarter of 2026 decreased </w:t>
      </w:r>
      <w:r>
        <w:rPr>
          <w:rFonts w:ascii="Times New Roman;serif" w:hAnsi="Times New Roman;serif"/>
          <w:b w:val="false"/>
          <w:color w:val="000000"/>
          <w:sz w:val="20"/>
          <w:shd w:fill="FFFFFF" w:val="clear"/>
        </w:rPr>
        <w:t>$102 million</w:t>
      </w:r>
      <w:r>
        <w:rPr>
          <w:rFonts w:ascii="Times New Roman;serif" w:hAnsi="Times New Roman;serif"/>
          <w:b w:val="false"/>
          <w:color w:val="000000"/>
          <w:sz w:val="20"/>
        </w:rPr>
        <w:t xml:space="preserve">, or 4% on a reported basis, to </w:t>
      </w:r>
      <w:r>
        <w:rPr>
          <w:rFonts w:ascii="Times New Roman;serif" w:hAnsi="Times New Roman;serif"/>
          <w:b w:val="false"/>
          <w:color w:val="000000"/>
          <w:sz w:val="20"/>
          <w:shd w:fill="FFFFFF" w:val="clear"/>
        </w:rPr>
        <w:t>$2.741 billion</w:t>
      </w:r>
      <w:r>
        <w:rPr>
          <w:color w:val="000000"/>
        </w:rPr>
        <w:t xml:space="preserve"> </w:t>
      </w:r>
      <w:r>
        <w:rPr>
          <w:rFonts w:ascii="Times New Roman;serif" w:hAnsi="Times New Roman;serif"/>
          <w:b w:val="false"/>
          <w:color w:val="000000"/>
          <w:sz w:val="20"/>
        </w:rPr>
        <w:t>compared to $2.843 billion in the 2025 period. On a comparable currency neutral basis, sales in the first quarter of 2026 increased 3% compared to the 2025 period. Exchange rate variations had a favorable impact on net sales of 4%. The effect of exchange rates can vary by business and region, depending upon the mix of sales priced in U.S. dollars as compared to other currencies. Comparable portfolio results exclude the impact of divestitures of Soy Crush, Concentrates, and Lecithin business (the “SCL disposal group”), the Rene Laurent business in France, and the Pharma Solutions disposal group and Nitrocellulose business, which was ap</w:t>
      </w:r>
      <w:r>
        <w:rPr>
          <w:rFonts w:ascii="Times New Roman;serif" w:hAnsi="Times New Roman;serif"/>
          <w:b w:val="false"/>
          <w:color w:val="000000"/>
          <w:sz w:val="20"/>
          <w:shd w:fill="FFFFFF" w:val="clear"/>
        </w:rPr>
        <w:t>proximately $289 million.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Gross profit in the first quarter of 2026 decreased </w:t>
      </w:r>
      <w:r>
        <w:rPr>
          <w:rFonts w:ascii="Times New Roman;serif" w:hAnsi="Times New Roman;serif"/>
          <w:b w:val="false"/>
          <w:color w:val="000000"/>
          <w:sz w:val="20"/>
          <w:shd w:fill="FFFFFF" w:val="clear"/>
        </w:rPr>
        <w:t>$17 million</w:t>
      </w:r>
      <w:r>
        <w:rPr>
          <w:rFonts w:ascii="Times New Roman;serif" w:hAnsi="Times New Roman;serif"/>
          <w:b w:val="false"/>
          <w:color w:val="000000"/>
          <w:sz w:val="20"/>
        </w:rPr>
        <w:t xml:space="preserve">, or </w:t>
      </w:r>
      <w:r>
        <w:rPr>
          <w:rFonts w:ascii="Times New Roman;serif" w:hAnsi="Times New Roman;serif"/>
          <w:b w:val="false"/>
          <w:color w:val="000000"/>
          <w:sz w:val="20"/>
          <w:shd w:fill="FFFFFF" w:val="clear"/>
        </w:rPr>
        <w:t>2%</w:t>
      </w:r>
      <w:r>
        <w:rPr>
          <w:color w:val="000000"/>
        </w:rPr>
        <w:t xml:space="preserve"> </w:t>
      </w:r>
      <w:r>
        <w:rPr>
          <w:rFonts w:ascii="Times New Roman;serif" w:hAnsi="Times New Roman;serif"/>
          <w:b w:val="false"/>
          <w:color w:val="000000"/>
          <w:sz w:val="20"/>
        </w:rPr>
        <w:t xml:space="preserve">on a reported basis, to </w:t>
      </w:r>
      <w:r>
        <w:rPr>
          <w:rFonts w:ascii="Times New Roman;serif" w:hAnsi="Times New Roman;serif"/>
          <w:b w:val="false"/>
          <w:color w:val="000000"/>
          <w:sz w:val="20"/>
          <w:shd w:fill="FFFFFF" w:val="clear"/>
        </w:rPr>
        <w:t>$1.018 billion</w:t>
      </w:r>
      <w:r>
        <w:rPr>
          <w:color w:val="000000"/>
        </w:rPr>
        <w:t xml:space="preserve"> </w:t>
      </w:r>
      <w:r>
        <w:rPr>
          <w:rFonts w:ascii="Times New Roman;serif" w:hAnsi="Times New Roman;serif"/>
          <w:b w:val="false"/>
          <w:color w:val="000000"/>
          <w:sz w:val="20"/>
        </w:rPr>
        <w:t>(</w:t>
      </w:r>
      <w:r>
        <w:rPr>
          <w:rFonts w:ascii="Times New Roman;serif" w:hAnsi="Times New Roman;serif"/>
          <w:b w:val="false"/>
          <w:color w:val="000000"/>
          <w:sz w:val="20"/>
          <w:shd w:fill="FFFFFF" w:val="clear"/>
        </w:rPr>
        <w:t>37.1%</w:t>
      </w:r>
      <w:r>
        <w:rPr>
          <w:color w:val="000000"/>
        </w:rPr>
        <w:t xml:space="preserve"> </w:t>
      </w:r>
      <w:r>
        <w:rPr>
          <w:rFonts w:ascii="Times New Roman;serif" w:hAnsi="Times New Roman;serif"/>
          <w:b w:val="false"/>
          <w:color w:val="000000"/>
          <w:sz w:val="20"/>
        </w:rPr>
        <w:t>of sales) compared to $1,035 million (36.4% of sales) in the 2025 period. The decrease in gross profit was primarily driven by the impacts of divestitures of $87 million, offset in part by the effect of exchange rates, volume increases and productivity gains.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RESULTS OF OPERATIONS</w:t>
      </w:r>
    </w:p>
    <w:tbl>
      <w:tblPr>
        <w:tblW w:w="9011" w:type="dxa"/>
        <w:jc w:val="left"/>
        <w:tblInd w:w="0" w:type="dxa"/>
        <w:tblLayout w:type="fixed"/>
        <w:tblCellMar>
          <w:top w:w="28" w:type="dxa"/>
          <w:left w:w="28" w:type="dxa"/>
          <w:bottom w:w="28" w:type="dxa"/>
          <w:right w:w="28" w:type="dxa"/>
        </w:tblCellMar>
      </w:tblPr>
      <w:tblGrid>
        <w:gridCol w:w="1579"/>
        <w:gridCol w:w="1390"/>
        <w:gridCol w:w="1395"/>
        <w:gridCol w:w="211"/>
        <w:gridCol w:w="616"/>
        <w:gridCol w:w="271"/>
        <w:gridCol w:w="109"/>
        <w:gridCol w:w="109"/>
        <w:gridCol w:w="109"/>
        <w:gridCol w:w="211"/>
        <w:gridCol w:w="691"/>
        <w:gridCol w:w="271"/>
        <w:gridCol w:w="109"/>
        <w:gridCol w:w="109"/>
        <w:gridCol w:w="109"/>
        <w:gridCol w:w="268"/>
        <w:gridCol w:w="272"/>
        <w:gridCol w:w="483"/>
        <w:gridCol w:w="109"/>
        <w:gridCol w:w="109"/>
        <w:gridCol w:w="109"/>
        <w:gridCol w:w="109"/>
        <w:gridCol w:w="109"/>
        <w:gridCol w:w="154"/>
      </w:tblGrid>
      <w:tr>
        <w:trPr/>
        <w:tc>
          <w:tcPr>
            <w:tcW w:w="157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 EXCEPT PER SHARE AMOUNTS)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(R&amp;D)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(S&amp;A)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acquisition-related intangibles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business disposals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IFF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as a percentage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S&amp;A as a percentage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EBITDA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Segment net sales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Ingredients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 Solutions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 </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NMF: Not meaningful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sales includes the cost of materials and manufacturing expenses. R&amp;D expenses include expenses related to the development of new and improved products and technical product support. S&amp;A expenses include expenses necessary to support our commercial activities and administrative expenses supporting our overall operating activities including compliance with governmental regulations.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FIRST QUARTER 2026 IN COMPARISON TO FIRST QUARTER 2025</w:t>
      </w:r>
    </w:p>
    <w:p>
      <w:pPr>
        <w:pStyle w:val="TextBody"/>
        <w:bidi w:val="0"/>
        <w:spacing w:before="60" w:after="283"/>
        <w:ind w:left="0" w:right="0" w:firstLine="720"/>
        <w:jc w:val="both"/>
        <w:rPr/>
      </w:pPr>
      <w:r>
        <w:rPr/>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performance by segment was as follows:</w:t>
      </w:r>
    </w:p>
    <w:tbl>
      <w:tblPr>
        <w:tblW w:w="8598" w:type="dxa"/>
        <w:jc w:val="left"/>
        <w:tblInd w:w="0" w:type="dxa"/>
        <w:tblLayout w:type="fixed"/>
        <w:tblCellMar>
          <w:top w:w="28" w:type="dxa"/>
          <w:left w:w="28" w:type="dxa"/>
          <w:bottom w:w="28" w:type="dxa"/>
          <w:right w:w="28" w:type="dxa"/>
        </w:tblCellMar>
      </w:tblPr>
      <w:tblGrid>
        <w:gridCol w:w="694"/>
        <w:gridCol w:w="609"/>
        <w:gridCol w:w="616"/>
        <w:gridCol w:w="270"/>
        <w:gridCol w:w="271"/>
        <w:gridCol w:w="630"/>
        <w:gridCol w:w="228"/>
        <w:gridCol w:w="228"/>
        <w:gridCol w:w="228"/>
        <w:gridCol w:w="318"/>
        <w:gridCol w:w="318"/>
        <w:gridCol w:w="879"/>
        <w:gridCol w:w="228"/>
        <w:gridCol w:w="228"/>
        <w:gridCol w:w="228"/>
        <w:gridCol w:w="507"/>
        <w:gridCol w:w="507"/>
        <w:gridCol w:w="1611"/>
      </w:tblGrid>
      <w:tr>
        <w:trPr/>
        <w:tc>
          <w:tcPr>
            <w:tcW w:w="69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 in Sales - First Quarter 2026 vs. First Quarter 2025</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Currency Neutral</w:t>
            </w:r>
            <w:r>
              <w:rPr>
                <w:rFonts w:ascii="Times New Roman;serif" w:hAnsi="Times New Roman;serif"/>
                <w:b/>
                <w:color w:val="000000"/>
                <w:sz w:val="10"/>
              </w:rPr>
              <w:t>(1)</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Comparable Currency Neutral</w:t>
            </w:r>
            <w:r>
              <w:rPr>
                <w:rFonts w:ascii="Times New Roman;serif" w:hAnsi="Times New Roman;serif"/>
                <w:b/>
                <w:color w:val="000000"/>
                <w:sz w:val="10"/>
              </w:rPr>
              <w:t>(1)(2)</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Taste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Food Ingredients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&amp; Biosciences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Scent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Pharma Solutions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-4</w:t>
            </w:r>
            <w:r>
              <w:rPr>
                <w:color w:val="000000"/>
              </w:rPr>
              <w:t>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-7</w:t>
            </w:r>
            <w:r>
              <w:rPr>
                <w:color w:val="000000"/>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3</w:t>
            </w:r>
            <w:r>
              <w:rPr>
                <w:color w:val="000000"/>
              </w:rPr>
              <w:t> </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 </w:t>
      </w:r>
    </w:p>
    <w:p>
      <w:pPr>
        <w:pStyle w:val="TextBody"/>
        <w:bidi w:val="0"/>
        <w:spacing w:before="60" w:after="283"/>
        <w:ind w:left="0" w:right="0" w:firstLine="720"/>
        <w:jc w:val="both"/>
        <w:rPr/>
      </w:pPr>
      <w:r>
        <w:rPr/>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Comparable currency neutral reported performance by segment was as follows:</w:t>
      </w:r>
    </w:p>
    <w:tbl>
      <w:tblPr>
        <w:tblW w:w="5739" w:type="dxa"/>
        <w:jc w:val="left"/>
        <w:tblInd w:w="0" w:type="dxa"/>
        <w:tblLayout w:type="fixed"/>
        <w:tblCellMar>
          <w:top w:w="28" w:type="dxa"/>
          <w:left w:w="28" w:type="dxa"/>
          <w:bottom w:w="28" w:type="dxa"/>
          <w:right w:w="28" w:type="dxa"/>
        </w:tblCellMar>
      </w:tblPr>
      <w:tblGrid>
        <w:gridCol w:w="1050"/>
        <w:gridCol w:w="923"/>
        <w:gridCol w:w="936"/>
        <w:gridCol w:w="266"/>
        <w:gridCol w:w="778"/>
        <w:gridCol w:w="137"/>
        <w:gridCol w:w="137"/>
        <w:gridCol w:w="137"/>
        <w:gridCol w:w="137"/>
        <w:gridCol w:w="266"/>
        <w:gridCol w:w="778"/>
        <w:gridCol w:w="194"/>
      </w:tblGrid>
      <w:tr>
        <w:trPr/>
        <w:tc>
          <w:tcPr>
            <w:tcW w:w="105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Ingredients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Scent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Business Divestitures</w:t>
            </w:r>
            <w:r>
              <w:rPr>
                <w:rFonts w:ascii="Times New Roman;serif" w:hAnsi="Times New Roman;serif"/>
                <w:b w:val="false"/>
                <w:color w:val="000000"/>
                <w:sz w:val="13"/>
              </w:rPr>
              <w:t>(1)</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Currency Fluctuations</w:t>
            </w:r>
            <w:r>
              <w:rPr>
                <w:rFonts w:ascii="Times New Roman;serif" w:hAnsi="Times New Roman;serif"/>
                <w:b w:val="false"/>
                <w:color w:val="000000"/>
                <w:sz w:val="13"/>
              </w:rPr>
              <w:t>(2)</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 </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(1)Impact of business divestitures in 2025 includes results of the Rene Laurent business (divested December 1, 2025), the Pharma Solutions disposal group and Nitrocellulose business (divested May 1, 2025 and May 9, 2025, respectively), and the SCL disposal group (divested March 2, 2026).</w:t>
      </w:r>
    </w:p>
    <w:p>
      <w:pPr>
        <w:pStyle w:val="TextBody"/>
        <w:bidi w:val="0"/>
        <w:spacing w:lineRule="auto" w:line="288" w:before="60" w:after="283"/>
        <w:ind w:left="0" w:right="0" w:hanging="450"/>
        <w:jc w:val="both"/>
        <w:rPr/>
      </w:pPr>
      <w:r>
        <w:rPr>
          <w:rFonts w:ascii="Times New Roman;serif" w:hAnsi="Times New Roman;serif"/>
          <w:b w:val="false"/>
          <w:color w:val="000000"/>
          <w:sz w:val="18"/>
        </w:rPr>
        <w:t>(2)Currency neutral sales are calculat</w:t>
      </w:r>
      <w:r>
        <w:rPr>
          <w:rFonts w:ascii="Times New Roman;serif" w:hAnsi="Times New Roman;serif"/>
          <w:b w:val="false"/>
          <w:color w:val="000000"/>
          <w:sz w:val="18"/>
          <w:shd w:fill="FFFFFF" w:val="clear"/>
        </w:rPr>
        <w:t>ed by translating current year invoiced sale amounts at the exchange rates for the corresponding prior year period.</w:t>
      </w:r>
    </w:p>
    <w:p>
      <w:pPr>
        <w:pStyle w:val="TextBody"/>
        <w:bidi w:val="0"/>
        <w:spacing w:before="60" w:after="283"/>
        <w:ind w:left="0" w:right="0" w:hanging="90"/>
        <w:jc w:val="both"/>
        <w:rPr/>
      </w:pPr>
      <w:r>
        <w:rPr/>
      </w:r>
    </w:p>
    <w:p>
      <w:pPr>
        <w:pStyle w:val="TextBody"/>
        <w:bidi w:val="0"/>
        <w:spacing w:lineRule="auto" w:line="288" w:before="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Taste </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Taste sales in 2026 increased </w:t>
      </w:r>
      <w:r>
        <w:rPr>
          <w:rFonts w:ascii="Times New Roman;serif" w:hAnsi="Times New Roman;serif"/>
          <w:b w:val="false"/>
          <w:color w:val="000000"/>
          <w:sz w:val="20"/>
          <w:shd w:fill="FFFFFF" w:val="clear"/>
        </w:rPr>
        <w:t>$29 million</w:t>
      </w:r>
      <w:r>
        <w:rPr>
          <w:rFonts w:ascii="Times New Roman;serif" w:hAnsi="Times New Roman;serif"/>
          <w:b w:val="false"/>
          <w:color w:val="000000"/>
          <w:sz w:val="20"/>
        </w:rPr>
        <w:t xml:space="preserve">, or </w:t>
      </w:r>
      <w:r>
        <w:rPr>
          <w:rFonts w:ascii="Times New Roman;serif" w:hAnsi="Times New Roman;serif"/>
          <w:b w:val="false"/>
          <w:color w:val="000000"/>
          <w:sz w:val="20"/>
          <w:shd w:fill="FFFFFF" w:val="clear"/>
        </w:rPr>
        <w:t>5%</w:t>
      </w:r>
      <w:r>
        <w:rPr>
          <w:color w:val="000000"/>
        </w:rPr>
        <w:t xml:space="preserve"> </w:t>
      </w:r>
      <w:r>
        <w:rPr>
          <w:rFonts w:ascii="Times New Roman;serif" w:hAnsi="Times New Roman;serif"/>
          <w:b w:val="false"/>
          <w:color w:val="000000"/>
          <w:sz w:val="20"/>
        </w:rPr>
        <w:t xml:space="preserve">on a reported basis, to $656 million compared to $627 million in the prior year period. On a comparable currency neutral basis, Taste sales increased </w:t>
      </w:r>
      <w:r>
        <w:rPr>
          <w:rFonts w:ascii="Times New Roman;serif" w:hAnsi="Times New Roman;serif"/>
          <w:b w:val="false"/>
          <w:color w:val="000000"/>
          <w:sz w:val="20"/>
          <w:shd w:fill="FFFFFF" w:val="clear"/>
        </w:rPr>
        <w:t>2%</w:t>
      </w:r>
      <w:r>
        <w:rPr>
          <w:color w:val="000000"/>
        </w:rPr>
        <w:t xml:space="preserve"> </w:t>
      </w:r>
      <w:r>
        <w:rPr>
          <w:rFonts w:ascii="Times New Roman;serif" w:hAnsi="Times New Roman;serif"/>
          <w:b w:val="false"/>
          <w:color w:val="000000"/>
          <w:sz w:val="20"/>
        </w:rPr>
        <w:t xml:space="preserve">in 2026 compared to the prior year period primarily driven by </w:t>
      </w:r>
      <w:r>
        <w:rPr>
          <w:rFonts w:ascii="Times New Roman;serif" w:hAnsi="Times New Roman;serif"/>
          <w:b w:val="false"/>
          <w:color w:val="000000"/>
          <w:sz w:val="20"/>
          <w:shd w:fill="FFFFFF" w:val="clear"/>
        </w:rPr>
        <w:t>volume increases and favorable net pricing in the Flavors business unit</w:t>
      </w:r>
      <w:r>
        <w:rPr>
          <w:rFonts w:ascii="Times New Roman;serif" w:hAnsi="Times New Roman;serif"/>
          <w:b w:val="false"/>
          <w:color w:val="000000"/>
          <w:sz w:val="20"/>
        </w:rPr>
        <w:t xml:space="preserve">. Exchange rate variations had a favorable impact of </w:t>
      </w:r>
      <w:r>
        <w:rPr>
          <w:rFonts w:ascii="Times New Roman;serif" w:hAnsi="Times New Roman;serif"/>
          <w:b w:val="false"/>
          <w:color w:val="000000"/>
          <w:sz w:val="20"/>
          <w:shd w:fill="FFFFFF" w:val="clear"/>
        </w:rPr>
        <w:t>4%</w:t>
      </w:r>
      <w:r>
        <w:rPr>
          <w:rFonts w:ascii="Times New Roman;serif" w:hAnsi="Times New Roman;serif"/>
          <w:b w:val="false"/>
          <w:color w:val="000000"/>
          <w:sz w:val="20"/>
        </w:rPr>
        <w:t xml:space="preserve">. Comparable portfolio results exclude the impact of the divestiture of the Rene Laurent business with an impact of approximately </w:t>
      </w:r>
      <w:r>
        <w:rPr>
          <w:rFonts w:ascii="Times New Roman;serif" w:hAnsi="Times New Roman;serif"/>
          <w:b w:val="false"/>
          <w:color w:val="000000"/>
          <w:sz w:val="20"/>
          <w:shd w:fill="FFFFFF" w:val="clear"/>
        </w:rPr>
        <w:t>$6 million</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Food Ingredients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Food Ingredients sales in 2026 increased</w:t>
      </w:r>
      <w:r>
        <w:rPr>
          <w:color w:val="000000"/>
          <w:shd w:fill="FFFFFF" w:val="clear"/>
        </w:rPr>
        <w:t xml:space="preserve"> </w:t>
      </w:r>
      <w:r>
        <w:rPr>
          <w:rFonts w:ascii="Times New Roman;serif" w:hAnsi="Times New Roman;serif"/>
          <w:b w:val="false"/>
          <w:color w:val="000000"/>
          <w:sz w:val="20"/>
          <w:shd w:fill="FFFFFF" w:val="clear"/>
        </w:rPr>
        <w:t>$43 million, or 5% on a reported basis, to $839 million co</w:t>
      </w:r>
      <w:r>
        <w:rPr>
          <w:rFonts w:ascii="Times New Roman;serif" w:hAnsi="Times New Roman;serif"/>
          <w:b w:val="false"/>
          <w:color w:val="000000"/>
          <w:sz w:val="20"/>
        </w:rPr>
        <w:t xml:space="preserve">mpared to $796 million in the prior year period. On a comparable currency neutral basis, Food Ingredients sales increased </w:t>
      </w:r>
      <w:r>
        <w:rPr>
          <w:rFonts w:ascii="Times New Roman;serif" w:hAnsi="Times New Roman;serif"/>
          <w:b w:val="false"/>
          <w:color w:val="000000"/>
          <w:sz w:val="20"/>
          <w:shd w:fill="FFFFFF" w:val="clear"/>
        </w:rPr>
        <w:t>3%</w:t>
      </w:r>
      <w:r>
        <w:rPr>
          <w:color w:val="000000"/>
        </w:rPr>
        <w:t xml:space="preserve"> </w:t>
      </w:r>
      <w:r>
        <w:rPr>
          <w:rFonts w:ascii="Times New Roman;serif" w:hAnsi="Times New Roman;serif"/>
          <w:b w:val="false"/>
          <w:color w:val="000000"/>
          <w:sz w:val="20"/>
        </w:rPr>
        <w:t xml:space="preserve">in 2026 compared to the prior year period primarily driven by volume increases across nearly all business entities. Exchange rate variations had a favorable impact of </w:t>
      </w:r>
      <w:r>
        <w:rPr>
          <w:rFonts w:ascii="Times New Roman;serif" w:hAnsi="Times New Roman;serif"/>
          <w:b w:val="false"/>
          <w:color w:val="000000"/>
          <w:sz w:val="20"/>
          <w:shd w:fill="FFFFFF" w:val="clear"/>
        </w:rPr>
        <w:t xml:space="preserve">4%. </w:t>
      </w:r>
      <w:r>
        <w:rPr>
          <w:rFonts w:ascii="Times New Roman;serif" w:hAnsi="Times New Roman;serif"/>
          <w:b w:val="false"/>
          <w:color w:val="000000"/>
          <w:sz w:val="20"/>
        </w:rPr>
        <w:t xml:space="preserve">Comparable portfolio results exclude the impact of the divestiture of the SCL disposal group with an impact of approximately </w:t>
      </w:r>
      <w:r>
        <w:rPr>
          <w:rFonts w:ascii="Times New Roman;serif" w:hAnsi="Times New Roman;serif"/>
          <w:b w:val="false"/>
          <w:color w:val="000000"/>
          <w:sz w:val="20"/>
          <w:shd w:fill="FFFFFF" w:val="clear"/>
        </w:rPr>
        <w:t>$17 million</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Health &amp; Biosciences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Health &amp; Biosciences sales in 2026 increase</w:t>
      </w:r>
      <w:r>
        <w:rPr>
          <w:rFonts w:ascii="Times New Roman;serif" w:hAnsi="Times New Roman;serif"/>
          <w:b w:val="false"/>
          <w:color w:val="000000"/>
          <w:sz w:val="20"/>
          <w:shd w:fill="FFFFFF" w:val="clear"/>
        </w:rPr>
        <w:t>d $55 million, or 10% on a reported basis, to $595 million</w:t>
      </w:r>
      <w:r>
        <w:rPr>
          <w:color w:val="000000"/>
        </w:rPr>
        <w:t xml:space="preserve"> </w:t>
      </w:r>
      <w:r>
        <w:rPr>
          <w:rFonts w:ascii="Times New Roman;serif" w:hAnsi="Times New Roman;serif"/>
          <w:b w:val="false"/>
          <w:color w:val="000000"/>
          <w:sz w:val="20"/>
        </w:rPr>
        <w:t xml:space="preserve">compared to $540 million in the prior year period. On a comparable currency neutral basis, Health &amp; Biosciences sales increased </w:t>
      </w:r>
      <w:r>
        <w:rPr>
          <w:rFonts w:ascii="Times New Roman;serif" w:hAnsi="Times New Roman;serif"/>
          <w:b w:val="false"/>
          <w:color w:val="000000"/>
          <w:sz w:val="20"/>
          <w:shd w:fill="FFFFFF" w:val="clear"/>
        </w:rPr>
        <w:t>5%</w:t>
      </w:r>
      <w:r>
        <w:rPr>
          <w:color w:val="000000"/>
        </w:rPr>
        <w:t xml:space="preserve"> </w:t>
      </w:r>
      <w:r>
        <w:rPr>
          <w:rFonts w:ascii="Times New Roman;serif" w:hAnsi="Times New Roman;serif"/>
          <w:b w:val="false"/>
          <w:color w:val="000000"/>
          <w:sz w:val="20"/>
        </w:rPr>
        <w:t xml:space="preserve">in 2026 compared to the prior year period driven by volume increases across various business units. Exchange rate variations had a favorable impact of </w:t>
      </w:r>
      <w:r>
        <w:rPr>
          <w:rFonts w:ascii="Times New Roman;serif" w:hAnsi="Times New Roman;serif"/>
          <w:b w:val="false"/>
          <w:color w:val="000000"/>
          <w:sz w:val="20"/>
          <w:shd w:fill="FFFFFF" w:val="clear"/>
        </w:rPr>
        <w:t>5%</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Scent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Scent sales in 2026 increase</w:t>
      </w:r>
      <w:r>
        <w:rPr>
          <w:rFonts w:ascii="Times New Roman;serif" w:hAnsi="Times New Roman;serif"/>
          <w:b w:val="false"/>
          <w:color w:val="000000"/>
          <w:sz w:val="20"/>
          <w:shd w:fill="FFFFFF" w:val="clear"/>
        </w:rPr>
        <w:t>d $37 million, or 6% on a reported basis, to $651 million compared to $614 million</w:t>
      </w:r>
      <w:r>
        <w:rPr>
          <w:color w:val="000000"/>
        </w:rPr>
        <w:t xml:space="preserve"> </w:t>
      </w:r>
      <w:r>
        <w:rPr>
          <w:rFonts w:ascii="Times New Roman;serif" w:hAnsi="Times New Roman;serif"/>
          <w:b w:val="false"/>
          <w:color w:val="000000"/>
          <w:sz w:val="20"/>
        </w:rPr>
        <w:t xml:space="preserve">in the prior year period. On a comparable currency neutral basis, Scent sales increased 1% in 2026 compared to the prior year period primarily driven by volume increases in Fragrance Compounds. Exchange rate variations had a favorable impact of </w:t>
      </w:r>
      <w:r>
        <w:rPr>
          <w:rFonts w:ascii="Times New Roman;serif" w:hAnsi="Times New Roman;serif"/>
          <w:b w:val="false"/>
          <w:color w:val="000000"/>
          <w:sz w:val="20"/>
          <w:shd w:fill="FFFFFF" w:val="clear"/>
        </w:rPr>
        <w:t>5%</w:t>
      </w:r>
      <w:r>
        <w:rPr>
          <w:rFonts w:ascii="Times New Roman;serif" w:hAnsi="Times New Roman;serif"/>
          <w:b w:val="false"/>
          <w:color w:val="000000"/>
          <w:sz w:val="20"/>
        </w:rPr>
        <w:t xml:space="preserv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Pharma Solutions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divestiture of the Pharma Solutions disposal group on May 1, 2025, and the Nitrocellulose business on May 9, 2025. Accordingly, there were no Pharma Solutions segment results reported for the first quarter of 2026.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Cost of sales decreas</w:t>
      </w:r>
      <w:r>
        <w:rPr>
          <w:rFonts w:ascii="Times New Roman;serif" w:hAnsi="Times New Roman;serif"/>
          <w:b w:val="false"/>
          <w:color w:val="000000"/>
          <w:sz w:val="20"/>
          <w:shd w:fill="FFFFFF" w:val="clear"/>
        </w:rPr>
        <w:t xml:space="preserve">ed $85 million to $1.723 billion (62.9% of sales) in the first quarter of 2026 compared to $1.808 billion (63.6% of sales) in the </w:t>
      </w:r>
      <w:r>
        <w:rPr>
          <w:rFonts w:ascii="Times New Roman;serif" w:hAnsi="Times New Roman;serif"/>
          <w:b w:val="false"/>
          <w:color w:val="000000"/>
          <w:sz w:val="20"/>
        </w:rPr>
        <w:t xml:space="preserve">first quarter of 2025. The decrease in cost of goods sold was primarily driven by divestitures, with an impact of approximately $202 million, </w:t>
      </w:r>
      <w:r>
        <w:rPr>
          <w:rFonts w:ascii="Times New Roman;serif" w:hAnsi="Times New Roman;serif"/>
          <w:b w:val="false"/>
          <w:color w:val="000000"/>
          <w:sz w:val="20"/>
          <w:shd w:fill="FFFFFF" w:val="clear"/>
        </w:rPr>
        <w:t>offset in part by volume increases in sales.</w:t>
      </w:r>
    </w:p>
    <w:p>
      <w:pPr>
        <w:pStyle w:val="TextBody"/>
        <w:bidi w:val="0"/>
        <w:spacing w:lineRule="auto" w:line="288" w:before="120" w:after="283"/>
        <w:jc w:val="both"/>
        <w:rPr/>
      </w:pPr>
      <w:r>
        <w:rPr>
          <w:rFonts w:ascii="Times New Roman;serif" w:hAnsi="Times New Roman;serif"/>
          <w:b/>
          <w:color w:val="000000"/>
          <w:sz w:val="20"/>
        </w:rPr>
        <w:t>Research and Developmen</w:t>
      </w:r>
      <w:r>
        <w:rPr>
          <w:rFonts w:ascii="Times New Roman;serif" w:hAnsi="Times New Roman;serif"/>
          <w:b/>
          <w:color w:val="000000"/>
          <w:sz w:val="20"/>
          <w:shd w:fill="FFFFFF" w:val="clear"/>
        </w:rPr>
        <w:t>t (R&amp;D) Expenses</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R&amp;D expenses increased $2 million to $166 million (6.1% of sales) in the first quarter of 2026 compared to $164 million (5.8% of sales) in the first quarter of 2025. The incre</w:t>
      </w:r>
      <w:r>
        <w:rPr>
          <w:rFonts w:ascii="Times New Roman;serif" w:hAnsi="Times New Roman;serif"/>
          <w:b w:val="false"/>
          <w:color w:val="000000"/>
          <w:sz w:val="20"/>
        </w:rPr>
        <w:t>ase in R&amp;D expenses was primarily driven by an increase in employee related costs and operating expenses for R&amp;D related activities, offset by divestitures, with an impact of approximately $5 million.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Selling and Administrative (S&amp;A) Expenses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S&amp;A expenses decr</w:t>
      </w:r>
      <w:r>
        <w:rPr>
          <w:rFonts w:ascii="Times New Roman;serif" w:hAnsi="Times New Roman;serif"/>
          <w:b w:val="false"/>
          <w:color w:val="000000"/>
          <w:sz w:val="20"/>
          <w:shd w:fill="FFFFFF" w:val="clear"/>
        </w:rPr>
        <w:t xml:space="preserve">eased $34 million to $427 million (15.6% of sales) in the first quarter of 2026 compared to $461 million (16.2% of sales) in the </w:t>
      </w:r>
      <w:r>
        <w:rPr>
          <w:rFonts w:ascii="Times New Roman;serif" w:hAnsi="Times New Roman;serif"/>
          <w:b w:val="false"/>
          <w:color w:val="000000"/>
          <w:sz w:val="20"/>
        </w:rPr>
        <w:t>first quarter of 2025. The decrease in S&amp;A expenses was primarily driven by lower consulting fees incurred in relation to business divestitures.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Restructuring and Other Charges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Restructuring and other charges decreased to </w:t>
      </w:r>
      <w:r>
        <w:rPr>
          <w:rFonts w:ascii="Times New Roman;serif" w:hAnsi="Times New Roman;serif"/>
          <w:b w:val="false"/>
          <w:color w:val="000000"/>
          <w:sz w:val="20"/>
          <w:shd w:fill="FFFFFF" w:val="clear"/>
        </w:rPr>
        <w:t>$6 million</w:t>
      </w:r>
      <w:r>
        <w:rPr>
          <w:color w:val="000000"/>
        </w:rPr>
        <w:t xml:space="preserve"> </w:t>
      </w:r>
      <w:r>
        <w:rPr>
          <w:rFonts w:ascii="Times New Roman;serif" w:hAnsi="Times New Roman;serif"/>
          <w:b w:val="false"/>
          <w:color w:val="000000"/>
          <w:sz w:val="20"/>
        </w:rPr>
        <w:t>in the first quarter of 2026 compared to $17 million in the first quarter of 2025. The decrease in 2026 was driven by a decrease in severance expense. Higher severance costs were incurred in the first quarter of 2025 at the beginning of the Productivity program. See Note 4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Amortization of Acquisition-Related Intangibles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Amortization expenses increased to </w:t>
      </w:r>
      <w:r>
        <w:rPr>
          <w:rFonts w:ascii="Times New Roman;serif" w:hAnsi="Times New Roman;serif"/>
          <w:b w:val="false"/>
          <w:color w:val="000000"/>
          <w:sz w:val="20"/>
          <w:shd w:fill="FFFFFF" w:val="clear"/>
        </w:rPr>
        <w:t>$146 million</w:t>
      </w:r>
      <w:r>
        <w:rPr>
          <w:color w:val="000000"/>
        </w:rPr>
        <w:t xml:space="preserve"> </w:t>
      </w:r>
      <w:r>
        <w:rPr>
          <w:rFonts w:ascii="Times New Roman;serif" w:hAnsi="Times New Roman;serif"/>
          <w:b w:val="false"/>
          <w:color w:val="000000"/>
          <w:sz w:val="20"/>
        </w:rPr>
        <w:t>in the first quarter of 2026 compared to $143 million in the first quarter of 2025. The increase in amortization expense was primarily driven by the impact of foreign currency exchange rates. See Note 11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Impairment of Goodwill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impairment of goodwill in the first quarter of 2026 compared to $1.153 billion in the first quarter of 2025, which was related to the Food Ingredients reporting unit. See Note 11 for additional information.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Interest expense decreased to </w:t>
      </w:r>
      <w:r>
        <w:rPr>
          <w:rFonts w:ascii="Times New Roman;serif" w:hAnsi="Times New Roman;serif"/>
          <w:b w:val="false"/>
          <w:color w:val="000000"/>
          <w:sz w:val="20"/>
          <w:shd w:fill="FFFFFF" w:val="clear"/>
        </w:rPr>
        <w:t>$44 million</w:t>
      </w:r>
      <w:r>
        <w:rPr>
          <w:color w:val="000000"/>
        </w:rPr>
        <w:t xml:space="preserve"> </w:t>
      </w:r>
      <w:r>
        <w:rPr>
          <w:rFonts w:ascii="Times New Roman;serif" w:hAnsi="Times New Roman;serif"/>
          <w:b w:val="false"/>
          <w:color w:val="000000"/>
          <w:sz w:val="20"/>
        </w:rPr>
        <w:t>in the first quarter of 2026 compared to $71 million in the first quarter of 2025. The decrease in interest expense was due to lower debt outstanding. See Note 13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Losses on Business Disposals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Losses on business disposals were $7 million in the first quarter of 2026. The loss in 2026 was due to the SCL disposal group business divestiture. See Note 3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Other Expense, Net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Other expense, net, was </w:t>
      </w:r>
      <w:r>
        <w:rPr>
          <w:rFonts w:ascii="Times New Roman;serif" w:hAnsi="Times New Roman;serif"/>
          <w:b w:val="false"/>
          <w:color w:val="000000"/>
          <w:sz w:val="20"/>
          <w:shd w:fill="FFFFFF" w:val="clear"/>
        </w:rPr>
        <w:t>$13 million</w:t>
      </w:r>
      <w:r>
        <w:rPr>
          <w:color w:val="000000"/>
        </w:rPr>
        <w:t xml:space="preserve"> </w:t>
      </w:r>
      <w:r>
        <w:rPr>
          <w:rFonts w:ascii="Times New Roman;serif" w:hAnsi="Times New Roman;serif"/>
          <w:b w:val="false"/>
          <w:color w:val="000000"/>
          <w:sz w:val="20"/>
        </w:rPr>
        <w:t xml:space="preserve">in the first quarter of 2026 compared to $20 million in the first quarter of 2025. The decrease of </w:t>
      </w:r>
      <w:r>
        <w:rPr>
          <w:rFonts w:ascii="Times New Roman;serif" w:hAnsi="Times New Roman;serif"/>
          <w:b w:val="false"/>
          <w:color w:val="000000"/>
          <w:sz w:val="20"/>
          <w:shd w:fill="FFFFFF" w:val="clear"/>
        </w:rPr>
        <w:t>$7 million</w:t>
      </w:r>
      <w:r>
        <w:rPr>
          <w:color w:val="000000"/>
        </w:rPr>
        <w:t xml:space="preserve"> </w:t>
      </w:r>
      <w:r>
        <w:rPr>
          <w:rFonts w:ascii="Times New Roman;serif" w:hAnsi="Times New Roman;serif"/>
          <w:b w:val="false"/>
          <w:color w:val="000000"/>
          <w:sz w:val="20"/>
        </w:rPr>
        <w:t>was primarily due to lower foreign exchange losses. See Note 8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The effective tax rate for the three months ended March 31, 2026 was </w:t>
      </w:r>
      <w:r>
        <w:rPr>
          <w:rFonts w:ascii="Times New Roman;serif" w:hAnsi="Times New Roman;serif"/>
          <w:b w:val="false"/>
          <w:color w:val="000000"/>
          <w:sz w:val="20"/>
          <w:shd w:fill="FFFFFF" w:val="clear"/>
        </w:rPr>
        <w:t>18.7%</w:t>
      </w:r>
      <w:r>
        <w:rPr>
          <w:color w:val="000000"/>
        </w:rPr>
        <w:t xml:space="preserve"> </w:t>
      </w:r>
      <w:r>
        <w:rPr>
          <w:rFonts w:ascii="Times New Roman;serif" w:hAnsi="Times New Roman;serif"/>
          <w:b w:val="false"/>
          <w:color w:val="000000"/>
          <w:sz w:val="20"/>
        </w:rPr>
        <w:t>compared to (2.3)% for the three months ended March 31, 2025. The quarter-over-quarter increase was primarily due to a goodwill impairment charge in the prior year, the entity realignment project, business divestitures and the mix of earnings.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Segment Adjusted Operating EBITDA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Segment Adjusted Operating EBITDA for internal reporting and performance measurement purposes. Segment Adjusted Operating EBITDA is defined as (Loss) Income Before Taxes before depreciation and amortization expense, interest expense, restructuring and other charges and certain items that are not related to recurring operations. Our determination of reportable segments was made on the basis of our strategic priorities within each segment and corresponds to the manner in which our Chief Operating Decision Maker reviews and evaluates operating performance to make decisions about resources to be allocated to the segment. In addition to our strategic priorities, segment reporting is also based on differences in the products and services we provide.</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Operating EBITDA performance by segment was as follows:</w:t>
      </w:r>
    </w:p>
    <w:tbl>
      <w:tblPr>
        <w:tblW w:w="10205" w:type="dxa"/>
        <w:jc w:val="left"/>
        <w:tblInd w:w="0" w:type="dxa"/>
        <w:tblLayout w:type="fixed"/>
        <w:tblCellMar>
          <w:top w:w="28" w:type="dxa"/>
          <w:left w:w="28" w:type="dxa"/>
          <w:bottom w:w="28" w:type="dxa"/>
          <w:right w:w="28" w:type="dxa"/>
        </w:tblCellMar>
      </w:tblPr>
      <w:tblGrid>
        <w:gridCol w:w="660"/>
        <w:gridCol w:w="554"/>
        <w:gridCol w:w="547"/>
        <w:gridCol w:w="807"/>
        <w:gridCol w:w="734"/>
        <w:gridCol w:w="2038"/>
        <w:gridCol w:w="734"/>
        <w:gridCol w:w="756"/>
        <w:gridCol w:w="109"/>
        <w:gridCol w:w="109"/>
        <w:gridCol w:w="109"/>
        <w:gridCol w:w="109"/>
        <w:gridCol w:w="109"/>
        <w:gridCol w:w="545"/>
        <w:gridCol w:w="545"/>
        <w:gridCol w:w="1740"/>
      </w:tblGrid>
      <w:tr>
        <w:trPr/>
        <w:tc>
          <w:tcPr>
            <w:tcW w:w="66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 in Adjusted Operating EBITDA - First Quarter 2026 vs. First Quarter 2025</w:t>
            </w:r>
          </w:p>
        </w:tc>
        <w:tc>
          <w:tcPr>
            <w:tcW w:w="3375" w:type="dxa"/>
            <w:gridSpan w:val="8"/>
            <w:tcBorders/>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Reported</w:t>
            </w:r>
            <w:r>
              <w:rPr>
                <w:rFonts w:ascii="Times New Roman;serif" w:hAnsi="Times New Roman;serif"/>
                <w:b/>
                <w:color w:val="000000"/>
                <w:sz w:val="10"/>
              </w:rPr>
              <w:t>(1)</w:t>
            </w:r>
          </w:p>
        </w:tc>
        <w:tc>
          <w:tcPr>
            <w:tcW w:w="73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Comparable Currency Neutral Adjusted</w:t>
            </w:r>
            <w:r>
              <w:rPr>
                <w:rFonts w:ascii="Times New Roman;serif" w:hAnsi="Times New Roman;serif"/>
                <w:b/>
                <w:color w:val="000000"/>
                <w:sz w:val="10"/>
              </w:rPr>
              <w:t>(1)(2)(3)</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Taste</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2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3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Food Ingredients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2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3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&amp; Biosciences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2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3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Scent</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2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3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Pharma Solutions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2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3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w:t>
            </w:r>
            <w:r>
              <w:rPr>
                <w:color w:val="000000"/>
              </w:rPr>
              <w:t> </w:t>
            </w:r>
          </w:p>
        </w:tc>
        <w:tc>
          <w:tcPr>
            <w:tcW w:w="2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73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8</w:t>
            </w:r>
            <w:r>
              <w:rPr>
                <w:color w:val="000000"/>
              </w:rPr>
              <w:t> </w:t>
            </w:r>
          </w:p>
        </w:tc>
        <w:tc>
          <w:tcPr>
            <w:tcW w:w="1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bl>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Comparable Currency Neutral Adjusted Operating EBITDA by segment was as follows:</w:t>
      </w:r>
    </w:p>
    <w:tbl>
      <w:tblPr>
        <w:tblW w:w="6895" w:type="dxa"/>
        <w:jc w:val="left"/>
        <w:tblInd w:w="0" w:type="dxa"/>
        <w:tblLayout w:type="fixed"/>
        <w:tblCellMar>
          <w:top w:w="28" w:type="dxa"/>
          <w:left w:w="28" w:type="dxa"/>
          <w:bottom w:w="28" w:type="dxa"/>
          <w:right w:w="28" w:type="dxa"/>
        </w:tblCellMar>
      </w:tblPr>
      <w:tblGrid>
        <w:gridCol w:w="1470"/>
        <w:gridCol w:w="1295"/>
        <w:gridCol w:w="1299"/>
        <w:gridCol w:w="255"/>
        <w:gridCol w:w="564"/>
        <w:gridCol w:w="328"/>
        <w:gridCol w:w="131"/>
        <w:gridCol w:w="131"/>
        <w:gridCol w:w="131"/>
        <w:gridCol w:w="255"/>
        <w:gridCol w:w="654"/>
        <w:gridCol w:w="382"/>
      </w:tblGrid>
      <w:tr>
        <w:trPr/>
        <w:tc>
          <w:tcPr>
            <w:tcW w:w="147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Operating EBITDA:</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Taste </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Ingredients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Scent</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Business Divestitures</w:t>
            </w:r>
            <w:r>
              <w:rPr>
                <w:rFonts w:ascii="Times New Roman;serif" w:hAnsi="Times New Roman;serif"/>
                <w:b w:val="false"/>
                <w:color w:val="000000"/>
                <w:sz w:val="13"/>
              </w:rPr>
              <w:t>(2)</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Currency Fluctuations</w:t>
            </w:r>
            <w:r>
              <w:rPr>
                <w:rFonts w:ascii="Times New Roman;serif" w:hAnsi="Times New Roman;serif"/>
                <w:b w:val="false"/>
                <w:color w:val="000000"/>
                <w:sz w:val="13"/>
              </w:rPr>
              <w:t>(3)</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Business Disposals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Divestiture Costs </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Strategic Initiatives Costs </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Regulatory Costs </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Operating EBITDA margin:</w:t>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Food Ingredients </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Scent</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(1)Refer to Note 6 for a reconciliation of Adjusted Operating EBITDA to Income (Loss) Before Taxes.</w:t>
      </w:r>
    </w:p>
    <w:p>
      <w:pPr>
        <w:pStyle w:val="TextBody"/>
        <w:bidi w:val="0"/>
        <w:spacing w:lineRule="auto" w:line="288" w:before="6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(2)Comparable portfolio results for 2025 exclude the impact of divestitures.</w:t>
      </w:r>
    </w:p>
    <w:p>
      <w:pPr>
        <w:pStyle w:val="TextBody"/>
        <w:bidi w:val="0"/>
        <w:spacing w:lineRule="auto" w:line="288" w:before="6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(3)Currency neutral amounts are calculated by translating current year transaction amounts at the exchange rates for the corresponding prior year period.</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Following the completed divestitures of the Pharma Solutions group on May 1, 2025 and the Nitrocellulose business on May 9, 2025, we retrospectively reallocated certain corporate costs previously attributed to the Pharma Solutions segment. These costs have been redistributed across the Taste, Food Ingredients, Health &amp; Biosciences, and Scent segments for comparability purposes.</w:t>
      </w:r>
    </w:p>
    <w:tbl>
      <w:tblPr>
        <w:tblW w:w="7805" w:type="dxa"/>
        <w:jc w:val="left"/>
        <w:tblInd w:w="0" w:type="dxa"/>
        <w:tblLayout w:type="fixed"/>
        <w:tblCellMar>
          <w:top w:w="28" w:type="dxa"/>
          <w:left w:w="28" w:type="dxa"/>
          <w:bottom w:w="28" w:type="dxa"/>
          <w:right w:w="28" w:type="dxa"/>
        </w:tblCellMar>
      </w:tblPr>
      <w:tblGrid>
        <w:gridCol w:w="677"/>
        <w:gridCol w:w="595"/>
        <w:gridCol w:w="603"/>
        <w:gridCol w:w="109"/>
        <w:gridCol w:w="109"/>
        <w:gridCol w:w="109"/>
        <w:gridCol w:w="914"/>
        <w:gridCol w:w="1565"/>
        <w:gridCol w:w="475"/>
        <w:gridCol w:w="238"/>
        <w:gridCol w:w="238"/>
        <w:gridCol w:w="238"/>
        <w:gridCol w:w="510"/>
        <w:gridCol w:w="1053"/>
        <w:gridCol w:w="372"/>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 2025</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4"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&amp; Administrative Expenses</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EBITDA Impact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Ingredients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Taste Segment Adjusted Operating EBITDA </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Taste Segment Adjusted Operating EBITDA increased $22 million, or 17% on a reported basis, to $153 million in the first quarter of 2026 (23.3% of segment sales) from $131 million (20.9% of segment sales) in the comparable 2025 period.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comparable currency neutral basis, Taste Segment Adjusted Operating EBITDA increased 18% in 2026 compared to the prior year period led primarily by volume increases and productivity gains. Comparable portfolio results exclude the impact of the divestiture of the Rene Laurent business with an impact of approximately $3 million.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Food Ingredients Segment Adjusted Operating EBITDA</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Food Ingredients Segment Adjusted Operating EBITDA increased $3 million, or 3% on a reported basis, to $114 million in the first quarter of 2026 (13.6% of segment sales) from $111 million (13.9% of segment sales) in the comparable 2025 period. On a comparable currency neutral basis, Food Ingredients Adjusted Operating EBITDA increased 12% in 2026 comp</w:t>
      </w:r>
      <w:r>
        <w:rPr>
          <w:rFonts w:ascii="Times New Roman;serif" w:hAnsi="Times New Roman;serif"/>
          <w:b w:val="false"/>
          <w:color w:val="000000"/>
          <w:sz w:val="20"/>
        </w:rPr>
        <w:t>ared to the prior year primarily driven by volume growth and productivity gains.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Health &amp; Biosciences Segment Adjusted Operating EBITDA</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Health &amp; Biosciences Segment Adjusted Operating EBITDA increased $15 million</w:t>
      </w:r>
      <w:r>
        <w:rPr>
          <w:rFonts w:ascii="Times New Roman;serif" w:hAnsi="Times New Roman;serif"/>
          <w:b w:val="false"/>
          <w:color w:val="000000"/>
          <w:sz w:val="20"/>
        </w:rPr>
        <w:t xml:space="preserve">, or 11% on a reported basis, to </w:t>
      </w:r>
      <w:r>
        <w:rPr>
          <w:rFonts w:ascii="Times New Roman;serif" w:hAnsi="Times New Roman;serif"/>
          <w:b w:val="false"/>
          <w:color w:val="000000"/>
          <w:sz w:val="20"/>
          <w:shd w:fill="FFFFFF" w:val="clear"/>
        </w:rPr>
        <w:t>$153 million in the first quarter of 2026 (25.7% of segment sales) from $138 million (</w:t>
      </w:r>
      <w:r>
        <w:rPr>
          <w:rFonts w:ascii="Times New Roman;serif" w:hAnsi="Times New Roman;serif"/>
          <w:b w:val="false"/>
          <w:color w:val="000000"/>
          <w:sz w:val="20"/>
        </w:rPr>
        <w:t>25.6%</w:t>
      </w:r>
      <w:r>
        <w:rPr>
          <w:color w:val="000000"/>
          <w:shd w:fill="FFFFFF" w:val="clear"/>
        </w:rPr>
        <w:t xml:space="preserve"> </w:t>
      </w:r>
      <w:r>
        <w:rPr>
          <w:rFonts w:ascii="Times New Roman;serif" w:hAnsi="Times New Roman;serif"/>
          <w:b w:val="false"/>
          <w:color w:val="000000"/>
          <w:sz w:val="20"/>
          <w:shd w:fill="FFFFFF" w:val="clear"/>
        </w:rPr>
        <w:t>of segment sales) in the comparable 2025 period. On a comparable currency neutral basis, Health &amp; Biosciences Adjusted Operating EBITDA increased 7% in 2026. The</w:t>
      </w:r>
      <w:r>
        <w:rPr>
          <w:color w:val="000000"/>
        </w:rPr>
        <w:t xml:space="preserve"> </w:t>
      </w:r>
      <w:r>
        <w:rPr>
          <w:rFonts w:ascii="Times New Roman;serif" w:hAnsi="Times New Roman;serif"/>
          <w:b w:val="false"/>
          <w:color w:val="000000"/>
          <w:sz w:val="20"/>
        </w:rPr>
        <w:t xml:space="preserve">performance was primarily driven by volume growth and productivity gains.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Scent Segment Adjusted Operating EBITDA</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Scent Segment Adjusted Operating EBITDA increased $4 million, or 3% on a reported basis, to $148 million in the first quarter of 2026 (22.7% of segment sales) from $144 million (23.5% of segment sales) in the comparable 2025 period. On a comparable currency neutral basis, Scent Segment Adjusted Operating EBITDA decreased 2% in 2026 compared to the prior year period as unfavorable net pricing</w:t>
      </w:r>
      <w:r>
        <w:rPr>
          <w:color w:val="000000"/>
        </w:rPr>
        <w:t xml:space="preserve"> </w:t>
      </w:r>
      <w:r>
        <w:rPr>
          <w:rFonts w:ascii="Times New Roman;serif" w:hAnsi="Times New Roman;serif"/>
          <w:b w:val="false"/>
          <w:color w:val="000000"/>
          <w:sz w:val="20"/>
        </w:rPr>
        <w:t xml:space="preserve">more than offset volume increases in the Fragrance Compounds business unit and productivity gains.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Pharma Solutions Segment Adjusted Operating EBITDA</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completed the divestiture of its Pharma Solutions business on May 1, 2025, and its Nitrocellulose business on May 9, 2025. Accordingly, there are no Pharma Solutions segment results reported for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We had ca</w:t>
      </w:r>
      <w:r>
        <w:rPr>
          <w:rFonts w:ascii="Times New Roman;serif" w:hAnsi="Times New Roman;serif"/>
          <w:b w:val="false"/>
          <w:color w:val="000000"/>
          <w:sz w:val="20"/>
          <w:shd w:fill="FFFFFF" w:val="clear"/>
        </w:rPr>
        <w:t xml:space="preserve">sh and cash equivalents of $562 million on the Consolidated Balance Sheets at March 31, 2026 compared to $590 million on the Consolidated Balance Sheets at December 31, 2025 and, of this balance, a majority was held outside the United States. </w:t>
      </w:r>
      <w:r>
        <w:rPr>
          <w:rFonts w:ascii="Times New Roman;serif" w:hAnsi="Times New Roman;serif"/>
          <w:b w:val="false"/>
          <w:color w:val="000000"/>
          <w:sz w:val="20"/>
        </w:rPr>
        <w:t>Cash balances held in foreign jurisdictions are, in most circumstances, available to be repatriated to the United States.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utilization of the cash generated by our international operations is a critical component of our strategy. We regularly repatriate cash from our non-U.S. subsidiaries to fund financial obligations in the U.S. As we repatriate these funds to the U.S., there will be required income taxes payable in certain U.S. states and applicable foreign withholding taxes during the period when such repatriation occurs. Accordingly, as of March 31, 2026, we had a deferred tax liability of approximately $176 million for the effect of repatriating the funds to the U.S., attributable to various non-U.S. subsidiaries. There is no deferred tax liability associated with non-U.S. subsidiaries where we intend to indefinitely reinvest the earnings to fund local operations and/or capital projects.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Provided By Operating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for the three months ended March 31, 2026 was $257 million, or 9.4% of sales, compared to $127 million, or 4.5% of sales, for the three months ended March 31, 2025. The increase in cash flows from operating activities during 2026 was primarily driven by a smaller incentive compensation payout made in 2026 related to 2025 results compared to the prior year, and an increase in inventories in the prior year.</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Provided By (Used in) Investing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flows provided by investing activities for the three months ended March 31, 2026 was $23 million compared to cash flows used in investing activities of $157 million in the prior year period. The increase in cash flows provided by investing activities was primarily driven by net proceeds received from business divestitures of $198 million during the three months ended March 31, 2026, including $105 million received from the divestiture of the SCL disposal group and $93 million received primarily from an earnout based on 2024 results in connection with the divestiture of the Pharma Solutions disposal group.</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evaluated and re-prioritized our capital projects and expect that capital spending in 2026 will be approximately 6% of sales (net of potential grants and other reimbursements from government authorities), up from 5.5%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Used In (Provided By) Financing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flows used in financing activities for the three months ended March 31, 2026 was $301 million compared to cash flows provided by financing activities of $169 million in the prior year period. The increase in cash flows used in financing activities was primarily driven by an increase in net repayments of commercial paper during the three months ended March 31, 2026, compared to net borrowings of commercial paper during the three months ended March 31, 2025. In addition, during 2026, we repurchased $35 million of common stock, as part of the share repurchase program that began on October 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paid dividends totaling $102 million in each of the three months ended March 31, 2025 and 2026. We declared a cash dividend per share of $0.40 in the first quarter of 2026 that was paid on April 10, 2026 to all shareholders of record as of March 20,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capital allocation strategy seeks to maintain investment grade ratings while investing in the business, continuing to pay dividends, repurchasing outstanding shares and repaying debt. We make capital investments in our businesses to support our operational needs and strategic long-term plans. We are committed to maintaining our history of paying a dividend to investors which is determined by our Board of Directors at its discretion based on various factors.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Capital Resources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cash flow provides the primary source of funds for capital investment needs, dividends paid to shareholders and debt service repayments. We anticipate that cash flows from operations, cash proceeds generated from planned business divestitures and availability under our existing credit facilities will be sufficient to meet our investing and financing needs, including our debt service requirements, for the foreseeable future. We regularly assess our capital structure, including both current and long-term debt instruments, as compared to our cash generation and investment needs in order to provide ample flexibility and to optimize our leverage ratios. See Note 13 for additional information.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Revolving Credit Agreement contains various covenants, limitations and events of default customary for similar facilities for similarly rated borrowers, including the requirement for us to maintain, at the end of each fiscal quarter, a ratio of net debt to credit adjusted EBITDA in respect of the previous 12-month period. Borrowings under the Revolving Credit Facility are subject to interest at varying spreads above quoted market rates and a commitment fee is paid on the total unused borrowings.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25, 2025, the Company, with its lenders, entered into the Fourth Amended and Restated Credit Agreement (“Revolving Credit Agreement”), which amended and restated the most recent Amendment No. 4 to the Third Amended and Restated Credit Agreement dated September 19, 2023. This amendment and restatement, among other things, extended the termination date to June 25, 2030, as well as removed the financial covenant relief period and associated restrictions.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Revolving Credit Agreement states that from the effective date through September 30, 2025, our net debt to credit adjusted EBITDA ratio shall not exceed 4.00x, and shall not exceed 3.75x thereafter, with a temporary step-up to 4.25x permitted for three fiscal quarters following an acquisition exceeding $500 million in paid consideration.</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As of March 31, 2026, we had no outstanding borrowings under our $2 billion Revolving Credit Facility. The amount that we are able to draw down under the Revolving Credit Facility is limited by financial covenants as described in more detail below. As of March 31, 2026, our available capacity was </w:t>
      </w:r>
      <w:r>
        <w:rPr>
          <w:rFonts w:ascii="Times New Roman;serif" w:hAnsi="Times New Roman;serif"/>
          <w:b w:val="false"/>
          <w:color w:val="000000"/>
          <w:sz w:val="20"/>
          <w:shd w:fill="FFFFFF" w:val="clear"/>
        </w:rPr>
        <w:t>$2 billion</w:t>
      </w:r>
      <w:r>
        <w:rPr>
          <w:color w:val="000000"/>
        </w:rPr>
        <w:t xml:space="preserve"> </w:t>
      </w:r>
      <w:r>
        <w:rPr>
          <w:rFonts w:ascii="Times New Roman;serif" w:hAnsi="Times New Roman;serif"/>
          <w:b w:val="false"/>
          <w:color w:val="000000"/>
          <w:sz w:val="20"/>
        </w:rPr>
        <w:t>under the Revolving Credit Facility.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13 of this Form 10-Q and Part IV, Item 15, “Exhibits and Financial Statement Schedules,” Note 14 of our 2025 Form 10-K for additional information.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Debt Covenants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At March 31, 2026, we were in compliance with all financial and other covenants, including the net debt to credit 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ratio. At March 31, 2026, our net debt to credit adjusted EBITDA</w:t>
      </w: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ratio was 2.53 to 1.0 as defined by the credit facility agreements, which is below the relevant level provided by our financial covenants of existing outstanding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 </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(1)Credit 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credit adjusted EBITDA and net debt used by other companies. Reconciliations of credit adjusted EBITDA to net loss and net debt to total debt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tbl>
      <w:tblPr>
        <w:tblW w:w="5999" w:type="dxa"/>
        <w:jc w:val="left"/>
        <w:tblInd w:w="0" w:type="dxa"/>
        <w:tblLayout w:type="fixed"/>
        <w:tblCellMar>
          <w:top w:w="28" w:type="dxa"/>
          <w:left w:w="28" w:type="dxa"/>
          <w:bottom w:w="28" w:type="dxa"/>
          <w:right w:w="28" w:type="dxa"/>
        </w:tblCellMar>
      </w:tblPr>
      <w:tblGrid>
        <w:gridCol w:w="939"/>
        <w:gridCol w:w="827"/>
        <w:gridCol w:w="829"/>
        <w:gridCol w:w="732"/>
        <w:gridCol w:w="2138"/>
        <w:gridCol w:w="53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Twelve Months Ended March 31, 2026</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Specified items</w:t>
            </w:r>
            <w:r>
              <w:rPr>
                <w:rFonts w:ascii="Times New Roman;serif" w:hAnsi="Times New Roman;serif"/>
                <w:b w:val="false"/>
                <w:color w:val="000000"/>
                <w:sz w:val="13"/>
              </w:rPr>
              <w:t>(1)</w:t>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items</w:t>
            </w:r>
            <w:r>
              <w:rPr>
                <w:rFonts w:ascii="Times New Roman;serif" w:hAnsi="Times New Roman;serif"/>
                <w:b w:val="false"/>
                <w:color w:val="000000"/>
                <w:sz w:val="13"/>
              </w:rPr>
              <w:t>(2)</w:t>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Credit Adjusted EBITDA</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 </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(1)Specified items consisted of restructuring and other charges, divestiture costs, strategic initiatives costs, regulatory costs, gain on debt extinguishment, and other costs that are not related to recurring operations.</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(2)Non-cash items consisted of losses on business disposals, loss on assets classified as held for sale, and stock-based compensation.</w:t>
      </w:r>
    </w:p>
    <w:tbl>
      <w:tblPr>
        <w:tblW w:w="3749" w:type="dxa"/>
        <w:jc w:val="left"/>
        <w:tblInd w:w="0" w:type="dxa"/>
        <w:tblLayout w:type="fixed"/>
        <w:tblCellMar>
          <w:top w:w="28" w:type="dxa"/>
          <w:left w:w="28" w:type="dxa"/>
          <w:bottom w:w="28" w:type="dxa"/>
          <w:right w:w="28" w:type="dxa"/>
        </w:tblCellMar>
      </w:tblPr>
      <w:tblGrid>
        <w:gridCol w:w="819"/>
        <w:gridCol w:w="721"/>
        <w:gridCol w:w="724"/>
        <w:gridCol w:w="319"/>
        <w:gridCol w:w="933"/>
        <w:gridCol w:w="233"/>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debt</w:t>
            </w:r>
            <w:r>
              <w:rPr>
                <w:rFonts w:ascii="Times New Roman;serif" w:hAnsi="Times New Roman;serif"/>
                <w:b w:val="false"/>
                <w:color w:val="000000"/>
                <w:sz w:val="13"/>
              </w:rPr>
              <w:t>(1)</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debt</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(1)Total debt used for the calculation of net debt consisted of short-term debt, long-term debt, short-term finance lease obligations and long-term finance lease obligations.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$5.621 billion aggregate principal amount outstanding in senior unsecured notes, with $924 million principal amount denominated in EUR and $4.697 billion principal amount denominated in USD. The notes bear effective interest rates ranging from 1.56% per year to 5.12% per year, with maturities from September 25, 2026 to December 1, 2050. See Note 13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contribute a total of $5 million to our U.S. pension plans and a total of $17 million to our non-U.S. pension plans during 2026. During the three months ended March 31, 2026, $4 million of contributions were made to the non-U.S. pension plans and $1 million of contributions were made with respect to the non-qualified U.S. pension plan. We also expect to make $4 million of payments to our postretirement benefits other than pension plans during 2026. During the three months ended March 31, 2026, $2 million of benefit payments were made to postretirement benefits other than pension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discussed in Note 17 to the Consolidated Financial Statements, at March 31, 2026,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these arrangements are not reasonably likely to have a material impact on our consolidated financial condition, results of operations or cash flows.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New Accounting Standards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 to the Consolidated Financial Statements for a discussion of recent accounting pronouncements.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non-GAAP financial measures in this Form 10-Q, including: (i) comparable currency neutral metrics, (ii) adjusted operating EBITDA, comparable currency neutral adjusted operating EBITDA, (iii) adjusted operating EBITDA margin, and (iv) net debt to credit adjusted EBITDA. We also provide the non-GAAP measure net debt solely for the purpose of providing information on the extent to which the Company is in compliance with debt covenants contained in its debt agreements. Our non-GAAP financial measures are defined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are intended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These non-GAAP measures should not be considered in isolation or as substitutes for analysis of the Company’s results under GAAP and may not be comparable to other companies’ calculation of such metrics.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Currency Neutral metrics eliminate the effects that result from translating non-U.S. currencies to U.S. dollars. We calculate currency neutral numbers by translating current year invoiced sale amounts at the exchange rates used for the corresponding prior year period. We use currency neutral results in our analysis of segment performance. We also use currency neutral numbers when analyzing our performance against our competitors.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Comparable results for the first quarter exclude the impact of divestitures.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EBITDA and adjusted operating EBITDA margin exclude depreciation and amortization, interest expense, other expense, net, and certain non-recurring or unusual items that are not part of recurring operations such as impairment of goodwill, restructuring and other charges, divestiture related costs, strategic initiatives costs, regulatory costs and other costs that are not related to recurring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debt to credit adjusted EBITDA is the leverage ratio used in our credit agreements and defined as net debt (which is debt for borrowed money less cash and cash equivalents) divided by the trailing 12-month credit adjusted EBITDA. Credit adjusted EBITDA is defined as income (loss) before interest expense, income taxes, depreciation and amortization, specified items and non-cash items.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Statement Under the Private Securities Litigation Reform Act of 1995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Form 10-Q includes statements that are not historical facts and are “forward-looking statements” within the meaning of The Private Securities Litigation Reform Act of 1995. Such forward-looking statements are based on management’s current assumptions, estimates and expectations, including with respect to our financial and operational outlook (sales, adjusted operating EBITDA and cash flow), portfolio optimization initiatives (including the ongoing sale process for our Food Ingredients division), pricing, productivity and cost-discipline actions, capital allocation, future operations, growth potential, strategic investments and the expected effects of foreign exchange. These statements reflect management’s present views, are based on a series of expectations, assumptions estimates and projections about the Company, are subject to change, and involve uncertainties that could cause actual results to differ materially. Certain of such forward-looking information may be identified by such terms as “expect”, “anticipate”, “believe”, “intend”, “outlook”, “may”, “will”, “would”, “estimate”, “should”, “predict”, “plan”, “project”, “could”, “potential”, “seek”, “target”, “continue”, “future”, and similar terms or variations thereof. These statements are not guarantees of future performance and are subject to risks and uncertainties that could lead to materially different outcomes. Such risks, uncertainties and other factors include, among others, the following:</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demand trends, competitive dynamics and customer concentration in our end markets;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execution of our strategic transformation and other strategic transactions, divestitures, acquisitions, collaborations and joint ventures;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working capital and inventory management;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outcomes of legal claims, disputes, regulatory investigations and litigation;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tariffs and trade actions, supply chain disruptions and macro events, including geopolitical developments, climate events, natural disasters, public health crises; volatility in input costs (such as raw materials, transportation and energy);</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attraction, retention and turnover of key employees and executives; product innovation, time-to-market, product safety and quality;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cybersecurity incidents, artificial intelligence related risks, data privacy and compliance with data protection laws;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exposure to emerging markets, foreign currency fluctuations and international regulatory and political risks;</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capital allocation, dividend policy and potential impairments of tangible or intangible assets; our indebtedness, credit rating, liquidity, and access to capital;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pension and postretirement obligations;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compliance with federal, state, local and international rules and regulations, and regulatory, environmental, anti-corruption and sanctions laws and related ethical business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protection and enforcement of intellectual property;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changes in tax laws and policies, tax audits and outcomes, including potential tax liabilities related to prior transactions; and changes in federal, state, local and international rules and regulations.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list of important factors does not include all such factors, nor necessarily present them in order of importance. Important factors are described under “Risk Factors” of our 2025 Form 10-K and in our subsequent filings with the SEC.</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our forward-looking statements to speak only as of the time of such statements and do not undertake or plan to update or revise them as more information becomes available or to reflect changes in expectations, assumptions or results, whether as a result of new information, future events or otherwise. We can give no assurance that such expectations or forward-looking statements will prove to be correct. An occurrence of, or any material adverse change in, one or more of the risk factors or risks and uncertainties referred to in this report or included in our other periodic reports filed with the SEC could materially and adversely impact our operations and our future financial results.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public statements or disclosures made by us following this report that modify or impact any of the forward-looking statements contained in or accompanying this report will be deemed to modify or supersede such outlook or other forward-looking statements in or accompanying this report.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no material changes in market risk from the information provided in our 2025 Form 10-K, except as described below with respect to the cross currency swap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derivative instruments as part of our interest rate risk management strategy. We have entered into certain cross currency swap agreements in order to mitigate a portion of our net European investments from foreign currency risk. As of March 31, 2026, these swaps were in a net liability position with an aggregate fair value of approximately $186 million. Based on a hypothetical decrease or increase of 10% in the value of the U.S. dollar against the Euro, the estimated fair value of our cross currency swaps would change by approximately $206 million. See Note 15 for additional information.</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 Disclosure Controls and Procedures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(b) Changes in Internal Control over Financial Reporting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Chief Executive Officer and Chief Financial Officer have also concluded that there have not been any changes in our internal control over financial reporting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that updates the disclosures set forth under Part I, Item 3. “Legal Proceedings” in our 2025 Annual Report on Form 10-K, filed on February 27, 2026 with the SEC (the “2025 Form 10-K”), refer to Note 17 to the “Consolidated Financial Statements” in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Part I, Item 1A, “Risk Factors,” of our 2025 Form 10-K and the information contained in this Quarterly Report on Form 10-Q and our other reports and registration statements filed with the SEC. There have been no material changes with respect to the risk factors disclosed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information summarizes information with respect to the Company’s purchase of its common stock during the three months ended March 31, 2026, reported on a settlement date basis.</w:t>
      </w:r>
    </w:p>
    <w:tbl>
      <w:tblPr>
        <w:tblW w:w="10205" w:type="dxa"/>
        <w:jc w:val="left"/>
        <w:tblInd w:w="0" w:type="dxa"/>
        <w:tblLayout w:type="fixed"/>
        <w:tblCellMar>
          <w:top w:w="28" w:type="dxa"/>
          <w:left w:w="28" w:type="dxa"/>
          <w:bottom w:w="28" w:type="dxa"/>
          <w:right w:w="28" w:type="dxa"/>
        </w:tblCellMar>
      </w:tblPr>
      <w:tblGrid>
        <w:gridCol w:w="425"/>
        <w:gridCol w:w="313"/>
        <w:gridCol w:w="316"/>
        <w:gridCol w:w="479"/>
        <w:gridCol w:w="479"/>
        <w:gridCol w:w="480"/>
        <w:gridCol w:w="109"/>
        <w:gridCol w:w="109"/>
        <w:gridCol w:w="109"/>
        <w:gridCol w:w="295"/>
        <w:gridCol w:w="863"/>
        <w:gridCol w:w="152"/>
        <w:gridCol w:w="109"/>
        <w:gridCol w:w="109"/>
        <w:gridCol w:w="109"/>
        <w:gridCol w:w="935"/>
        <w:gridCol w:w="822"/>
        <w:gridCol w:w="825"/>
        <w:gridCol w:w="109"/>
        <w:gridCol w:w="109"/>
        <w:gridCol w:w="109"/>
        <w:gridCol w:w="717"/>
        <w:gridCol w:w="1587"/>
        <w:gridCol w:w="536"/>
      </w:tblGrid>
      <w:tr>
        <w:trPr/>
        <w:tc>
          <w:tcPr>
            <w:tcW w:w="42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 as part of publicly announced plans or programs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Approximate dollar value of shares that may yet be purchased under the plans or programs</w:t>
            </w:r>
            <w:r>
              <w:rPr>
                <w:rFonts w:ascii="Times New Roman;serif" w:hAnsi="Times New Roman;serif"/>
                <w:b/>
                <w:color w:val="000000"/>
                <w:sz w:val="13"/>
              </w:rPr>
              <w:t>(1)</w:t>
            </w:r>
          </w:p>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(Dollars in Millions)</w:t>
            </w:r>
          </w:p>
        </w:tc>
      </w:tr>
      <w:tr>
        <w:trPr/>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1-31, 2026</w:t>
            </w:r>
          </w:p>
        </w:tc>
        <w:tc>
          <w:tcPr>
            <w:tcW w:w="14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171,101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171,101 </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1-28, 2026</w:t>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131,792 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1-31, 2026</w:t>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178,085 </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3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480,978</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72.61 </w:t>
            </w:r>
          </w:p>
        </w:tc>
        <w:tc>
          <w:tcPr>
            <w:tcW w:w="1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480,978 </w:t>
            </w:r>
          </w:p>
        </w:tc>
        <w:tc>
          <w:tcPr>
            <w:tcW w:w="8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5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(1)As announced on August 5, 2025, our Board of Directors authorized a repurchase plan of up to $500 million of common stock. The program began on October 1, 2025 and does not have a specified term of termination date. Subject to market conditions, we expect to repurchase all shares under this authorization, in open market or privately negotiated transactions, including pursuant to Rule 10b5-1 under the Exchange Act, and in block trades, or a combination of the foregoing.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none of our directors or executive officers adopted or terminated any contract, instruction or written plan for the purchase or sale of our securities that was intended to satisfy the affirmative defense conditions of Rule 10b5-1(c) (a “10b5-1 trading arrangement”) or any “non-Rule 10b5-1 trading arrangement” as defined in Item 408(c)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3"/>
        <w:gridCol w:w="220"/>
        <w:gridCol w:w="221"/>
        <w:gridCol w:w="109"/>
        <w:gridCol w:w="109"/>
        <w:gridCol w:w="109"/>
        <w:gridCol w:w="2721"/>
        <w:gridCol w:w="2673"/>
        <w:gridCol w:w="3780"/>
      </w:tblGrid>
      <w:tr>
        <w:trPr/>
        <w:tc>
          <w:tcPr>
            <w:tcW w:w="2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019-rcf2025x4tharcredi.htm">
              <w:r>
                <w:rPr>
                  <w:rStyle w:val="InternetLink"/>
                  <w:rFonts w:ascii="Times New Roman;serif" w:hAnsi="Times New Roman;serif"/>
                  <w:b w:val="false"/>
                  <w:color w:val="0000FF"/>
                  <w:sz w:val="20"/>
                  <w:u w:val="single"/>
                </w:rPr>
                <w:t>Fourth Amended and Restated Credit Agreement, dated as of June 25, 2025, by and among the Registrant, as borrower, the lenders signatory thereto, and Citibank, N.A., as administrative agent.</w:t>
              </w:r>
            </w:hyperlink>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f033126exhibit311.htm">
              <w:r>
                <w:rPr>
                  <w:rStyle w:val="InternetLink"/>
                  <w:rFonts w:ascii="Times New Roman;serif" w:hAnsi="Times New Roman;serif"/>
                  <w:b w:val="false"/>
                  <w:color w:val="0000FF"/>
                  <w:sz w:val="20"/>
                  <w:u w:val="single"/>
                </w:rPr>
                <w:t>Certification of J. Erik Fyrwald pursuant to Section 302 of the Sarbanes-Oxley Act of 2002.</w:t>
              </w:r>
            </w:hyperlink>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f033126exhibit312.htm">
              <w:r>
                <w:rPr>
                  <w:rStyle w:val="InternetLink"/>
                  <w:rFonts w:ascii="Times New Roman;serif" w:hAnsi="Times New Roman;serif"/>
                  <w:b w:val="false"/>
                  <w:color w:val="0000FF"/>
                  <w:sz w:val="20"/>
                  <w:u w:val="single"/>
                </w:rPr>
                <w:t>Certification of Michael DeVeau pursuant to Section 302 of the Sarbanes-Oxley Act of 2002.</w:t>
              </w:r>
            </w:hyperlink>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f033126exhibit32.htm">
              <w:r>
                <w:rPr>
                  <w:rStyle w:val="InternetLink"/>
                  <w:rFonts w:ascii="Times New Roman;serif" w:hAnsi="Times New Roman;serif"/>
                  <w:b w:val="false"/>
                  <w:color w:val="0000FF"/>
                  <w:sz w:val="20"/>
                  <w:u w:val="single"/>
                </w:rPr>
                <w:t>Certification of J. Erik Fyrwald and Michael DeVeau pursuant to 18 U.S.C. Section 1350 as adopted pursuant to the Sarbanes-Oxley Act of 2002.</w:t>
              </w:r>
            </w:hyperlink>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Extensions Schema</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45bfc8953fa4e7285a908d862ce4fd2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9307" w:type="dxa"/>
        <w:jc w:val="left"/>
        <w:tblInd w:w="0" w:type="dxa"/>
        <w:tblLayout w:type="fixed"/>
        <w:tblCellMar>
          <w:top w:w="28" w:type="dxa"/>
          <w:left w:w="28" w:type="dxa"/>
          <w:bottom w:w="28" w:type="dxa"/>
          <w:right w:w="28" w:type="dxa"/>
        </w:tblCellMar>
      </w:tblPr>
      <w:tblGrid>
        <w:gridCol w:w="238"/>
        <w:gridCol w:w="210"/>
        <w:gridCol w:w="212"/>
        <w:gridCol w:w="109"/>
        <w:gridCol w:w="109"/>
        <w:gridCol w:w="109"/>
        <w:gridCol w:w="379"/>
        <w:gridCol w:w="379"/>
        <w:gridCol w:w="381"/>
        <w:gridCol w:w="134"/>
        <w:gridCol w:w="134"/>
        <w:gridCol w:w="136"/>
        <w:gridCol w:w="109"/>
        <w:gridCol w:w="109"/>
        <w:gridCol w:w="109"/>
        <w:gridCol w:w="1885"/>
        <w:gridCol w:w="1885"/>
        <w:gridCol w:w="2680"/>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Erik Fyrwald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Erik Fyrwald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 (Principal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DeVeau</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DeVeau</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Birenkrant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Birenkrant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Controller &amp; Chief Accounting Officer (Principal Accounting Officer)</w:t>
            </w:r>
          </w:p>
        </w:tc>
      </w:tr>
    </w:tbl>
    <w:p>
      <w:pPr>
        <w:pStyle w:val="TextBody"/>
        <w:bidi w:val="0"/>
        <w:spacing w:before="0" w:after="0"/>
        <w:jc w:val="center"/>
        <w:rPr/>
      </w:pPr>
      <w:bookmarkStart w:id="0" w:name="a1019-rcf2025x4tharcredi.htm"/>
      <w:bookmarkStart w:id="1" w:name="ksa1019rcf2025x4tharcredi"/>
      <w:bookmarkEnd w:id="0"/>
      <w:bookmarkEnd w:id="1"/>
      <w:r>
        <w:rPr/>
        <w:drawing>
          <wp:inline distT="0" distB="0" distL="0" distR="0">
            <wp:extent cx="10048875" cy="13001625"/>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jc w:val="center"/>
        <w:rPr>
          <w:color w:val="FFFFFF"/>
          <w:sz w:val="2"/>
        </w:rPr>
      </w:pPr>
      <w:r>
        <w:rPr>
          <w:color w:val="FFFFFF"/>
          <w:sz w:val="2"/>
        </w:rPr>
        <w:t xml:space="preserve">EXECUTION VERSION WEIL:\100513215\9\64058.0285 FOURTH AMENDED AND RESTATED CREDIT AGREEMENT dated as of June 25, 2025 among INTERNATIONAL FLAVORS &amp; FRAGRANCES INC. as the Company THE LENDERS NAMED HEREIN as Lenders CITIBANK, N.A. as Agent and CITIBANK, N.A., BARCLAYS BANK PLC, BNP PARIBAS SECURITIES CORP., BOFA SECURITIES, INC., JPMORGAN CHASE BANK, N.A. and WELLS FARGO SECURITIES, LLC as Joint Lead Arrangers and Joint Bookrunners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WEIL:\100513215\9\64058.0285 TABLE OF CONTENTS ARTICLE 1 Definitions and Accounting Terms 1 SECTION 1.01. Certain Defined Terms ........................................................................................1 SECTION 1.02. Computation of Time Periods ...........................................................................23 SECTION 1.03. Accounting Terms .............................................................................................23 SECTION 1.04. Pro Forma Calculations .....................................................................................23 SECTION 1.05. Divisions. ...........................................................................................................23 SECTION 1.06. Additional Committed Currencies.....................................................................23 SECTION 1.07. Rates ..................................................................................................................24 ARTICLE 2 Amounts and Terms Of The Advances 25 SECTION 2.01. The Advances. ...................................................................................................25 SECTION 2.02. Making the Advances. .......................................................................................25 SECTION 2.03. [Reserved]. ........................................................................................................27 SECTION 2.04. Fees. ...................................................................................................................27 SECTION 2.05. Termination or Reduction of the Commitments................................................28 SECTION 2.06. Repayment of Advances ....................................................................................28 SECTION 2.07. Interest on Advances .........................................................................................28 SECTION 2.08. Interest Rate Determination...............................................................................29 SECTION 2.09. Optional Conversion of Advances. ...................................................................31 SECTION 2.10. Prepayments of Advances .................................................................................31 SECTION 2.11. Increased Costs ..................................................................................................32 SECTION 2.12. Illegality.............................................................................................................34 SECTION 2.13. Payments and Computations .............................................................................34 SECTION 2.14. Taxes .................................................................................................................35 SECTION 2.15. Sharing of Payments, Etc. .................................................................................39 SECTION 2.16. Evidence of Debt ...............................................................................................40 SECTION 2.17. Use of Proceeds .................................................................................................40 SECTION 2.18. Increase in the Aggregate Commitments ..........................................................40 SECTION 2.19. Extension of Termination Date .........................................................................42 SECTION 2.20. Defaulting Lenders ............................................................................................43 SECTION 2.21. Mitigation Obligations; Replacement of Lenders. ............................................44 SECTION 2.22. Termination of Borrowers. ................................................................................45 SECTION 2.23. Benchmark Replacement Setting. .....................................................................45 ARTICLE 3 Conditions to Effectiveness and Lending 46 SECTION 3.01. Conditions Precedent to Effectiveness of Section 2.01 .....................................46 SECTION 3.02. Initial Advance to Each Designated Subsidiary ................................................47 SECTION 3.03. Conditions Precedent to Each Borrowing, Commitment Increase and Commitment Extension .....................................................................................48 SECTION 3.04. Determinations Under Section 3.01 and 3.02 ....................................................49 ARTICLE 4 REPRESENTATIONS AND WARRANTIES 49 SECTION 4.01. Representations and Warranties of the Company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WEIL:\100513215\9\64058.0285 ARTICLE 5 COVENANTS OF THE COMPANY 51 SECTION 5.01. Affirmative Covenants ......................................................................................51 SECTION 5.02. Negative Covenants ...........................................................................................54 SECTION 5.03. Financial Covenant. ...........................................................................................57 ARTICLE 6 EVENTS OF DEFAULT 57 SECTION 6.01. Events of Default ...............................................................................................57 ARTICLE 7 GUARANTY 60 SECTION 7.01. Unconditional Guaranty. ...................................................................................60 SECTION 7.02. Guaranty Absolute .............................................................................................60 SECTION 7.03. Waivers and Acknowledgments ........................................................................61 SECTION 7.04. Subrogation .......................................................................................................62 SECTION 7.05. Subordination ....................................................................................................62 SECTION 7.06. Continuing Guaranty; Assignments ..................................................................63 ARTICLE 8 THE AGENT 64 SECTION 8.01. Appointment and Authority...............................................................................64 SECTION 8.02. Rights as a Lender .............................................................................................64 SECTION 8.03. Exculpatory Provisions......................................................................................64 SECTION 8.04. Reliance by Agent .............................................................................................65 SECTION 8.05. Delegation of Duties ..........................................................................................66 SECTION 8.06. Resignation of Agent .........................................................................................66 SECTION 8.07. Non-Reliance on Agent and Other Lenders. .....................................................67 SECTION 8.08. No Other Duties, etc. .........................................................................................67 SECTION 8.09. Erroneous Payments. .........................................................................................67 ARTICLE 9 MISCELLANEOUS 70 SECTION 9.01. Amendments, Etc. .............................................................................................70 SECTION 9.02. Notices, Etc. ......................................................................................................71 SECTION 9.03. No Waiver; Remedies. ......................................................................................72 SECTION 9.04. Costs and Expenses. ..........................................................................................72 SECTION 9.05. Right of Set-off. .................................................................................................75 SECTION 9.06. Binding Effect. ..................................................................................................75 SECTION 9.07. Assignments and Participations.........................................................................76 SECTION 9.08. Confidentiality. ..................................................................................................80 SECTION 9.09. Designated Subsidiaries. ...................................................................................81 SECTION 9.10. Governing Law; Jurisdiction; Etc......................................................................82 SECTION 9.11. Execution in Counterparts .................................................................................83 SECTION 9.12. Judgment ...........................................................................................................83 SECTION 9.13. Substitution of Currency ...................................................................................84 SECTION 9.14. Acknowledgement and Consent to Bail-In of Affected Financial Institutions .........................................................................................................84 SECTION 9.15. Patriot Act Notice ..............................................................................................86 SECTION 9.16. Power of Attorney .............................................................................................86 SECTION 9.17. No Fiduciary Duty. ............................................................................................86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WEIL:\100513215\9\64058.0285 SECTION 9.18. Status of Certain Lenders and Former Borrower .............................................86 SECTION 9.19. Waiver of Jury Trial ..........................................................................................87 SECTION 9.20. Certain ERISA Matters. ....................................................................................87 SECTION 9.21. Acknowledgement Regarding Any Supported QFCs .......................................88 Schedules Schedule I – Commitments Schedule 5.02(a) – Existing Liens Exhibits Exhibit A – Form of Note Exhibit B – Form of Notice of Revolving Borrowing Exhibit C – Form of Assignment and Assumption Exhibit D – Form of Designation Agreement Exhibit E – Tax Forms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WEIL:\100513215\9\64058.0285 FOURTH AMENDED AND RESTATED CREDIT AGREEMENT dated as of June 25, 2025 This Fourth Amended and Restated Credit Agreement (this “Agreement”) is entered into by and among INTERNATIONAL FLAVORS &amp; FRAGRANCES INC., a New York corporation (the “Company”), the banks, financial institutions and other institutional lenders (the “Lenders”) from time to time party hereto and CITIBANK, N.A. (“Citibank”), as administrative agent (the “Agent”) for the Lenders. WHEREAS, the Company and certain of its subsidiaries are party to that certain Credit Agreement, dated as of November 9, 2011 (as amended and restated on July 28, 2021, the “Existing Credit Agreement”); and WHEREAS, the Company has requested, among other things, that the Lenders make certain changes to the Existing Credit Agreement as contained herein and amend and restate the Existing Credit Agreement in whole, without constituting a novation. NOW, THEREFORE, in consideration of the mutual agreements, provisions and covenants contained herein, the parties hereto agree to amend and restate the Existing Credit Agreement in its entirety without constituting a novation, effective on the Effective Date, as follows: ARTICLE 1 DEFINITIONS AND ACCOUNTING TERMS SECTION 1.01. Certain Defined Terms. As used in this Agreement, the following terms shall have the following meanings (such meanings to be equally applicable to both the singular and plural forms of the terms defined): “Administrative Questionnaire” means an Administrative Questionnaire in a form supplied by the Agent. “Advance” means an advance by a Lender to a Borrower as a part of a Borrowing consisting of simultaneous Advances from each of the Lenders pursuant to Section 2.01, and includes a Base Rate Advance or a Term Benchmark Rate Advance. “Affiliate”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vote 10% or more of the Voting Stock of such Person or to direct or cause the direction of the management and policies of such Person, whether through the ownership of Voting Stock, by contract or otherwise. “Agent” has the meaning specified in the recital of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WEIL:\100513215\9\64058.0285 “Agent’s Account” means (a) in the case of Advances denominated in Dollars, the account of the Agent maintained by the Agent at Citibank at its office at One Penns Way, OPS II, Floor 2, New Castle, Delaware 19720, Account No. 31311565, Attention: Lending Agency, (b) in the case of Advances denominated in any Committed Currency, the account of any sub-agent designated in writing from time to time by the Agent to the Company and the Lenders for such purposes or (c) such other account of the Agent as is designated in writing from time to time by the Agent to the Company and the Lenders for such purpose. “Agreement” means this Fourth Amended and Restated Credit Agreement, as amended, restated, amended and restated, supplemented or otherwise modified from time to time. “Anti-Corruption Laws” means all laws, rules, and regulations of any jurisdiction applicable to the Company or its Subsidiaries from time to time concerning or relating to bribery or corruption, including, as applicable, the Foreign Corrupt Practices Act of 1977, as amended, and the rules and regulations thereunder, and the UK Bribery Act of 2010. “Applicable Lending Office” means, with respect to each Lender, its office, branch or Affiliate located at its address set forth in its Administrative Questionnaire (or identified in its Administrative Questionnaire as its Applicable Lending Office) for any applicable Type of Advances or such other office, branch or Affiliate as such Lender may hereafter designate as its Applicable Lending Office for any applicable Type of Advances by notice to the Company and the Agent. “Applicable Margin” means as of any date, with respect to any Base Rate Advance or Term Benchmark Rate Advance, as the case may be, a percentage per annum determined by reference to the Public Debt Rating in effect on such date as set forth below under the applicable caption: Public Debt Rating S&amp;P/Moody’s Applicable Margin for Base Rate Advances Applicable Margin for Term Benchmark Rate Advances Level 1 A- / A3 or above 0.000% 1.000% Level 2 BBB+ / Baa1 0.125% 1.125% Level 3 BBB / Baa2 0.250% 1.250% Level 4 BBB- / Baa3 0.375% 1.375% Level 5 Lower than Level 4 0.625% 1.625% “Applicable Percentage” means, as of any date a percentage per annum determined by reference to the Public Debt Rating in effect on such date as set forth below under the caption “Applicable Percentage”: Public Debt Rating S&amp;P/Moody’s Applicable Percentage Level 1 A- / A3 or above 0.090%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WEIL:\100513215\9\64058.0285 Level 2 BBB+ / Baa1 0.110% Level 3 BBB / Baa2 0.125% Level 4 BBB- / Baa3 0.150% Level 5 Lower than Level 4 0.225% “Approved Fund” means any Fund that is administered or managed by (a) a Lender, (b) an Affiliate of a Lender or (c) an entity or an Affiliate of an entity that administers or manages a Lender. “Arrangers” means Citibank, N.A., Barclays Bank PLC, BNP Paribas Securities Corp., BofA Securities, Inc., JPMorgan Chase Bank, N.A. and Wells Fargo Securities, LLC each in its capacity as a joint lead arranger and joint bookrunner for the revolving credit facility provided under this Agreement. “Assignment and Assumption” means an assignment and assumption entered into by a Lender and an Eligible Assignee (with the consent of any party whose consent is required by Section 9.07(b)(iii)), and accepted by the Agent, in substantially the form of Exhibit C or any other form approved by the Agent. “Assuming Lender” has the meaning specified in Section 2.18(d). “Assumption Agreement” has the meaning specified in Section 2.18(d)(ii). “Authorization” means an authorization, consent, approval, resolution, license exemption, filing or registration (including, without limitation, Environmental Permits). “Available Tenor”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2.23(d). “Bail-In Action” has the meaning specified in Section 9.14. “Bankruptcy Law” means any proceeding of the type referred to in Section 6.01(e) or Title 11, U.S. Code, or any similar foreign, federal or state law for the relief of debtors. “Base Rate” means a fluctuating interest rate per annum in effect from time to time, which rate per annum shall at all times be equal to the highest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WEIL:\100513215\9\64058.0285 (a) the rate of interest announced publicly by Citibank in New York, New York, from time to time, as Citibank’s base rate for loans denominated in Dollars; (b) 1/2 of one percent per annum above the Federal Funds Rate; and (c) Term SOFR for a one-month tenor in effect on such day plus 1.00%. “Base Rate Advance” means an Advance denominated in Dollars that bears interest as provided in Section 2.07(a)(i). “Base Rate Term SOFR Determination Day” has he meaning specified in the definition of “Term SOFR”. “Benchmark” means, initially, (i) with respect to amounts denominated in Dollars, the Term SOFR Reference Rate and (ii) with respect to any amounts denominated in Euro, the EURIBO Rate; provided that if a replacement of an initial or subsequent Benchmark has occurred pursuant to Section 2.23, then “Benchmark” means the applicable Benchmark Replacement to the extent that such Benchmark Replacement has replaced such prior benchmark rate. Any reference to “Benchmark” shall include, as applicable, the published component used in the calculation thereof. “Benchmark Replacement” means with respect to any Benchmark Transition Event, the sum of: (a) the alternate benchmark rate that has been selected by the Agent and the Company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 current Benchmark for syndicated credit facilities denominated in the applicable currency at such time and (b) the related Benchmark Replacement Adjustment; provided that, if such Benchmark Replacement as so determined would be less than the Floor, such Benchmark Replacement will be deemed to be the Floor for the purposes of this Agreement and the other Loan Documents. “Benchmark Replacement Adjustment” means, with respect to any replacement of any then-current Benchmark with an Unadjusted Benchmark Replacement, the spread adjustment, or method for calculating or determining such spread adjustment, (which may be a positive or negative value or zero) that has been selected by the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 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 “Benchmark Replacement Date” means the earliest to occur of the following events with respect to any then-current Benchmark: (a) in the case of clause (a) or (b) of the definition of “Benchmark Transition Event,” the later of (i) the date of the public statement or publication of information referenced therein and (ii) the date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WEIL:\100513215\9\64058.0285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“Benchmark Transition Event” means the occurrence of one or more of the following events with respect to any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For the avoidance of doubt, a “Benchmark Transition Event” will be deemed to have occurred with respect to any Benchmark if a public statement or publication of information set forth above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WEIL:\100513215\9\64058.0285 occurred with respect to each then-current Available Tenor of such Benchmark (or the published component used in the calculation thereof). “Benchmark Transition Start Date” means, in the case of any Benchmark Transition Event, the earlier of (a) the applicable Benchmark Replacement Date with respect to such Benchmark Transition Event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“Benchmark Unavailability Period” means, the period (if any) (a) beginning at the time that a Benchmark Replacement Date has occurred if, at such time, no Benchmark Replacement has replaced the then-current Benchmark for all purposes hereunder and under any Loan Document in accordance with Section 2.23 and (b) ending at the time that a Benchmark Replacement has replaced the then-current Benchmark for all purposes hereunder and under any Loan Document in accordance with Section 2.23. “Beneficial Ownership Certification” means a certification regarding beneficial ownership as required by the Beneficial Ownership Regulation. “Beneficial Ownership Regulation” means 31 C.F.R. §1010.230. “Benefit Plan”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 “Borrowers” means, collectively, the Company and the Designated Subsidiaries from time to time. “Borrowing” means a borrowing consisting of simultaneous Advances of the same Type made by each of the Lenders. “Borrowing Minimum” means, in respect of Advances denominated in Dollars, $10,000,000 and, in respect of Advances denominated in Euros, €10,000,000. “Borrowing Multiple” means, in respect of Advances denominated in Dollars, $1,000,000 and, in respect of Advances denominated in Euros, €1,000,000. “Business Day” means a day of the year on which banks are not required or authorized by law to close in New York City and, if the applicable Business Day relates to any Term Benchmark Rate Advances denominated in Euro, on which the real time gross settlement system operated by the Eurosystem (T2), or any successor system, is open. “Cash” means, at any time, cash as defined in accordance with GAAP. “Cash Collateralize” means, in respect of an obligation, deposit and pledge (as a first priority perfected security interest) cash collateral in Dollars, in an account to be approved by the Agent (such approval not to be unreasonably withheld or delayed) for the benefit of the Lenders and pursuant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WEIL:\100513215\9\64058.0285 documentation in form and substance reasonably satisfactory to the Agent (and “Cash Collateralization” has a corresponding meaning). “Cash Equivalents” means, at any time, cash equivalents as defined in accordance with GAAP. “Change in Law” means the occurrence, after the date of this Agreement, or, with respect to any Lender that becomes a party to this Agreement after the date hereof, such later date on which such Lender becomes a party to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 “Citibank” has the meaning set forth in the introductory paragraph of this Agreement. “Code” means the Internal Revenue Code of 1986, as amended from time to time, and the regulations promulgated and rulings issued thereunder. “Commitment” means, as to any Lender (a) the Dollar amount set forth opposite such Lender’s name on Schedule I hereto as such Lender’s Commitment, (b) if such Lender has become a Lender hereunder pursuant to an Assumption Agreement, the Dollar amount set forth in such Assumption Agreement or (c) if such Lender has entered into an Assignment and Assumption, the Dollar amount set forth for such Lender in the Register maintained by the Agent pursuant to Section 9.07(c), in each case, as such amount may be adjusted in accordance with this Agreement. “Commitment Date” has the meaning specified in Section 2.18(b). “Commitment Increase” has the meaning specified in Section 2.18(a). “Committed Currencies” means Euros, together with each other currency (other than Dollars) that is approved by the Agent and the Lenders in accordance with Section 1.06. “Company” has the meaning set forth in the introductory paragraph of this Agreement. “Conforming Changes” means, with respect to either the use or administration of Term SOFR or the EURIBO Rate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WEIL:\100513215\9\64058.0285 2.23 and other technical, administrative or operational matters) that the Agent decides in consultation with the Company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in consultation with the Company is reasonably necessary in connection with the administration of this Agreement and the other Loan Documents). “Connection Income Taxes” means Other Connection Taxes that are imposed on or measured by net income (however denominated) or that are franchise Taxes or branch profits Taxes. “Consolidated” refers to the consolidation of accounts in accordance with GAAP. “Consolidated Net Tangible Assets” means, as of any particular time, the total of all the assets appearing on the most recent consolidated balance sheet of the Company and its Subsidiaries (less applicable reserves and other properly deductible items) after deducting therefrom: (i) all current liabilities, including current maturities of long-term debt and of obligations under capital leases; and (ii) the total of the net book values of all assets of the Company and its Subsidiaries, properly classified as intangible assets under U.S. generally accepted accounting principles (including goodwill, trade names, trademarks, patents, unamortized debt discount and expense and other like intangible assets). “Convert”, “Conversion” and “Converted” each refers to a conversion of Advances of one Type into Advances of the other Type pursuant to Section 2.08 or 2.09. “Debt” of any Person means, without duplication: (a) all indebtedness of such Person for borrowed money, (b) all obligations of such Person for the deferred purchase price of assets or services (other than trade payables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assets acquired by such Person (even though the rights and remedies of the seller or lender under such agreement in the event of default are limited to repossession or sale of such assets), (e) all obligations of such Person as lessee under leases that have been or should be, in accordance with GAAP (subject to the provisions of Section 1.03) recorded as capital leases, (f) all obligations, contingent or otherwise, of such Person in respect of acceptances, letters of credit or similar extensions of credit, (g) the net obligations of such Person in respect of Hedge Agreements, (h) receivables sold or discounted (other than any receivables to the extent they are sold on a non- recourse basis), (i) [reserved], (j) any amount raised under any other transaction (including any forward sale or purchase agreement) having the commercial effect of a borrowing, (k) all Debt of others referred to in paragraphs (a) through (j) above or paragraph (l)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assets, or to purchase or sell services, primarily for the purpose of enabling the debtor to make payment of such Debt or to assure the holder of such Debt against loss, (3) to supply funds to or in any other manner invest in the debtor (including any agreement to pay for assets or services irrespective of whether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WEIL:\100513215\9\64058.0285 such assets are received or such services are rendered) or (4) otherwise to assure a creditor against loss, and (l) all Debt referred to in paragraphs (a) through (k) above secured by (or for which the holder of such Debt has an existing right, contingent or otherwise, to be secured by) any Lien on assets (including, without limitation, accounts and contract rights) owned by such Person, even though such Person has not assumed or become liable for the payment of such Debt. “Debt for Borrowed Money” of a person means all items that, in accordance with GAAP, would be classified as indebtedness on a Consolidated balance sheet of such person other than any amounts which would be classified as indebtedness, in accordance with GAAP, which arise under any Hedge Agreements. “Debtor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 “Default” means any Event of Default or any event that would constitute an Event of Default but for the requirement that notice be given or time elapse or both. “Default Interest” has the meaning specified in Section 2.07(b). “Defaulting Lender” means at any time, subject to Section 2.20(c), (i) any Lender that has failed for two or more Business Days to comply with its obligations under this Agreement to make an Advance or make any other payment due hereunder (each, a “funding obligation”), unless such Lender has notified the Agent and the Company in writing that such failure is the result of such Lender’s good faith determination that one or more conditions precedent to funding has not been satisfied (which conditions precedent, together with the applicable default, if any, will be specifically identified in such writing), (ii) any Lender that has notified the Agent or the Company in writing, or has stated publicly, that it does not intend to comply with its funding obligations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(iii) any Lender that has defaulted on its funding obligations under other loan agreements or credit agreements generally under which it has commitments to extend credit or that has notified, or whose Parent Company has notified, the Agent or the Company in writing, or has stated publicly, that it does not intend to comply with its funding obligations under loan agreements or credit agreements generally, (iv) any Lender that has, for two or more Business Days after written request of the Agent or the Company, failed to confirm in writing to the Agent and the Company that it will comply with its prospective funding obligations hereunder (provided that such Lender will cease to be a Defaulting Lender pursuant to this clause (iv) upon the Agent’s and the Company’s receipt of such written confirmation), or (v) any Lender with respect to which a Lender Insolvency Event has occurred and is continuing with respect to such Lender or its Parent Company; provided that, for the avoidance of doubt, a Lender shall not be a Defaulting Lender solely by virtue of (1) the control, ownership or acquisition of any equity interest in that Lender or any direct or indirect Parent Company thereof by a Governmental Authority or instrumentality thereof or (2) in the case of a solvent Lender, the precautionary appointment of an administrator, guardian, custodian or other similar official by a Governmental Authority or instrumentality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WEIL:\100513215\9\64058.0285 under or based on the law of the country where such Lender is subject to home jurisdiction supervision if applicable law requires that such appointment not be publicly disclosed, so long as, in the case of clause (1) and clause (2), such action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Agent that a Lender is a Defaulting Lender under any of clauses (i) through (v) above will be conclusive and binding absent manifest error, and such Lender will be deemed to be a Defaulting Lender (subject to Section 2.20(c)) upon notification of such determination by the Agent to the Company and the Lenders. “Designated Subsidiary” means any direct or indirect wholly-owned Subsidiary of the Company designated for borrowing privileges under this Agreement pursuant to Section 9.09. “Designation Agreement” means, with respect to any Designated Subsidiary, an agreement in the form of Exhibit D hereto signed by such Designated Subsidiary and the Company. “Disclosure Documents” means the Company’s annual reports on Form 10-K, the Company’s quarterly reports on Form 10-Q and the Company’s current reports on Form 8-K filed with the Securities and Exchange Commission filed prior to the Effective Date. “Dollars” and the “$” sign each means lawful currency of the United States of America. “EEA Financial Institution” has the meaning specified in Section 9.14. “EBITDA” of a Person means, for any Relevant Period, net income (or net loss) plus the sum of: (a) interest expense; (b) income tax expense; (c) depreciation expense; (d) amortization expense and all other non-cash charges; (e) extraordinary or unusual losses deducted in calculating net income less extraordinary or unusual gains added in calculating net income, (f) all non-recurring non-cash expenses and charges, (g) any non-cash gains or losses from asset sales, (h) non-cash purchase accounting adjustments, (i) customary costs and expenses incurred in connection with the transactions contemplated by the Loan Documents, (j) non-cash stock-based compensation expense for such period, (k) other expenses reducing such net income which do not represent a cash item in such period or any future period less all non-cash items increasing net income which do not represent a cash item in such period or any future period, and (l) customary costs and expenses incurred in connection with acquisitions, investments, issuances of equity and incurrence of indebtedness to the extent any such transaction is not prohibited by this Agreement, in each case determined in accordance with GAAP for the Relevant Period. “Effective Date” means the date occurring not later than June 30, 2025 on which the conditions precedent set forth in Section 3.01 have been satisfied (or waived in accordance with Section 9.01). “Eligible Assignee” means any Person that meets the requirements to be an assignee under Section 9.07(b)(iii), (v) and (vi) (subject to such consents, if any, as may be required under Section 9.07(b)(iii)).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WEIL:\100513215\9\64058.0285 “Eligible Currency” means any lawful currency other than Dollars or Euros that is readily available, freely transferable and convertible into Dollars in the international interbank market available to the Lenders in such market and as to which an Equivalent in Dollars may be readily calculated. “Environmental Action” means any action, suit, demand, demand letter, claim, notice of non- 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or third party for enforcement, cleanup, removal, response, remedial or other actions or damages and (b) by any governmental or regulatory authority or any third party for damages, contribution, indemnification, cost recovery, compensation or injunctive relief. “Environmental Law” means any federal, state, local or foreign statute, law (including common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or exposure to, Hazardous Materials. “Environmental Permit” means any permit, approval, identification number, license or other authorization required under any Environmental Law. “Equivalent” means, at any date of determination thereof, in US Dollars of any Foreign Currency or in any Foreign Currency of US Dollars on any date, means the spot rate of exchange that appears at 11:00 A.M. (London time), on the display page applicable to the relevant currency on the Oanda website on such date; provided that if there shall at any time no longer exist such a page on such website, the spot rate of exchange shall be determined by reference to another similar rate publishing service selected by the Agent. “ERISA” means the Employee Retirement Income Security Act of 1974, as amended from time to time, and the regulations promulgated and rulings issued thereunder. “ERISA Affiliate” means any Person that for purposes of Title IV of ERISA is a member of the Company’s controlled group, or under common control with the Company, within the meaning of Section 414 of the Code. “ERISA Event” means (a) (i) the occurrence of a reportable event, within the meaning of Section 4043 of ERISA, with respect to any Plan unless the 30-day notice requirement with respect to such event has been waived by the PBGC, or (ii) the requirements of Section 4043(b) of ERISA are met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pursuant to Section 412 of the Code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Company or any ERISA Affiliate in the circumstances described in Section 4062(e) of ERISA; (e) the withdrawal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WEIL:\100513215\9\64058.0285 by the Company or any ERISA Affiliate from a Multiple Employer Plan during a plan year for which it was a “substantial employer,” as defined in Section 4001(a)(2) of ERISA; (f) the conditions for the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 “Erroneous Payment” has the meaning assigned to it in Section 8.09(a). “Erroneous Payment Deficiency Assignment” has the meaning assigned to it in Section 8.09(d). “Erroneous Payment Return Deficiency” has the meaning assigned to it in Section 8.09(d). “Erroneous Payment Subrogation Rights” has the meaning assigned to it in Section 8.09(e). “EURIBO Rate” means, for any Interest Period, the rate appearing on the applicable Bloomberg screen (or on any successor or substitute page of Bloomberg, or any successor to or substitute for Bloomberg, providing rate quotations comparable to those currently provided on such page of Bloomberg, as determined by the Agent from time to time for purposes of providing quotations of interest rates applicable to deposits in Euro by reference to the Banking Federation of the European Union Settlement Rates for deposits in Euro) at approximately 10:00 A.M., London time, two Business Days prior to the commencement of such Interest Period, as the rate for deposits in Euro with a maturity comparable to such Interest Period. “Euro” means the lawful currency of the European Union as constituted by the Treaty of Rome which established the European Community, as such treaty may be amended from time to time and as referred to in the EMU legislation. “Events of Default” has the meaning specified in Section 6.01. “Existing Credit Agreement” has the meaning specified in preamble to this Agreement. “Excluded Taxes” means any of the following Taxes imposed on or with respect to a Recipient or required to be withheld or deducted from a payment to a Recipient, (a) Taxes imposed on or measured by net income (however denominated), franchise and similar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an Advance or Commitment pursuant to a law in effect on the date on which (i) such Lender acquires such interest in such Advance or Commitment (other than pursuant to an assignment request by the Company under Section 2.21(b)) or (ii) such Lender changes its lending office, except in each case to the extent that, pursuant to Section 2.14, amounts with respect to such Taxes were payable either to such Lender’s assignor immediately before such Lender became a party hereto or to such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WEIL:\100513215\9\64058.0285 immediately before it changed its lending office, (c) Taxes attributable to such Recipient’s failure to comply with Section 2.14(g) and (d) any withholding Taxes imposed under FATCA. “Extension Date” has the meaning specified in Section 2.19(a). “FATCA” 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 “Federal Funds Rate” means, for any period, a fluctuating interest rate per annum equal for each day during such period to the weighted average of the rates on overnight Federal funds transactions with members of the Federal Reserve System,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provided that if the Federal Funds Rate shall be less than zero, such rate shall be deemed to be zero for purposes of this Agreement. “Floor” means a rate of interest equal to 0.00%. “Foreign Lender” means (a) if the applicable Borrower is a U.S. Person, a Lender that is not a U.S. Person, and (b) if the applicable Borrower is not a U.S. Person, a Lender that is resident or organized under the laws of a jurisdiction other than that in which such Borrower is resident for tax purposes. “Fund” means any Person (other than a natural Person) that is (or will be) engaged in making, purchasing, holding or otherwise investing in commercial loans and similar extensions of credit in the ordinary course of its activities. “GAAP” has the meaning specified in Section 1.03. “Governmental Authority”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“Guaranteed Obligations” has the meaning specified in Section 7.01. “Hazardous Materials” means (a) petroleum and petroleum products, byproducts or breakdown products, radioactive materials, asbestos-containing materials, polychlorinated biphenyls and radon gas and (b) any other chemicals, materials, wastes or substances designated, classified or regulated as hazardous or toxic or as a pollutant or contaminant, or which can form the basis for liability, under any Environmental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WEIL:\100513215\9\64058.0285 “Hedge Agreements” means interest rate swap, cap or collar agreements, interest rate future or option contracts, currency swap agreements, currency future or option contracts and other similar agreements. “Increase Date” has the meaning specified in Section 2.18(a). “Increasing Lender” has the meaning specified in Section 2.18(b). “Indemnified Taxes” means (a) Taxes, other than Excluded Taxes, imposed on or with respect to any payment made by or on account of any obligation of any Loan Party under any Loan Document and (b) to the extent not otherwise described in (a), Other Taxes. “Indemnitee” has the meaning specified in Section 9.04(b). “Information” has the meaning specified in Section 9.08. “Information Memorandum” means the information memorandum dated June 2, 2025, as modified or supplemented prior to the date hereof, used by the Arrangers in connection with the syndication of the Commitments. “Interest Period” means for each Term Benchmark Rate Advance comprising part of the same Borrowing, the period commencing on the date of such Term Benchmark Rate Advance or the date of the Conversion of any Base Rate Advance into such Term Benchmark Rate Advance and ending on the last day of the period selected by the applicable Borrower requesting such Borrowing pursuant to the provisions below and, thereafter, each subsequent period commencing on the last day of the immediately preceding Interest Period and ending on the last day of the period selected by such Borrower pursuant to the provisions below. The duration of each such Interest Period for Term Benchmark Rate Advances shall be one, three or six months or, subject to clause (c) of this definition, such other period as the applicable Borrower may, upon notice received by the Agent not later than 11:00 A.M. (New York City time) on the third Business Day prior to the first day of such Interest Period (which shall promptly notify each of the Lenders), select; provided, however, that: (a) the Borrowers may not select any Interest Period that ends after the latest Termination Date; (b) Interest Periods commencing on the same date for Term Benchmark Rate Advances comprising part of the same Borrowing shall be of the same duration; (c) in respect of any Term Benchmark Rate Advance, the Borrowers shall not be entitled to select an Interest Period of other than one, three or six months unless, by 2:00 P.M. (New York City time) on the third Business Day prior to the first day of such Interest Period each Lender, in its sole discretion, approves such requested Interest Period (the failure of any Lender to so respond by such time being deemed for all purposes of this Agreement as an objection by such Lender to the requested duration of such Interest Period); (d) whenever the last day of any Interest Period would otherwise occur on a day other than a Business Day, the last day of such Interest Period shall be extended to occur on the next succeeding Business Day, provided, however, that, if such extension would cause the last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WEIL:\100513215\9\64058.0285 of such Interest Period to occur in the next following calendar month, the last day of such Interest Period shall occur on the next preceding Business Day; (e) whenever the first day of any Interest Period for Term Benchmark Rate Advances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 and (f) no tenor that has been removed from this definition pursuant to Section 2.23(d) shall be available to be requested by the Borrowers. “IRS” means the United States Internal Revenue Service. “Lender Insolvency Event” means that (a) a Lender or its Parent Company is insolvent, or is generally unable to pay its debts as they become due, or admits in writing its inability to pay its debts as they become due, or makes a general assignment for the benefit of its creditors, or (b) such Lender or its Parent Company is the subject of a bankruptcy, insolvency, reorganization, liquidation or similar proceeding or a Bail-In Action,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 “Lenders” has the meaning set forth in the introductory paragraph to this Agreement. “Leverage Ratio” means the ratio of Net Debt as of the end of any Relevant Period to Consolidated EBITDA in respect of such Relevant Period. “Lien”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 “Loan Documents” shall mean this Agreement, any Note and each Designation Agreement. “Loan Party” means the Company and each other Borrower. “Material Adverse Change” means any material adverse change in the business, condition (financial or otherwise) or results of operations of the Company and its Subsidiaries taken as a whole. “Material Adverse Effect” means a material adverse effect on: (a) the business, condition (financial or otherwise) or results of operations of the Company and its Subsidiaries taken as a whole; (b) the rights and remedies of the Agent or any Lender under the Loan Documents; or (c) the ability of any Loan Party or the Company to perform its payment obligations under the Loan Documents. “Moody’s” means Moody’s Ratings, or any successor to its rating agency business. “Multiemployer Plan” means a multiemployer plan, as defined in Section 4001(a)(3) of ERISA, to which the Company or any ERISA Affiliate is making or accruing an obligation to make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WEIL:\100513215\9\64058.0285 contributions, or has within any of the preceding five plan years made or accrued an obligation to make contributions. “Multiple Employer Plan” means a single employer plan, as defined in Section 4001(a)(15) of ERISA, which is subject to Title IV of ERISA, and that (a) is maintained for employees of the Company or any ERISA Affiliate and at least one Person other than the Company and the ERISA Affiliates or (b) was so maintained and in respect of which the Company or any ERISA Affiliate could have liability under Section 4064 or 4069 of ERISA in the event such plan has been or were to be terminated. “Net Debt” means Debt for Borrowed Money less Cash and Cash Equivalents. “Non-Consenting Lender” means any Lender that does not approve any consent, waiver or amendment that (i) requires the approval of all affected Lenders in accordance with the terms of Section 9.01 and (ii) has been approved by the Required Lenders. “Non-Extending Lender” has the meaning specified in Section 2.19(b). “Non-Defaulting Lender” means, at any time, a Lender that is not a Defaulting Lender. “Note” means a promissory note of any Borrower payable to any Lender, delivered pursuant to a request made under Section 2.16 in substantially the form of Exhibit A hereto, evidencing the aggregate indebtedness of such Borrower to such Lender resulting from the Advances made by such Lender to such Borrower. “Notice Date” has the meaning specified in Section 2.19(b). “Notice of Revolving Borrowing” has the meaning specified in Section 2.02(a). “Other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2.21(b)). “Overnight Rate” means with respect to Advances or other amounts denominated in Dollars, the Federal Funds Rate and (b) with respect to Advances denominated in Euro, the EURIBO Rate; provided that if the Overnight Rate shall be less than zero, such rate shall be deemed to be zero for purposes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WEIL:\100513215\9\64058.0285 “Parent Company” means, with respect to a Lender, the bank holding company (as defined in Federal Reserve Board Regulation Y), if any, of such Lender, or if such Lender does not have a bank holding company, then any corporation, association, partnership or other business entity owning, beneficially or of record, directly or indirectly, a majority of the shares of such Lender. “Participant” has the meaning assigned to such term in Section 9.07(d). “Participant Register” has the meaning specified in Section 9.07(d). “Patriot Act” means the Uniting and Strengthening America by Providing Appropriate Tools Required to Intercept and Obstruct Terrorism Act of 2001, Pub. L. 107-56, signed into law October 26, 2001, as amended. “Payment Office” means, for any Committed Currency, such office of Citibank as shall be from time to time selected by the Agent and notified by the Agent to the Company and the Lenders. “Payment Recipient” has the meaning assigned to it in Section 8.09(a). “PBGC” means the Pension Benefit Guaranty Corporation (or any successor). “Permitted Liens” means such of the following as to which no enforcement, collection, execution, levy or foreclosure proceeding shall have been commenced: (a) Liens for Taxes, assessments and governmental charges or levies to the extent not required to be paid under Section 5.01(c); (b) Liens imposed by law, such as materialmen’s, mechanics’, carriers’, workmen’s and repairmen’s Liens and other similar Liens arising in the ordinary course of business securing obligations that are not overdue for a period of more than 60 days or which are being contested in good faith and by appropriate proceedings diligently conducted, if adequate reserves with respect thereto are maintained on the books of the applicable Person; (c) pledges or deposits to secure obligations under workers’ compensation, unemployment insurance and other social security laws or similar legislation or to secure public or statutory obligations or to secure the performance of bids, trade contracts, leases, statutory obligations, surety and appeal bonds, performance bonds and other obligations of a like nature in the ordinary course of business; (d) easements, rights of way and other encumbrances on title to real property that do not render title to the real property encumbered thereby unmarketable or materially adversely affect the use of such real property for its present purposes; (e) any netting or set-off arrangement entered into by the Company or any of its Subsidiaries in the ordinary course of its banking arrangements for the purpose of netting debit and credit balances of the Company and its Subsidiaries; (f) any Lien arising solely by virtue of the maintenance of a bank account by the Company or any of its Subsidiaries in the ordinary course of business pursuant to the general terms and conditions of the bank with which such account is held; and (g) any Lien arising by operation of law and in the ordinary course of trading. “Person” means any natural Person, corporation, limited liability company, trust, joint venture, association, company, partnership, Governmental Authority or any political subdivision or agency thereof or other entity. “Periodic Term SOFR Determination Day” has the meaning specified in the definition of “Term SOFR”.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WEIL:\100513215\9\64058.0285 “Plan” means a Single Employer Plan or a Multiple Employer Plan, which is maintained for employees of the Company or any ERISA Affiliate. “Post-Petition Interest” has the meaning specified in Section 7.05(b). “Primary Currency” has the meaning specified in 9.12(c). “PTE” means a prohibited transaction class exemption issued by the U.S. Department of Labor, as any such exemption may be amended from time to time. “Public Debt Rating” means, as of any date, the rating that has been most recently announced by either S&amp;P or Moody’s, as the case may be, for any class of non-credit enhanced long-term senior unsecured debt issued by the Company or, if any such rating agency shall have issued more than one such rating, the most recent such rating issued by such rating agency. For purposes of the foregoing, (a) if only one of S&amp;P and Moody’s shall have in effect a Public Debt Rating, the Applicable Margin and the Applicable Percentage shall be determined by reference to the available rating; (b) if neither S&amp;P nor Moody’s shall have in effect a Public Debt Rating, the Applicable Margin and the Applicable Percentage will be set in accordance with Level 5 under the definition of “Applicable Margin” or “Applicable Percentage”, as the case may be; (c) if the ratings established by S&amp;P and Moody’s shall fall within different levels, the Applicable Margin and the Applicable Percentage shall be based upon the higher rating unless the such ratings differ by two or more levels, in which case the applicable level will be deemed to be one level below the higher of such levels; (d) if any rating established by S&amp;P or Moody’s shall be changed, such change shall be effective as of the date on which such change is first announced publicly by the rating agency making such change; and (e) if S&amp;P or Moody’s shall change the basis on which ratings are established, each reference to the Public Debt Rating announced by S&amp;P or Moody’s, as the case may be, shall refer to the then equivalent rating by S&amp;P or Moody’s, as the case may be. “Qualifying Acquisition” has the meaning specified in Section 5.03. “Ratable Share” means, with respect to any Lender at any time, the percentage of the total Commitments represented by such Lender’s Commitment. If the applicable Commitments have terminated or expired, the Ratable Shares shall be determined based upon the applicable Commitments most recently in effect, giving effect to any assignments. “Reacquisition Sale and Leaseback Transaction” has the meaning specified in Section 5.02(b)(v). “Recipient” means (a) the Agent and (b) any Lender, as applicable. “Register” has the meaning specified in Section 9.07(c). “Regulation U” has the meaning specified in Section 4.01(g). “Related Parties” means, with respect to any Person, such Person’s Affiliates and the partners, directors, officers, employees, agents, trustees, administrators, managers, advisors and representatives of such Person and of such Person’s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WEIL:\100513215\9\64058.0285 “Relevant Governmental Body” means (a) with respect to a Benchmark Replacement in respect of Dollars, Federal Reserve Board or the Federal Reserve Bank of New York, or a committee officially endorsed or convened by the Federal Reserve Board or the Federal Reserve Bank of New York, or any successor thereto and (b) with respect to a Benchmark Replacement in respect of any other currency hereunder, (1) the central bank for the currency in which such amounts are denominated hereunder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amounts are denominated, (B) any central bank or other supervisor that is responsible for supervising either (i) such Benchmark Replacement or (ii) the administrator of such Benchmark Replacement, (C) a group of those central banks or other supervisors or (D) the Financial Stability Board or any part thereof. “Relevant Period” means, as of any date, the four fiscal quarter period of the Company most recently ended on or as of such date. “Removal Effective Date” has the meaning specified in Section 8.06(b). “Required Lenders” means at any time Lenders owed in excess of 50% of the then aggregate unpaid principal amount (based on the Equivalent in Dollars at such time) of the Advances owing to Lenders, or, if no such principal amount is then outstanding, Lenders having in excess of 50% of the Commitments; provided that if any Lender shall be a Defaulting Lender at such time, there shall be excluded from the determination of Required Lenders at such time the Commitments of such Lender at such time. “Reserve Percentage” for any Interest Period for Term Benchmark Rate Advances denominated in Euro and comprising part of the same Borrowing, means the reserve percentage applicable two Business Days before the first day of such Interest Period under regulations issued from time to time by the Board of Governors of the Federal Reserve System (or any successor) for determining the maximum reserve requirement (including, without limitation, any emergency, supplemental or other marginal reserve requirement) for a member bank of the Federal Reserve System in New York City with respect to liabilities or assets consisting of or including eurocurrency liabilities (or with respect to any other category of liabilities that includes deposits by reference to which the interest rate on such Term Benchmark Rate Advance is determined) having a term equal to such Interest Period. “Resignation Effective Date” has the meaning specified in Section 8.06(a). “S&amp;P” means S&amp;P Global Ratings or any successor to its rating agency business. “Sanctioned Country” means, at any time, a country, region or territory with which dealings are broadly restricted or prohibited by Sanctions (as of the date hereof, the so-called Donetsk People’s Republic, the so-called Luhansk People’s Republic, the Crimea, Kherson and Zaporizhzhia regions of Ukraine, Cuba, Iran, North Korea and Syria). “Sanctioned Person” means, at any time, (a) any Person listed in any Sanctions-related list of designated Persons maintained by the United States government, including the Office of Foreign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WEIL:\100513215\9\64058.0285 Assets Control of the U.S. Department of the Treasury and the U.S. Department of State, or by the United Nations Security Council, the European Union, any EU member state or His Majesty’s Treasury of the United Kingdom, (b) any Person located, organized or resident in a Sanctioned Country or (c) any other Person with whom dealings are restricted or prohibited by Sanctions (including by reason of ownership or control). “Sanctions” means economic or financial sanctions enforced by the United States government, including the Office of Foreign Assets Control of the U.S. Department of the Treasury and the U.S. Department of State, the United Nations Security Council, the European Union, any EU member state or His Majesty’s Treasury of the United Kingdom, including embargoes, export restrictions, the ability to make or receive international payments, the freezing or blocking of assets of targeted Persons, the ability to engage in transactions with specified persons or countries, or the ability to take an ownership interest in assets of specified Persons or located in a specified country, including any laws or regulations threatening to impose economic sanctions on any person for engaging in proscribed behavior. “Significant Subsidiary” means any Subsidiary of the Company that would be a “significant subsidiary” of the Company within the meaning of Rule 1-02 under Regulation S-X promulgated by the Securities and Exchange Commission. “Single Employer Plan” means any Plan that is subject to Title IV of ERISA, but that is not a Multiemployer Plan or a Multiple Employer Plan. “SOFR” means a rate equal to the secured overnight financing rate as administered by the SOFR Administrator. “SOFR Administrator” means the Federal Reserve Bank of New York (or a successor administrator of the secured overnight financing rate). “Subsequent Borrowings” has the meaning specified in Section 2.01(b). “Subordinated Obligations” has the meaning specified in Section 7.05. “Subsidiary”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 “Taxes”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WEIL:\100513215\9\64058.0285 “Term Benchmark Rate” means, for any Interest Period for each Term Benchmark Rate Advance comprising part of the same Borrowing, an interest rate per annum equal to (a) in the case of any Advance denominated in Dollars, Term SOFR for such Interest Period and (b) in the case of any Advance denominated in Euro, the rate per annum obtained by dividing (i) the EURIBO Rate by (ii) a percentage equal to 100% minus the Reserve Percentage for such Interest Period; provided that if the Term Benchmark Rate for Advances denominated in Euro as determined pursuant to this clause (b) shall ever be less than the Floor, such rate shall be deemed to be the Floor. “Term Benchmark Rate Advance” means an Advance denominated in Dollars or a Committed Currency that bears interest as provided in Section 2.07(a)(ii). “Term SOFR” means, (a) for any calculation with respect to a Term Benchmark Advance denominated in Dollars,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(b) for any calculation with respect to an Base Rate Advance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provided that if Term SOFR as so determined shall ever be less than the Floor, then Term SOFR shall be deemed to be the Floor.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WEIL:\100513215\9\64058.0285 “Term SOFR Administrator” means CME Group Benchmark Administration Limited (CBA) (or a successor administrator of the Term SOFR Reference Rate selected by the Agent in its reasonable discretion). “Term SOFR Reference Rate” means the forward-looking term rate based on SOFR. “Termination Date” means the earlier of (a) June 25, 2030, subject to the extension thereof pursuant to Section 2.19 and (b) the date of termination in whole of the Commitments pursuant to Section 2.05 or 6.01; provided, however, that the Termination Date of any Lender that is a Non-Extending Lender to any requested extension pursuant to Section 2.19 shall be the Termination Date in effect immediately prior to the applicable Extension Date for all purposes of this Agreement. “Total Credit Exposure” means, as to any Lender at any time, the sum of the aggregate principal amount at such time of its outstanding Advances and the Unused Commitments of such Lender at such time. “Type” refers to the character of an Advance as a Base Rate Advance or a Term Benchmark Rate Advance. “Unadjusted Benchmark Replacement” means any applicable Benchmark Replacement excluding the related Benchmark Replacement Adjustment. “Unused Commitment” means, with respect to each Lender at any time, (a) such Lender’s Commitment at such time minus (b) the aggregate principal amount of all Advances (based in respect of any Advances denominated in a Committed Currency by reference to the Equivalent thereof in Dollars) made by such Lender (in its capacity as a Lender) and outstanding at such time. “U.S. Borrower” means any Borrower that is a U.S. Person.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“U.S. Person” means any Person that is a “United States person” as defined in Section 7701(a)(30) of the Code. “U.S. Tax Compliance Certificate” has the meaning assigned to such term in Section 2.14(g). “Voting Stock”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 “Withholding Agent” means any Loan Party and Citibank, as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WEIL:\100513215\9\64058.0285 SECTION 1.02. Computation of Time Periods. In this Agreement in the computation of periods of time from a specified date to a later specified date, the word “from” means “from and including” and the words “to” and “until” each mean “to but excluding”. SECTION 1.03. Accounting Terms. All accounting terms not specifically defined herein shall be construed in accordance with generally accepted accounting principles in the United States of America consistent with those applied in the preparation of the financial statements referred to in Section 4.01(e) (“GAAP”).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Debt or other liabilities of the Company or any Subsidiary thereof at “fair value”, as defined therein, (ii) without giving effect to any treatment of Debt in respect of convertible debt instruments under Accounting Standards Codification 470-20 (or any other Accounting Standards Codification or Financial Accounting Standard having a similar result or effect) to value any such Debt in a reduced or bifurcated manner as described therein, and such Debt shall at all times be valued at the full stated principal amount thereof and (iii) in a manner such that any obligations relating to a lease that was accounted for by a Person as an operating lease as of December 2, 2016 and any similar lease entered into after December 2, 2016 by such Person shall be accounted for as obligations relating to an operating lease and not as a capital lease. SECTION 1.04. Pro Forma Calculations. For the purpose of calculating Consolidated EBITDA for any period, if during such period the Company or any Subsidiary shall have made a material acquisition or material disposition (with materiality calculated in accordance with Article 11 of Regulation S-X under the Securities Act of 1933, as amended), Consolidated EBITDA shall be calculated giving pro forma effect (in accordance with Article 11 of Regulation S-X under the Securities Act of 1933, as amended) thereto as if such material acquisition or material disposition occurred on the first day of such period. SECTION 1.05.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SECTION 1.06. Additional Committed Currencies. (a) The Company may from time to time request that Advances be made in a currency other than those specifically listed in the definition of “Committed Currency;” provided that such requested currency is an Eligible Currency. In the case of any such request with respect to the making of any such Advances, such request shall be subject to the approval of the Agent and the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WEIL:\100513215\9\64058.0285 (b) Any such request shall be made to the Agent not later than 11:00 a.m., 20 Business Days prior to the date of the desired Borrowing (or such other time or date as may be agreed by the Agent in its sole discretion). The Agent shall promptly notify each Lender thereof. Each Lender shall notify the Agent, not later than 11:00 a.m., ten Business Days after receipt of such request whether it consents, in its sole discretion, to the making of Advances in such requested currency. (c) Any failure by a Lender to respond to such request within the time period specified in the preceding sentence shall be deemed to be a refusal by such Lender to permit Advances be made in such requested currency. If the Agent and all the Lenders consent to making Advances in such requested currency, and the Agent, such Lenders and the Company reasonably determine that an appropriate interest rate is available to be used for such requested currency, the Agent shall so notify the Company and (i) the Agent and such Lenders, with the consent of the Company (such consent not to be unreasonably withheld, conditioned or delayed), may amend this Agreement to the extent necessary to add the applicable rate for such currency, any applicable adjustment for such rate, the overnight rate for such currency and any other technical, administrative or operational changes (including with respect to the timing and frequency of determining rates and making payments of interest and other administrative matters) that the Agent and the Company decide may be appropriate to reflect the adoption and implementation of the applicable rate of such currency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the Benchmark Replacement exists, in such other manner of administration as the Agent decides (in consultation with the Company) is reasonably necessary in connection with the administration of this Agreement). Upon the effectiveness of such amendments, such currency shall thereupon be deemed for all purposes to be a Committed Currency hereunder. If the Agent shall fail to obtain consent to any request for an additional currency under this Section 1.06, the Agent shall promptly so notify the Company. SECTION 1.07. Rates. The Agent does not warrant or accept responsibility for, and shall not have any liability with respect to (a) the continuation of, administration of, submission of, calculation of or any other matter related to the Base Rate, the EURIBO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EURIBO Rate, the Term SOFR Reference Rate, Term SOFR or any other Benchmark prior to its discontinuance or unavailability, or (b) the effect, implementation or composition of any Conforming Changes. The Agent and its affiliates or other related entities may engage in transactions that affect the calculation of the Base Rate, the EURIBO Rate, the Term SOFR Reference Rate, Term SOFR, any alternative, successor or replacement rate (including any Benchmark Replacement) or any relevant adjustments thereto, in each case, in a manner adverse to the Borrowers. The Agent may select information sources or services in its reasonable discretion to ascertain the Base Rate, the EURIBO Rate, the Term SOFR Reference Rate, Term SOFR, or any other Benchmark, in each case pursuant to the terms of this Agreement, and shall have no liability to any Borrower, any Lender or any other person or entity for damages of any kind,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WEIL:\100513215\9\64058.0285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ARTICLE 2 AMOUNTS AND TERMS OF THE ADVANCES SECTION 2.01. The Advances. (a) Each Lender severally agrees, on the terms and conditions hereinafter set forth, to make Advances denominated in Dollars or any Committed Currency to any Borrower from time to time on any Business Day during the period from the Effective Date until the Termination Date applicable to such Lender in an amount (based in respect of any Advances to be denominated in a Committed Currency by reference to the Equivalent thereof in Dollars determined on the date of delivery of the applicable Notice of Revolving Borrowing) not to exceed such Lender’s Commitment. Each Borrowing shall be in an amount not less than the Borrowing Minimum or the Borrowing Multiple in excess thereof and shall consist of Advances of the same Type and in the same currency made on the same day by the Lenders ratably according to their respective Commitments. Within the limits of each Lender’s Commitment, any Borrower may borrow under this Section 2.01, prepay pursuant to Section 2.10 and reborrow under this Section 2.01. (b) On the Effective Date, (A) the aggregate principal amount of the advances outstanding under the Existing Credit Agreement (such advances, the “Existing Advances”) immediately prior to the Effective Date shall be deemed to be repaid, (B) each of the applicable Borrowers shall be deemed to have made new Borrowings (the “Effective Date Borrowings”) each in an aggregate principal amount equal to the aggregate principal amount of the Existing Advances of such Borrower and of the Types, in the currencies and for the Interest Periods specified in a Notice of Revolving Borrowing delivered in accordance with Section 2.02 prior to the Effective Date, (C) each Lender shall pay to the Agent in accordance with Section 2.02 an amount equal to the difference, if positive, between (x) such Lender’s Ratable Share of the Effective Date Borrowings and (y) the amount of such Existing Advances held by such Lender immediately prior to the Effective Date, if any, (D) after the Agent receives the funds specified in clause (C) above, the Agent shall pay to each Lender the portion of such funds that is equal to the difference, if positive, between (1) the amount of Existing Advances held by such Lender immediately prior to the Effective Date and (2) such Lender’s Ratable Share of the amount of the Effective Date Borrowings, (E) on and as of the Effective Date, after giving effect to the transactions in clauses (A)-(D), each Lender shall hold its Ratable Share of each Effective Date Borrowing and (F) the Borrowers shall pay each Lender any and all accrued but unpaid interest on the Existing Advances held by such Lender immediately prior to the Effective Date. The Lenders hereby waive the right to deemed compensation pursuant to Section 9.04(c) hereof in respect of any deemed payments made pursuant to clause (A) above. SECTION 2.02. Making the Advances. (a) Each Borrowing shall be made on notice, given not later than (i)(x) 11:00 A.M. (New York City time) on the third U.S. Government Securities Business Day prior (or the second Business Day prior for any Borrowing on the Effective Date) to the date of the proposed Borrowing in the case of a Borrowing consisting of Term Benchmark Rate Advances denominated in Dollars, (y) 1:00 P.M. (London time) 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WEIL:\100513215\9\64058.0285 fourth Business Day prior to the date of the proposed Borrowing in the case of a Borrowing consisting of Term Benchmark Rate Advances denominated in any Committed Currency or (ii) 12:00 noon (New York City time) on the date of the proposed Borrowing in the case of a Borrowing consisting of Base Rate Advances, by any Borrower to the Agent, which shall give to each Lender prompt notice thereof by telecopier. Each such notice of a Borrowing (a “Notice of Revolving Borrowing”) shall be in writing, via email or telecopier, in substantially the form of Exhibit B hereto, specifying therein the requested (i) date of such Borrowing, (ii) Type of Advances comprising such Borrowing, (iii) aggregate amount of such Borrowing, and (iv) in the case of a Borrowing consisting of Term Benchmark Rate Advances, the initial Interest Period and the currency for each such Advance. Each Lender shall, before 1:00 P.M. (New York City time) on the date of such Borrowing, in the case of a Borrowing consisting of Advances denominated in Dollars, and before 11:00 A.M. (London time) on the date of such Borrowing, in the case of a Borrowing consisting of Term Benchmark Rate Advances denominated in any Committed Currency, make available for the account of its Applicable Lending Office to the Agent at the applicable Agent’s Account, in same day funds, such Lender’s ratable portion of such Borrowing. After the Agent’s receipt of such funds and upon fulfillment of the applicable conditions set forth in Article III, the Agent will make such funds available to the Borrower requesting the Borrowing at the Agent’s address referred to in Section 9.02 or at the applicable Payment Office, as the case may be. (b) [RESERVED]. (c) Anything in subsection (a) above to the contrary notwithstanding, (i) the Borrowers may not select Term Benchmark Rate Advances for any Borrowing if the aggregate amount of such Borrowing is less than the Borrowing Minimum or if the obligation of the Lenders to make Term Benchmark Rate Advances shall then be suspended pursuant to Section 2.08 or 2.12, (ii) the Borrowers may not select a currency for any Borrowing if such currency is not then an Eligible Currency and (iii) the Term Benchmark Rate Advances may not be outstanding as part of more than six separate Borrowings. (d) Each Notice of Revolving Borrowing shall be irrevocable and binding on the Borrower requesting the Borrowing; provided, however, that any Notice of Revolving Borrowing may be conditioned on the occurrence of any event, in which case such notice may be revoked by the applicable Borrower (by notice delivered to the Agent on or prior to the date of the proposed Borrowing) if such condition is not satisfied (it being understood that any revocation of a Notice of Revolving Borrowing shall be subject to the provisions in the succeeding sentence). In the case of any Borrowing that the related Notice of Revolving Borrowing specifies is to be comprised of Term Benchmark Rate Advances, such Borrower shall indemnify each Lender against any loss, cost or expense incurred by such Lender as a result of any failure to fulfill on or before the date specified in such Notice of Revolving Borrowing for such Borrowing the applicable conditions set forth in the applicable Notice of Revolving Borrowing, if any, or Article III, including, without limitation, any loss (excluding any loss of profits), cost or expense incurred by reason of the liquidation or reemployment of deposits or other funds acquired by such Lender to fund the Advance to be made by such Lender as part of such Borrowing when such Advance, as a result of such failure, is not made on such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WEIL:\100513215\9\64058.0285 (e) Unless the Agent shall have received notice from a Lender prior to the time of any Borrowing that such Lender will not make available to the Agent such Lender’s ratable portion of such Borrowing, the Agent may assume that such Lender has made such portion available to the Agent on the date of such Borrowing in accordance with subsection (a) of this Section 2.02, and the Agent may, in reliance upon such assumption, make available to the Borrower requesting the Borrowing on such date a corresponding amount. If and to the extent that such Lender shall not have so made such ratable portion available to the Agent, such Lender and such Borrower severally agree to repay to the Agent forthwith on demand such corresponding amount together with interest thereon, for each day from the date such amount is made available to such Borrower until the date such amount is repaid to the Agent, at (i) in the case of such Borrower, the higher of the interest rate applicable at the time to the Advances comprising such Borrowing and the cost of funds incurred by the Agent in respect of such amount and (ii) in the case of such Lender, the higher of the Overnight Rate and the cost of funds incurred by the Agent in respect of such amount, plus any administrative, processing or similar fees customarily charged by the Agent in connection with the foregoing. If such Lender shall repay to the Agent such corresponding amount, such amount so repaid shall constitute such Lender’s Advance as part of such Borrowing for purposes of this Agreement. (f) Any Lender may, with notice to the Agent and the Company, fulfill its Commitment by causing another of its offices, branches or Affiliates to act as the Lender in respect of such Borrower. (g) 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 SECTION 2.03. [Reserved]. SECTION 2.04. Fees. (a) Commitment Fee. The Company agrees to pay or cause to be paid to the Agent for the account of each Lender a commitment fee from the Effective Date, in the case of each Lender party hereto on the Effective Date, and from the effective date specified in the Assumption Agreement or in the Assignment and Assumption pursuant to which it became a Lender in the case of each other Lender, until the Termination Date applicable to such Lender payable in arrears quarterly on the last day of each March, June, September and December, commencing September 30, 2025, and on the Termination Date applicable to such Lender at a rate per annum equal to the Applicable Percentage in effect from time to time on the aggregate amount of such Lender’s Unused Commitment during such quarter, provided that no Defaulting Lender shall be entitled to receive any commitment fee for any period during which that Lender is a Defaulting Lender (and the Company shall not be required to pay such fee that otherwise would have been required to have been paid to that Defaulting Lender). (b) Agent’s Fees. The Company shall pay to the Agent for its own account such fees as may from time to time be agreed between the Company and the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WEIL:\100513215\9\64058.0285 (c) Upfront Fees. The Company shall pay to the Agent, for the account of each of the Lenders, upfront fees in the amounts and at the times as agreed between the Company and the Agent and separately notified to the Lenders. SECTION 2.05. Termination or Reduction of the Commitments. (a) The Company shall have the right, upon at least two Business Days’ notice to the Agent, to terminate in whole or permanently reduce ratably in part the Unused Commitments of the Lenders; provided that each partial reduction (x) shall be in the minimum aggregate amount of $10,000,000 or an integral multiple of $1,000,000 in excess thereof and (y) shall be made ratably among the Lenders in accordance with their Commitments; provided further, that subject to Section 9.04(c), any notice of termination or reduction by the Company may be conditioned on the occurrence of any event, in which case such notice may be revoked by the Company (by notice delivered to the Agent on or prior to the date of the proposed termination or reduction) if such condition is not satisfied. (b) The Company shall have the right, at any time, upon at least three Business Days’ notice to a Defaulting Lender (with a copy to the Agent), to terminate in whole such Defaulting Lender’s Commitment under this Section 2.05(b), provided that the Borrowers will pay all principal of, and interest accrued to the date of such payment on, Advances owing to such Defaulting Lender and pay any accrued commitment fee payable to such Defaulting Lender pursuant to Section 2.04(a) and all other amounts payable to such Defaulting Lender hereunder (including but not limited to any increased costs, additional interest or other amounts owing under Section 2.11, any indemnification for taxes under Section 2.14, and any compensation payments due as provided in Section 9.04(c); and upon such payments, the obligations of such Defaulting Lender hereunder shall, by the provisions hereof, be released and discharged; provided, however, that (i) such Defaulting Lender’s rights under Sections 2.11, 2.14 and 9.04 and its obligations under Section 9.04 shall survive such release and discharge as to matters occurring prior to such date and (ii) no claim that the Borrowers may have against such Defaulting Lender arising out of such Defaulting Lender’s default hereunder shall be released or impaired in any way. The aggregate amount of the Commitments of the Lenders once reduced pursuant this Section 2.05(b) may not be reinstated; provided, further, however, that if pursuant to this Section 2.05(b), the Borrowers shall pay to a Defaulting Lender any principal of, or interest accrued on, the Advances owing to such Defaulting Lender, then the Borrowers shall either (x) confirm to the Agent that the conditions set forth in Section 3.03 are met on and as of such date of payment or (y) pay or cause to be paid a ratable payment of principal and interest to all Lenders who are not Defaulting Lenders. SECTION 2.06. Repayment of Advances. Each Borrower shall repay to the Agent for the ratable account of each Lender on the Termination Date applicable to such Lender the aggregate principal amount of the Advances made to it and then outstanding. SECTION 2.07. Interest on Advances. (a) Scheduled Interest. Each Borrower shall pay interest on the unpaid principal amount of each Advance made to it and owing to each Lender from the date of such Advance until such principal amount shall be paid in full, at the following rates per annum: (i) Base Rate Advances. During such periods as such Advance is a Base Rate Advance, a rate per annum equal at all times to the sum of (x) the Base Rate in effect from time to time plus (y) the Applicable Margin for Base Rate Advances in effect from time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WEIL:\100513215\9\64058.0285 time, payable in arrears quarterly on the last day of each March, June, September and December during such periods and on the date such Base Rate Advance shall be Converted or paid in full. (ii) Term Benchmark Rate Advances. During such periods as such Advance is a Term Benchmark Rate Advance, a rate per annum equal at all times during each Interest Period for such Advance to the sum of (x) the Term Benchmark Rate for such Interest Period for such Advance plus (y) the Applicable Margin for Term Benchmark Rate Advances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Term Benchmark Rate Advance shall be Converted or such Term Benchmark Rate Advance shall be paid in full. (b) Default Interest. Upon the occurrence and during the continuance of an Event of Default under Section 6.01(a), the Agent may, and upon the request of the Required Lenders shall, require the Borrowers to pay interest (“Default Interest”) on (i) the unpaid principal amount of each overdue Advance owing to each Lender, payable in arrears on the dates referred to in clause (a)(i) or (a)(ii) above, at a rate per annum equal at all times to 2.0% per annum above the rate per annum required to be paid on such Advance pursuant to clause (a)(i) or (a)(ii) 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2.0% per annum above the rate per annum required to be paid on Base Rate Advances pursuant to clause (a)(i) above; provided, however, that following acceleration of the Advances pursuant to Section 6.01, Default Interest shall accrue and be payable hereunder whether or not previously required by the Agent. SECTION 2.08. Interest Rate Determination. (a) The Agent shall give prompt notice to the Company and the Lenders of the applicable interest rate determined by the Agent for purposes of Section 2.07(a)(i) or (ii). (b) If, with respect to any Term Benchmark Rate Advances, the Agent determines, or the Required Lenders notify the Agent, that the Term Benchmark Rate for any Interest Period for such Advances (1) will not adequately reflect the cost to the Lenders of making, funding or maintaining their Term Benchmark Rate Advances for such Interest Period, (2) deposits in Dollars or the applicable Committed Currency are not being offered to banks in the applicable interbank market for the applicable amount and Interest Period of any applicable Term Benchmark Rate Advance or (3) adequate and reasonable means do not exist for determining the Term Benchmark Rate for any requested Interest Period with respect to a proposed Term Benchmark Rate Advance, the Agent shall forthwith so notify the applicable Borrower and the Lenders, whereupon (i) the Borrower of such Term Benchmark Rate Advances will, on the last day of the then existing Interest Period therefor, (A) if such Term Benchmark Rate Advances are denominated in Dollars, either (x) prepay such Advances or (y) Convert such Advances into Base Rate Advances and (B) if such Term Benchmark Rate Advances are denominated in any Committed Currency, either (x) prepay such Advances or (y) exchange such Advances into an Equivalent amount of Dollars and Convert such Advances into Base Rate Advances and (ii) the obligation of the Lenders to make, or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WEIL:\100513215\9\64058.0285 Convert Advances into, Term Benchmark Rate Advances shall be suspended until the Agent shall notify the Company and the Lenders that the circumstances causing such suspension no longer exist, in each case, subject to Section 9.04(c). (c) If any Borrower shall fail to select the duration of any Interest Period for any Term Benchmark Rate Advances in accordance with the provisions contained in the definition of “Interest Period” in Section 1.01, the Agent will forthwith so notify such Borrower and the Lenders and such Advances will automatically, on the last day of the then existing Interest Period therefor, (i) if such Term Benchmark Rate Advances are denominated in Dollars, Convert into Base Rate Advances and (ii) if such Term Benchmark Rate Advances are denominated in a Committed Currency, be exchanged for an Equivalent amount of Dollars and Convert into Base Rate Advances. (d) On the date on which the aggregate unpaid principal amount of Term Benchmark Rate Advances comprising any Borrowing shall be reduced, by payment or prepayment or otherwise, to less than the Borrowing Minimum, such Advances shall automatically (i) if such Term Benchmark Rate Advances are denominated in Dollars, Convert into Base Rate Advances and (ii) if such Term Benchmark Rate Advances are denominated in a Committed Currency, be exchanged for an Equivalent amount of Dollars and Convert into Base Rate Advances. (e) Upon the occurrence and during the continuance of any Event of Default, (i) each Term Benchmark Rate Advance will automatically, on the last day of the then existing Interest Period therefor, (A) if such Term Benchmark Rate Advances are denominated in Dollars, be Converted into Base Rate Advances and (B) if such Term Benchmark Rate Advances are denominated in any Committed Currency, be exchanged for an Equivalent amount of Dollars and be Converted into Base Rate Advances and (ii) the obligation of the Lenders to make, or to Convert Advances into, Term Benchmark Rate Advances shall be suspended. (f) If any Benchmark is unavailable, subject to Section 2.23 below, (i) the Agent shall forthwith notify the Borrowers and the Lenders that the interest rate cannot be determined for the applicable Term Benchmark Rate Advances, (ii) each such Term Benchmark Rate Advance will automatically, on the last day of the then existing Interest Period therefor (i) if such Term Benchmark Rate Advances are denominated in Dollars, Convert into Base Rate Advances and (ii) if such Term Benchmark Rate Advances are denominated in a Committed Currency, be exchanged for an Equivalent amount of Dollars and Convert into Base Rate Advances, and (iii) the obligation of the Lenders to make Term Benchmark Rate Advances or to Convert Advances into Term Benchmark Rate Advances shall be suspended until the Agent shall notify the Company and the Lenders that the circumstances causing such suspension no longer exist. (g) If any Borrower shall request an Interest Period of other than one, three or six months and such Interest Period is approved by the Lenders in accordance with clause (c) of the definition of Interest Period, the Term Benchmark Rate Advances subject to such request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WEIL:\100513215\9\64058.0285 bear interest at the rate per annum equal to the rate determined by the Agent (which determination shall be conclusive and binding absent manifest error) and, in the case of Advances denominated in Euro, which shall be equal to the rate that results from interpolating on a linear basis between (a) the rate on the applicable Bloomberg screen (for the longest period for which such Bloomberg screen rate is available for Euro), that is shorter than such Interest Period and (b) the rate on the applicable Bloomberg screen for the shortest period (for which such Bloomberg screen rate is available for Euro) that exceeds such Interest Period, in each case, at approximately 11:00 A.M. (London time) two Business Days prior to the first day of such Interest Period. When determining the rate for a period which is less than the shortest period for which the applicable Bloomberg screen rate is available, the applicable Bloomberg screen rate for purposes of clause (a) above shall be deemed to be the Overnight Rate. (h) Term SOFR Conforming Changes. In connection with the use or administration of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Agent will promptly notify the Company and the Lenders of the effectiveness of any Conforming Changes in connection with the use or administration of Term SOFR. SECTION 2.09. Optional Conversion of Advances. The Borrower of any Advance may on any Business Day, upon notice given to the Agent not later than 11:00 A.M. (New York City time) on the third U.S. Government Securities Business Day prior to the date of the proposed Conversion and subject to the provisions of Sections 2.08 and 2.12, Convert all Advances denominated in Dollars of one Type comprising the same Borrowing into Advances denominated in Dollars of the other Type; provided, however, that (1) any Conversion of Term Benchmark Rate Advances into Base Rate Advances shall be made only on the last day of an Interest Period for such Term Benchmark Rate Advances, (2) any Conversion of Base Rate Advances into Term Benchmark Rate Advances shall be in an amount not less than the minimum amount specified in Section 2.02(c), (3) no Conversion of any Advances shall result in more separate Borrowings than permitted under Section 2.02(c) and (4) each Conversion of Advances comprising part of the same Borrowing shall be made ratably among the Lenders with Advances comprising such Borrowing. Each such notice of a Conversion shall, within the restrictions specified above, specify (i) the date of such Conversion, (ii) the Dollar denominated Advances to be Converted, and (iii) if such Conversion is into Term Benchmark Rate Advances, the duration of the initial Interest Period for each such Advance. Each notice of Conversion shall be irrevocable and binding on the Borrower giving such notice. SECTION 2.10. Prepayments of Advances. (a) Optional. Each Borrower may, upon notice of (x) at least two U.S. Government Securities Business Days prior to the date of such prepayment, in the case of Term Benchmark Rate Advances denominated in Dollars, (y) two Business Days prior to the date of such prepayment, in the case of Term Benchmark Rate Advances denominated in Euro and (z) on the date of such prepayment, in the case of Base Rate Advances, in each case, not later than 11:00 A.M. (New York City time) to the Agent stating the proposed date and aggregate principal amount of the prepayment, and if such notice is given such Borrower shall, prepay the outstanding principal amount of the Advances comprising part of the same Borrowing in whole or ratably in part, together with accrued interest to the date of such prepayment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WEIL:\100513215\9\64058.0285 on the principal amount prepaid; provided, however, that (i) each partial prepayment of Advances shall be in an aggregate principal amount of not less than the Borrowing Minimum or a Borrowing Multiple in excess thereof and (ii) in the event of any such prepayment of a Term Benchmark Rate Advance, such Borrower shall be obligated to reimburse the Lenders in respect thereof pursuant to Section 9.04(c) for any such prepayment other than on the last day of the Interest Period for such Advance; provided, further, that, if a notice of prepayment is given in connection with a conditional notice of termination of Commitments as contemplated by Section 2.05(a), then such notice of prepayment may be revoked if such notice of termination is revoked in accordance with Section 2.05(a) and the Company shall remain liable for any amounts in respect of such proposed prepayment pursuant to Section 9.04(c). (b) Mandatory. (i) If, on any date, the Agent notifies the Company that, on any applicable interest payment date, the sum of the aggregate principal amount of all Advances then outstanding (in each case determined as the Equivalent in Dollars (determined on the third Business Day prior to such interest payment date) of the aggregate principal amount of all Advances denominated in Committed Currencies) then outstanding exceeds 103% of the aggregate Commitments of the Lenders on such date, the Borrowers shall, as soon as practicable and in any event within two Business Days after receipt of such notice, prepay the outstanding principal amount of any Advances owing by the Borrowers in an aggregate amount sufficient to reduce such sum to an amount not to exceed 100% of the aggregate Commitments of the Lenders on such date. (ii) (ii)Each prepayment made pursuant to this Section 2.10(b) shall be made together with any interest accrued to the date of such prepayment on the principal amounts prepaid and, in the case of any prepayment of a Term Benchmark Rate Advance on a date other than the last day of an Interest Period or at its maturity, any additional amounts which the applicable Borrower shall be obligated to reimburse to the Lenders in respect thereof pursuant to Section 9.04(c). The Agent shall give prompt notice of any prepayment required under this Section 2.10(b) to the Company and the Lenders. SECTION 2.11. Increased Costs. (a) Increased Costs Generally. If any Change in Law shall: (i) impose, modify or deem applicable any reserve, special deposit, compulsory loan, insurance charge or similar requirement against assets of, deposits with or for the account of, or credit extended or participated in by, any Lender (except any reserve requirement reflected in the Term Benchmark Rate); (ii)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 (iii) impose on any Lender or any applicable interbank market any other condition, cost or expense (other than Taxes) affecting this Agreement or Advances made by such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WEIL:\100513215\9\64058.0285 and the result of any of the foregoing shall be to increase the cost to such Lender or such other Recipient of making, converting to, continuing or maintaining any Advance or of maintaining its obligation to make any such Advance, or to reduce the amount of any sum received or receivable by such Lender or other Recipient hereunder (whether of principal, interest or any other amount) then, upon written request of such Lender or other Recipient, the Borrowers will pay to such Lender or other Recipient, as the case may be, such additional amount or amounts as will compensate such Lender or other Recipient, as the case may be, for such additional costs incurred or reduction suffered. (b) Capital Requirements. If any Lender reasonably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Advances made by such Lender, to a level below that which such Lender or such Lender’s holding company could have achieved but for such Change in Law (taking into consideration such Lender’s and the policies of such Lender’s holding company with respect to capital adequacy and liquidity), then from time to time the Borrowers will pay to such Lender such additional amount or amounts as will compensate such Lender or such Lender’s holding company for any such reduction suffered. (c) Certificates for Reimbursement. A certificate of a Lender or other Recipient setting forth the amount or amounts necessary to compensate such Lender or its holding company, as the case may be, and demonstrating in reasonable detail the calculations used, as specified in paragraph (a) or (b) of this Section and delivered to the Borrowers, shall be conclusive absent manifest error. In preparation of any certificate by a Lender or other Recipient under this subsection (c), such Person shall not be required to disclose any information that such Person reasonably deems to be confidential or proprietary. The Borrowers shall pay such Lender or Recipient, as the case may be, the amount shown as due on any such certificate within 10 days after receipt thereof. (d) Delay in Requests. Failure or delay on the part of any Lender or other Recipient to demand compensation pursuant to this Section shall not constitute a waiver of such Lender’s or other Recipient’s right to demand such compensation; provided that the Borrowers shall not be required to compensate a Lender or other Recipient pursuant to this Section for any increased costs incurred or reductions suffered more than 180 days prior to the date that such Lender or other Recipient, as the case may be, notifies the Borrowers of the Change in Law giving rise to such increased costs or reductions, and of such Lender’s or other Recipient’s intention to claim compensation therefor (except that, if the Change in Law giving rise to such increased costs or reductions is retroactive, then the 180-day period referred to above shall be extended to include the period of retroactive effect thereof). (e) Notwithstanding any other provision of this Section 2.11, no Lender shall demand compensation for any increased cost or reduction pursuant to this Section 2.11 if it shall not at the time be the general policy or practice of such Lender to demand such compensation in similar circumstances under comparable provisions of other credit agreements with similarly situated borrowers.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WEIL:\100513215\9\64058.0285 SECTION 2.12. Illegality.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Applicable Lending Office to perform its obligations hereunder to make Term Benchmark Rate Advances in Dollars or any Committed Currency or to fund or maintain Term Benchmark Rate Advances in Dollars or any Committed Currency hereunder, (a) each Term Benchmark Rate Advance will automatically, upon such demand (i) if such Term Benchmark Rate Advance is denominated in Dollars, be Converted into a Base Rate Advance and (ii) if such Term Benchmark Rate Advance is denominated in any Committed Currency, be exchanged into an Equivalent amount of Dollars and be Converted into a Base Rate Advance and (b) the obligation of the Lenders to make Term Benchmark Rate Advances or to Convert Advances into Term Benchmark Rate Advances shall be suspended until the Agent shall notify the Company and the Lenders that the circumstances causing such suspension no longer exist; provided, however, that before making any such demand, each Lender agrees to use reasonable efforts (consistent with its internal policy and legal and regulatory restrictions) to designate a different Applicable Lending Office if the making of such a designation would allow such Lender or its Applicable Lending Office to continue to perform its obligations to make Term Benchmark Rate Advances or to continue to fund or maintain Term Benchmark Rate Advances and would not, in the judgment of such Lender, be otherwise disadvantageous to such Lender. SECTION 2.13. Payments and Computations. (a) Each Borrower shall make each payment hereunder (except with respect to principal of, interest on, and other amounts relating to, Advances denominated in a Committed Currency), irrespective of any right of counterclaim or set- off, not later than 11:00 A.M. (New York City time) on the day when due in Dollars to the Agent at the applicable Agent’s Account in same day funds. Each Borrower shall make each payment hereunder with respect to principal of, interest on, and other amounts relating to, Advances denominated in a Committed Currency, irrespective of any right of counterclaim or set-off, not later than 11:00 A.M. (at the Payment Office for such Committed Currency) on the day when due in such Committed Currency to the Agent, by deposit of such funds to the applicable Agent’s Account in same day funds. The Agent will promptly thereafter cause to be distributed like funds relating to the payment of principal or interest or fees ratably (other than amounts payable pursuant to Section 2.11, 2.14 or 9.04(c)) to the applicable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any Assuming Lender becoming a Lender hereunder as a result of a Commitment Increase pursuant to Section 2.18 or any Additional Commitment Lender becoming a Lender hereunder as a result of an extension of the Commitments pursuant to Section 2.19 and upon the Agent’s receipt of such Lender’s Assumption Agreement and recording of the information contained therein in the Register, from and after the applicable Increase Date or Extension Date, the Agent shall make all payments hereunder and under any Notes issued in connection therewith in respect of the interest assumed thereby to the Assuming Lender. Upon its acceptance of an Assignment and Assumption and recording of the information contained therein in the Register pursuant to Section 9.07(c), from and after the effective date specified in such Assignment and Assumption, the Agent shall make all payments hereunder and under the Notes in respect of the interest assigned thereby to the Lender assignee thereunder,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WEIL:\100513215\9\64058.0285 the parties to such Assignment and Assumption shall make all appropriate adjustments in such payments for periods prior to such effective date directly between themselves. (b) All computations of interest based on clause (a) of the definition of Base Rate shall be made by the Agent on the basis of a year of 365 or 366 days, as the case may be, and all other computations of interest and of fees shall be made by the Agent on the basis of a year of 360 days (or, in each case of Advances denominated in Committed Currencies where market practice differs, in accordance with market practice), in each case for the actual number of days (including the first day but excluding the last day) occurring in the period for which such interest or fees are payable. Each determination by the Agent of an interest rate hereunder shall be conclusive and binding for all purposes, absent manifest error. (c) Whenever any payment hereunder or under the Notes shall be stated to be due on a day other than a Business Day, such payment shall be made on the next succeeding Business Day, and such extension of time shall in such case be included in the computation of payment of interest or fee, as the case may be; provided, however, that, if such extension would cause payment of interest on or principal of Term Benchmark Rate Advances to be made in the next following calendar month, such payment shall be made on the next preceding Business Day. (d) Unless the Agent shall have received notice from any Borrower prior to the date on which any payment is due to the Lenders hereunder that such Borrower will not make such payment in full, the Agent may assume that such Borrower has made such payment in full to the Agent on such date and the Agent may, in reliance upon such assumption, cause to be distributed to each Lender on such due date an amount equal to the amount then due such Lender. If and to the extent such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higher of the Overnight Rate and the cost of funds incurred by the Agent in respect of such amount, plus any administrative, processing or similar fees customarily charge by the Agent in connection with the foregoing. (e) To the extent that the Agent receives funds for application to the amounts owing by any Borrower under or in respect of this Agreement or any Note in currencies other than the currency or currencies required to enable the Agent to distribute funds to the applicable Lenders in accordance with the terms of this Section 2.13, the Agent shall be entitled to convert or exchange such funds into from one currency into another currency to the extent necessary to enable the Agent to distribute such funds in accordance with the terms of this Section 2.13; provided that each Borrower and each of the Lenders hereby agree that the Agent shall not be liable or responsible for any loss, cost or expense suffered by such Borrower or such Lender as a result of any conversion or exchange of currencies affected pursuant to this Section 2.13(e) or as a result of the failure of the Agent to effect any such conversion or exchange; and provided further that the Borrowers agree to indemnify the Agent and each Lender, and hold the Agent and each Lender harmless, for any and all losses, costs and expenses incurred by the Agent or any Lender for any conversion or exchange of currencies (or the failure to convert or exchange any currencies) in accordance with this Section 2.13(e). SECTION 2.14. Taxes. (a)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WEIL:\100513215\9\64058.0285 (b) Payments Free of Taxes.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(c) Payment of Other Taxes by Borrowers. The Loan Parties shall timely pay to the relevant Governmental Authority in accordance with applicable law, or at the option of the Agent timely reimburse it for the payment of, any Other Taxes. (d) Indemnification by Borrowers.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Agent), or by the Agent on its own behalf or on behalf of a Lender, shall be conclusive absent manifest error. (e) Indemnification by the Lenders. Each Lender shall severally indemnify the Agent, within 10 days after demand therefor, for (i) any Indemnified Taxes attributable to such Lender (but only to the extent that any Loan Party has not already indemnified the Agent for such Indemnified Taxes and without limiting the obligation of the Loan Parties to do so), (ii) any Taxes attributable to such Lender’s failure to comply with the provisions of Section 9.07(d) 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(e). (f) Evidence of Payments. As soon as practicable after any payment of Taxes by any Loan Party to a Governmental Authority pursuant to this Section 2.14, such Loan Party shall deliver to the Agent the original or a certified copy of a receipt issued by such Governmental Authority evidencing such payment, a copy of the return reporting such payment or other evidence of such payment reasonably satisfactory to the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WEIL:\100513215\9\64058.0285 (g) Status of Lenders. (i) Any Lender that is entitled to an exemption from or reduction of withholding Tax with respect to payments made under any Loan Document shall deliver to the Company and the Agent, at the time or times reasonably requested by the Company or the Agent, such properly completed and executed documentation reasonably requested by the Company or the Agent as will permit such payments to be made without withholding or at a reduced rate of withholding. In addition, any Lender, if reasonably requested by the Company or the Agent, shall deliver such other documentation prescribed by applicable law or reasonably requested by the Company or the Agent as will enable the Company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2.14(g)(ii)(A) and (ii)(B) below)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in the event that any Borrower is a U.S. Borrower, (A) any Lender that is a U.S. Person shall deliver to the Company and the Agent on or prior to the date on which such Lender becomes a Lender under this Agreement (and from time to time thereafter upon the reasonable request of the Company or the Agent), executed copies of IRS Form W-9 certifying that such Lender is exempt from U.S. federal backup withholding tax; (B) any Foreign Lender shall, to the extent it is legally entitled to do so, deliver to the Company and the Agent (in such number of copies as shall be requested by the recipient) on or prior to the date on which such Foreign Lender becomes a Lender under this Agreement (and from time to time thereafter upon the reasonable request of the Company or the Agent), whichever of the following is applicable: (1) 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W- 8BEN-E, as applicable, establishing an exemption from, or reduction of, U.S. federal withholding Tax pursuant to the “business profits” or “other income” article of such tax treaty; (2) executed copies of IRS Form W-8ECI;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WEIL:\100513215\9\64058.0285 (3) 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Company within the meaning of Section 881(c)(3)(B) of the Code, or a “controlled foreign corporation” described in Section 881(c)(3)(C) of the Code (a “U.S. Tax Compliance Certificate”) and (y) executed copies of IRS Form W-8BEN or W-8BEN-E, as applicable; or (iii) to the extent a Foreign Lender is not the beneficial owner, as determined under U.S. federal income tax principles, executed copies of IRS Form W-8IMY, accompanied by IRS Form W-8ECI, IRS Form W-8BEN or W-8BEN-E, as applicable, a U.S. Tax Compliance Certificate substantially in the form of Exhibit E-2 or Exhibit E-3,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 (A) any Foreign Lender shall, to the extent it is legally entitled to do so, deliver to the Company and the Agent (in such number of copies as shall be requested by the recipient) on or prior to the date on which such Foreign Lender becomes a Lender under this Agreement (and from time to time thereafter upon the reasonable request of the Company or the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Agent to determine the withholding or deduction required to be made; and (B)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Agent at the time or times prescribed by law and at such time or times reasonably requested by the Company or the Agent such documentation prescribed by applicable law (including as prescribed by Section 1471(b)(3)(C)(i) of the Code) and such additional documentation reasonably requested by the Company or the Agent as may be necessary for the Company and the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WEIL:\100513215\9\64058.0285 Each Lender agrees that if any form or certification it previously delivered expires or becomes obsolete or inaccurate in any respect, it shall update such form or certification or promptly notify the Company and the Agent in writing of its legal inability to do so. (h) Treatment of Certain Refunds. If any party determines, in its sole discretion exercised in good faith, that it has received a refund of any Taxes as to which it has been indemnified pursuant to this Section 2.14 (including by the payment of additional amounts pursuant to this Section 2.14),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 SECTION 2.15. Sharing of Payments, Etc. If any Lender shall, by exercising any right of setoff or counterclaim or otherwise, obtain payment in respect of any principal of or interest on any of its Advances or other obligations hereunder resulting in such Lender receiving payment of a proportion of the aggregate amount of its Advances and accrued interest thereon or other such obligations greater than its pro rata share thereof as provided herein, then the Lender receiving such greater proportion shall (a) notify the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provided that (a) any excess payment received by any Lender shall be shared on a pro rata basis with the other Lenders;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any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WEIL:\100513215\9\64058.0285 other than to the Company or any Subsidiary thereof (as to which the provisions of this paragraph shall apply). 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SECTION 2.16. Evidence of Debt. (a) Each Lender shall maintain in accordance with its usual practice an account or accounts evidencing the indebtedness of each Borrower to such Lender resulting from each Advance owing to such Lender from time to time, including the amounts of principal and interest payable and paid to such Lender from time to time hereunder in respect of Advances. Each Borrower agrees that upon notice by any Lender to such Borrower (with a copy of such notice to the Agent) to the effect that a Note is required or appropriate in order for such Lender to evidence (whether for purposes of pledge, enforcement or otherwise) the Advances owing to, or to be made by, such Lender, such Borrower shall promptly execute and deliver to such Lender a Note payable to such Lender in a principal amount up to the Commitment of such Lender. (b) The Register maintained by the Agent pursuant to Section 9.07(c) shall include a control account, and a subsidiary account for each Lender, in which accounts (taken together) shall be recorded (i) the date and amount of each Borrowing made hereunder, the Type of Advances comprising such Borrowing and, if appropriate, the Interest Period applicable thereto, (ii) the terms of each Assumption Agreement and each Assignment and Assumption delivered to and accepted by it, (iii) the amount of any principal or interest due and payable or to become due and payable from each Borrower to each Lender hereunder and (iv) the amount of any sum received by the Agent from such Borrower hereunder and each applicable Lender’s share thereof. (c) Entries made in good faith by the Agent in the Register pursuant to subsection (b) above, and by each Lender in its account or accounts pursuant to subsection (a) above, shall be prima facie evidence of the amount of principal and interest due and payable or to become due and payable from each Borrower to, in the case of the Register, each Lender and, in the case of such account or accounts, such Lender, under this Agreement, absent manifest error; provided, however, that the failure of the Agent or such Lender to make an entry, or any finding that an entry is incorrect, in the Register or such account or accounts shall not limit or otherwise affect the obligations of any Borrower under this Agreement. SECTION 2.17. Use of Proceeds. The proceeds of the Advances shall be available (and each Borrower agrees that it shall use such proceeds) solely for general corporate purposes of the Company and its Subsidiaries. SECTION 2.18. Increase in the Aggregate Commitments. (a) The Company may, at any time but in any event not more than once in any calendar year prior to the Termination Date, by notice to the Agent, request that the aggregate amount of Commitments be increased by an amount of $10,000,000 or an integral multiple of $1,000,000 in excess thereof (each a “Commitment Increase”) to be effective as of a date that is at least 90 days prior to the scheduled Termination Date then in effect (the “Increase Date”) as specified in the related notice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WEIL:\100513215\9\64058.0285 Agent; provided, however that (i) in no event shall the aggregate amount of the Commitments at any time exceed $2,500,000,000 and (ii) on the date of any request by the Company for a Commitment Increase and on the related Increase Date the applicable conditions set forth in Section 3.03 shall be satisfied. (b) The Agent shall promptly notify the Lenders of a request by the Company for a Commitment Increase, which notice shall include (i) the proposed amount of such requested Commitment Increase, (ii) the proposed Increase Date and (iii) the date by which Lenders wishing to participate in the Commitment Increase must commit to an increase in the amount of their respective Commitments (the “Commitment Date”). Each Lender that is willing to participate in such requested Commitment Increase (each an “Increasing Lender”) shall, in its sole discretion, give written notice to the Agent on or prior to the Commitment Date of the amount by which it is willing to increase its Commitment. If the Lenders notify the Agent that they are willing to increase the amount of their respective Commitments by an aggregate amount that exceeds the amount of the requested Commitment Increase, the requested Commitment Increase shall be allocated among the Lenders willing to participate therein in such amounts as are agreed between the Company and the Agent. (c) Promptly following each Commitment Date, the Agent shall notify the Company as to the amount, if any, by which the Lenders are willing to participate in the requested Commitment Increase. If the aggregate amount by which the Lenders are willing to participate in any requested Commitment Increase on any such Commitment Date is less than the requested Commitment Increase, then the Company may extend offers to one or more Eligible Assignees to participate in any portion of the requested Commitment Increase that has not been committed to by the Lenders as of the applicable Commitment Date; provided, however, that the Commitment of each such Eligible Assignee shall be in an amount of $10,000,000 or more. (d) On each Increase Date, each Eligible Assignee that accepts an offer to participate in a requested Commitment Increase in accordance with Section 2.18(b) (each such Eligible Assignee, an “Assuming Lender”) shall become a Lender party to this Agreement as of such Increase Date and the Commitment of each Increasing Lender for such requested Commitment Increase shall be so increased by such amount (or by the amount allocated to such Lender pursuant to the last sentence of Section 2.18(b)) as of such Increase Date; provided, however, that the Agent shall have received on or before such Increase Date the following, each dated such date: (i) (i)(A) certified copies of resolutions of the Board of Directors of the Company or the Executive Committee of such Board approving the Commitment Increase and the corresponding modifications to this Agreement and (B) an opinion of counsel for the Loan Parties (which may be in-house counsel), in a form reasonably satisfactory to the Agent; (ii) an assumption agreement from each Assuming Lender, if any, in form and substance reasonably satisfactory to the Company and the Agent (each an “Assumption Agreement”), duly executed by such Eligible Assignee, the Agent and the Company; and (iii) confirmation from each Increasing Lender of the increase in the amount of its Commitment in a writing reasonably satisfactory to the Company and the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WEIL:\100513215\9\64058.0285 On each Increase Date, upon fulfillment of the conditions set forth in Section 3.03 and in the immediately preceding sentence of this Section 2.18(d), the Agent shall notify the Lenders (including, without limitation, each Assuming Lender) and the Company, on or before 1:00 P.M. (New York City time), by telecopier, of the occurrence of the Commitment Increase to be effected on such Increase Date and shall record in the Register the relevant information with respect to each Increasing Lender and each Assuming Lender on such date. Each Increasing Lender and each Assuming Lender shall, before 2:00 P.M. (New York City time) on the Increase Date, purchase at par that portion of outstanding Advances of the other Lenders or take such other actions as the Agent may determine to be necessary to cause the Advances to be funded and held on a pro rata basis by the Lenders in accordance with their Ratable Shares. SECTION 2.19. Extension of Termination Date. (a) Requests for Extension. The Company may, by notice to the Agent (who shall promptly notify the Lenders) not earlier than 60 days and not later than 30 days prior to any anniversary of the Effective Date (the “Extension Date”), request that each Lender extend such Lender’s Termination Date for an additional one year from the Termination Date; provided, however that on the date of any request by the Company for an extension of the Termination Date and on the related Extension Date the applicable conditions set forth in Section 3.03 shall be satisfied; provided, further, that the Company may make no more than two requests to extend the Termination Date pursuant to this Section 2.19(a). (b) Lender Elections to Extend. Each Lender, acting in its sole and individual discretion, shall, by written notice to the Agent given not later than 15 days later than the date of its receipt of such request (the “Notice Date”), advise the Agent whether or not such Lender agrees to such extension (and each Lender that determines not to so extend its Termination Date (a “Non- Extending Lender”) shall notify the Agent of such fact promptly after such determination (but in any event no later than the Notice Date) and any Lender that does not so advise the Agent on or before the Notice Date shall be deemed to be a Non-Extending Lender. The election of any Lender to agree to such extension shall not obligate any other Lender to so agree. (c) Notification by Agent. The Agent shall notify the Company of each Lender’s determination under Section 2.19(b) within three Business Days after the Notice Date. (d) Additional Commitment Lenders. The Company shall have the right on or before the Extension Date to replace each Non-Extending Lender with, and add as “Lenders” under this Agreement in place thereof, one or more Eligible Assignees (each, an “Additional Commitment Lender”) with the approval of the Agent (which approval shall not be unreasonably withheld), each of which Additional Commitment Lenders shall have entered into an Assumption Agreement pursuant to which such Additional Commitment Lender shall, effective as of the Extension Date, undertake a Commitment (and, if any such Additional Commitment Lender is already a Lender, its Commitment shall be in addition to such Lender’s existing Commitment hereunder on such date). (e) Minimum Extension Requirement. If (and only if) the total of the Commitments of the Lenders that have agreed so to extend their Termination Date and the additional Commitments of the Additional Commitment Lenders shall be more than 50% of the aggregate amount of the Commitments in effect immediately prior to the Extension Date, then, effective as of the Extension Date, the Termination Date of each Extending Lender and of each Additional Commitment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WEIL:\100513215\9\64058.0285 shall be extended to the date falling one year after the existing Termination Date (except that, if such date is not a Business Day, such Termination Date as so extended shall be the next preceding Business Day) and each Additional Commitment Lender shall thereupon become a “Lender” for all purposes of this Agreement. SECTION 2.20. Defaulting Lenders. (a) If a Lender becomes, and during the period it remains, a Defaulting Lender, any amount paid by the Borrowers or otherwise received by the Agent for the account of a Defaulting Lender under this Agreement (whether on account of principal, interest, fees, indemnity payments or other amounts) will not be paid or distributed to such Defaulting Lender, but will instead be retained by the Agent in a segregated non-interest bearing account until (subject to Section 2.20(c)) the termination of the Commitments and payment in full of all obligations of the Borrowers hereunder and will be applied by the Agent, to the fullest extent permitted by law, to the making of payments from time to time in the following order of priority: first to the payment of any amounts owing by such Defaulting Lender to the Agent under this Agreement, second to the payment of post-default interest and then current interest due and payable to the Lenders hereunder other than Defaulting Lenders, ratably among them in accordance with the amounts of such interest then due and payable to them, third to the payment of fees then due and payable to the Non-Defaulting Lenders hereunder, ratably among them in accordance with the amounts of such fees then due and payable to them, fourth to pay principal then due and payable to the Non-Defaulting Lenders hereunder ratably in accordance with the amounts thereof then due and payable to them, fifth to the ratable payment of other amounts then due and payable to the Non-Defaulting Lenders, and sixth after the termination of the Commitments and payment in full of all obligations of the Borrowers hereunder, to pay amounts owing under this Agreement to such Defaulting Lender or as a court of competent jurisdiction may otherwise direct. Any payments, prepayments or other amounts paid or payable to a Defaulting Lender that are applied (or held) to pay amounts owed by a Defaulting Lender or to post cash collateral pursuant to this Section 2.20 shall be deemed paid to and redirected by such Defaulting Lender, and each Lender irrevocably consents hereto. (b) No Commitment of any Lender shall be increased or otherwise affected, and, except as otherwise expressly provided in this Section 2.20, performance by any Loan Party of its obligations shall not be excused or otherwise modified as a result of the operation of this Section 2.20. The rights and remedies against a Defaulting Lender under this Section 2.20 are in addition to any other rights and remedies which the Company, any other Borrower, the Agent or any Lender may have against such Defaulting Lender. (c) If the Company and the Agent agree in writing in their reasonable determination that a Defaulting Lender should no longer be deemed to be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Agent may determine to be necessary to cause the Advances to be funded and held on a pro rata basis by the Lenders in accordance with their Ratable Shares, whereupon such Lender will cease to be a Defaulting Lender; provided that no adjustments will be made retroactively with respect to fees accrued or payments made by or on behalf of the Borrowers while that Lender was a Defaulting Lender; and provided, further, that except to the extent otherwise expressly agreed by the affected parties,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WEIL:\100513215\9\64058.0285 change hereunder from Defaulting Lender to Lender will constitute a waiver or release of any claim of any party hereunder arising from such Lender’s having been a Defaulting Lender. SECTION 2.21. Mitigation Obligations; Replacement of Lenders. (a) Designation of a Different Lending Office. If any Lender requests compensation under Section 2.11, or requires a Borrower to pay any Indemnified Taxes or additional amounts to any Lender or any Governmental Authority for the account of any Lender pursuant to Section 2.14, then such Lender shall (at the request of the Company) use reasonable efforts to designate a different Applicable Lending Office for funding or booking its Advances hereunder or to assign its rights and obligations hereunder to another of its offices, branches or affiliates, if, in the reasonable judgment of such Lender, such designation or assignment (i) would eliminate or reduce amounts payable pursuant to Section 2.11 or 2.14, as the case may be, in the future, and (ii) would not subject such Lender to any unreimbursed cost or expense and would not otherwise be disadvantageous to such Lender. The Company hereby agrees to pay all reasonable and documented costs and expenses incurred by any Lender in connection with any such designation or assignment. (b) Replacement of Lenders. If any Lender requests compensation under Section 2.11, or if a Borrower is required to pay any Indemnified Taxes or additional amounts to any Lender or any Governmental Authority for the account of any Lender pursuant to Section 2.14 and, in each case, such Lender has declined or is unable to designate a different Applicable Lending Office in accordance with Section 2.21(a), or if any Lender is a Defaulting Lender or a Non-Consenting Lender, then the Company may, at its sole expense and effort, upon notice to such Lender and the Agent, require such Lender to assign and delegate, without recourse (in accordance with and subject to the restrictions contained in, and consents required by, Section 9.07), all of its interests, rights (other than its existing rights to payments pursuant to Section 2.11 or Section 2.14) and obligations under this Agreement and the related Loan Documents to an Eligible Assignee that shall assume such obligations (which assignee may be another Lender, if a Lender accepts such assignment); provided that: (i) the Company or the assignee assuming such obligations shall have paid to the Agent the assignment fee (if any) specified in Section 9.07; (ii) such Lender shall have received payment of an amount equal to the outstanding principal of its Advances, accrued interest thereon, accrued fees and all other amounts payable to it hereunder and under the other Loan Documents (including any amounts under Section 9.04(c)) from the assignee (to the extent of such outstanding principal and accrued interest and fees) or the Borrowers (in the case of all other amounts); (iii) in the case of any such assignment resulting from a claim for compensation under Section 2.11 or payments required to be made pursuant to Section 2.14, such assignment will result in a reduction in such compensation or payments thereafter; (iv) such assignment does not conflict with applicable law;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WEIL:\100513215\9\64058.0285 (v) in the case of any assignment resulting from a Lender becoming a Non- Consenting Lender, the applicable assignee shall have consented to the applicable amendment, waiver or consent. A Lender shall not be required to make any such assignment or delegation if, prior thereto, as a result of a waiver by such Lender or otherwise, the circumstances entitling the Borrowers to require such assignment and delegation cease to apply. SECTION 2.22. Termination of Borrowers. Upon the payment and performance in full of all of the indebtedness, liabilities and obligations under this Agreement and the Notes of any Borrower other than the Company then, so long as at the time no Notice of Revolving Borrowing in respect of such Borrower is outstanding, such Borrower’s status as a “Borrower” shall terminate upon written notice to such effect from the Agent to the Lenders (which notice the Agent shall give promptly upon its receipt of a request therefor from the Company). Thereafter, the Lenders shall be under no further obligation to make any Advance hereunder to such Person; provided, however, that nothing in this Agreement shall prohibit or prevent the Company from designating any former Borrower as a Designated Subsidiary, so long as such designation is made in accordance with, and subject to the satisfaction of the conditions precedent set forth in, Section 9.09. SECTION 2.23. Benchmark Replacement Setting. (a) Benchmark Replacement. Notwithstanding anything to the contrary herein or in any other Loan Document, upon the occurrence of a Benchmark Transition Event, the Agent and the Company may amend this Agreement to replace the applicable then-current Benchmark with a Benchmark Replacement. Any such amendment with respect to a Benchmark Transition Event will become effective at 5:00 p.m. (New York City time) on the fifth (5th) Business Day after the Agent has posted such proposed amendment to all affected Lenders and the Company so long as the Agent has not received, by such time, written notice of objection to such amendment from Lenders comprising the Required Lenders. No replacement of a Benchmark with a Benchmark Replacement pursuant to this Section 2.23(a) will occur prior to the applicable Benchmark Transition Start Date. (b) Benchmark Replacement Conforming Changes.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(c) Notices; Standards for Decisions and Determinations. The Agent will promptly notify the Company and the Lenders of (i) the implementation of any Benchmark Replacement and (ii) the effectiveness of any Conforming Changes in connection with the use, administration, adoption or implementation of any Benchmark Replacement. The Agent will notify the Company of (x) the removal or reinstatement of any tenor of any Benchmark pursuant to Section 2.23(d) and (y) the commencement of any Benchmark Unavailability Period. Any determination, decision or election that may be made by the Agent or, if applicable, any Lender (or group of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WEIL:\100513215\9\64058.0285 pursuant to this Section 2.23,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2.23. (d) Unavailability of Tenor of Benchmark. Notwithstanding anything to the contrary herein or in any other Loan Document, at any time (including in connection with the implementation of a Benchmark Replacement), (i) if any then-current Benchmark is a term rate (including the Term SOFR Reference Rate and the EURIBO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 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Agent may modify the definition of “Interest Period” (or any similar or analogous definition) for all Benchmark settings for such Benchmark at or after such time to reinstate such previously removed tenor. (e) Benchmark Unavailability Period. Upon the Company’s receipt of notice of the commencement of a Benchmark Unavailability Period with respect to any Benchmark, any Borrower may revoke any pending request for a Borrowing of, conversion to or continuation of Term Benchmark Rate Advances bearing interest with respect to such Benchmark to be made, converted or continued during such Benchmark Unavailability Period and, failing that, the Borrower will be deemed to have converted any such request into a request for a Borrowing of or conversion to Base Rate Advances. During a Benchmark Unavailability Period with respect to any then-current Benchmark for Dollars or at any time that a tenor for any then-current Benchmark for Dollars is not an Available Tenor, the component of based upon the then-current Benchmark or such tenor for such Benchmark, as applicable, will not be used in any determination of the Base Rate. ARTICLE 3 CONDITIONS TO EFFECTIVENESS AND LENDING SECTION 3.01. Conditions Precedent to Effectiveness of Section 2.01. The amendment and restatement of the Existing Credit Agreement pursuant to this Agreement shall become effective on and as of the first date (the “Effective Date”) on which all of the following conditions precedent have been satisfied (or waived in accordance with Section 9.01): (a) The Company, the Lenders and the Agent shall have delivered an executed counterpart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WEIL:\100513215\9\64058.0285 (b) The Company shall have paid all accrued fees and expenses of the Agent and the Lenders (including the accrued fees and expenses of counsel to the Agent) required to be paid pursuant to this Agreement, in the case of expenses, to the extent invoiced at least three Business Days prior to the Effective Date. (c) On the Effective Date, the following statements shall be true and the Agent shall have received for the account of each Lender a certificate signed by a duly authorized officer of the Company, dated the Effective Date, stating that: (i) The representations and warranties contained in Section 4.01 are true and correct in all material respects on and as of the Effective Date (unless qualified by materiality in which case are true and correct in all respects), and (ii) No event has occurred and is continuing that constitutes a Default. (d) The Agent shall have received on or before the Effective Date the following, each dated such day, in form and substance reasonably satisfactory to the Agent: (i) Notes to the extent requested by any Lender pursuant to Section 2.16 (to the extent requested at least three Business Days in advance of the Effective Date). (ii) Certified copies of the resolutions of the Board of Directors of the Company approving this Agreement and the Notes and of all other documents evidencing other necessary corporate action and governmental approvals, if any, with respect to this Agreement and the Notes, as applicable, of the Company. (iii) (iii)A certificate of the Secretary or an Assistant Secretary or comparable officer of the Company certifying the names and true signatures of the officers of the Company authorized to sign this Agreement and the Notes and the other documents to be delivered hereunder. (iv) A favorable opinion of Reed Smith LLP, counsel for the Company, in a form reasonably satisfactory to the Agent and as to such other matters as any Lender through the Agent may reasonably request. (e) Each of the Lenders shall have received, at least three Business Days in advance of the Effective Date, all documentation and other information, as has been reasonably requested in writing at least ten Business Days prior to the Effective Date, required by Governmental Authorities under applicable “know-your-customer” and anti-money laundering rules and regulations, including as required by the Patriot Act and a Beneficial Ownership Certification if the Company qualifies as a “legal entity customer” under the Beneficial Ownership Regulation. SECTION 3.02. Initial Advance to Each Designated Subsidiary. The obligation of each Lender to make an initial Advance to each Designated Subsidiary is subject to the receipt by the Agent on or before the date of such initial Advance of each of the following, in form and substance reasonably satisfactory to the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WEIL:\100513215\9\64058.0285 (a) The Notes of such Designated Subsidiary to the extent requested by any Lender pursuant to Section 2.16. (b) Certified copies of the resolutions of the Board of Directors or other similar governing body of such Designated Subsidiary approving this Agreement and the Notes to be delivered by it and of all other documents evidencing other necessary corporate action and governmental approvals, if any, with respect to this Agreement and the Notes, as applicable, of such Designated Subsidiary, together with such other customary documents and certificates as the Agent may reasonably request relating to the organization, existence and good standing of such Designated Subsidiary. (c) A certificate of a proper officer of such Designated Subsidiary certifying the names and true signatures of the officers of such Designated Subsidiary authorized to sign its Designation Agreement and the Notes to be delivered by it and the other documents to be delivered by it hereunder. (d) A Designation Agreement duly executed by such Designated Subsidiary and the Company. (e) Favorable opinions of counsel (which may be in-house counsel) to such Designated Subsidiary in a form reasonably satisfactory to the Agent, and as to such other matters as any Lender through the Agent may reasonably request. (f) All documentation and other information reasonably requested by any Lender to satisfy the requirements of Governmental Authorities under applicable “know-your-customer” and anti-money laundering rules and regulations, including as required by the Patriot Act and a Beneficial Ownership Certification if such Designated Subsidiary qualifies as a “legal entity customer” under the Beneficial Ownership Regulation. SECTION 3.03. Conditions Precedent to Each Borrowing, Commitment Increase and Commitment Extension. The obligation of each Lender to make an Advance on the occasion of each Borrowing, each Commitment Increase pursuant to Section 2.18 and each extension of Commitments pursuant to Section 2.19 shall be subject to the conditions precedent that the Effective Date shall have occurred and on the date of such Borrowing or the applicable Increase Date or Extension Date (as the case may be), the following statements shall be true (and each of the giving of the applicable Notice of Revolving Borrowing, the request for Commitment Increase or the request for Commitment extension and the acceptance by any Borrower of the proceeds of such Borrowing or such Increase Date or such Extension Date, as the case may be, shall constitute a representation and warranty by such Borrower that on the date of such Borrowing or such Increase Date or Extension Date such statements are true): (i) the representations and warranties contained in Section 4.01 (except, in the case of Borrowings, the representations set forth in subsection (e) thereof and in subsection (f) thereof) are correct in all material respects (unless qualified by materiality in which case are true and correct in all respects) on and as of such date (except for those representations and warranties that specifically relate to a prior date, which shall have been correct on such prior date), before and after giving effect to such Borrowing, such Commitment Increase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WEIL:\100513215\9\64058.0285 or such Commitment extension and to the application of the proceeds therefrom, as though made on and as of such date, and additionally, if such Borrowing shall have been requested by a Designated Subsidiary, the representations and warranties of such Designated Subsidiary contained in its Designation Agreement are correct in all material respects (unless qualified by materiality in which case are true and correct in all respects) on and as of the date of such Borrowing, before and after giving effect to such Borrowing, such Commitment Increase or such Commitment extension (except for those representations and warranties that specifically relate to a prior date, which shall have been correct on such prior date) and to the application of the proceeds therefrom, as though made on and as of such date, and (ii) no event has occurred and is continuing, or would result from such Borrowing, such Commitment Increase or such Commitment extension or from the application of the proceeds therefrom, that constitutes a Default. SECTION 3.04. Determinations Under Section 3.01 and 3.02. For purposes of determining compliance with the conditions specified in Section 3.01 or 3.02, as the case may be,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Company, by notice to the Lenders, designates as the proposed Effective Date or the date of the initial Advance to the applicable Designated Subsidiary, as the case may be, specifying its objection thereto. The Agent shall promptly notify the Lenders of the occurrence of the Effective Date and each date of initial Advance to a Designated Subsidiary, as applicable, and such notice shall be conclusive and binding. ARTICLE 4 REPRESENTATIONS AND WARRANTIES SECTION 4.01. Representations and Warranties of the Company. The Company represents and warrants as follows: (a) Status. Each Loan Party is duly organized or duly incorporated (as the case may be), validly existing and in good standing (if applicable) under the laws of its jurisdiction of incorporation or organization. (b) Power and Authority. The execution, delivery and performance by each Loan Party of the Loan Documents to which it is a party, and the consummation of the transactions contemplated thereby, are within such Loan Party’s corporate powers, have been duly authorized by all necessary corporate action, and do not conflict with (i) such Loan Party’s charter, by-laws or other constitutive documents, (ii) any law or (iii) any material contractual restriction, or to the knowledge of the Company, any other contractual restriction, binding on or affecting such Loan Party. (c) Validity and Admissibility in Evidence. All Authorizations required (i) for the due execution, delivery and performance by each Loan Party of the Loan Documents to which it is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WEIL:\100513215\9\64058.0285 party or (ii) to make the Loan Documents to which any Loan Party is a party admissible in evidence in its jurisdiction of incorporation have been obtained or effected and are in full force and effect. (d) Binding Obligations. Each Loan Document once delivered will have been duly executed and delivered by each Loan Party party thereto and each Loan Document once delivered will be the legal, valid and binding obligation of each Loan Party party thereto enforceable against it in accordance with its terms except to the extent that such enforceability may be limited by any applicable bankruptcy, insolvency, reorganization, moratorium or other similar laws affecting creditors’ rights generally from time to time in effect and may be subject to the discretion of courts with respect to the granting of equitable remedies and to the power of courts to stay proceedings for the execution of judgments. (e) Financial Statements. The Consolidated balance sheet of the Company and its Subsidiaries as at December 31, 2024, and the related Consolidated statements of income and comprehensive income and of cash flows of the Company and its Subsidiaries for the financial year then ended, accompanied by an opinion of the Company’s auditors, copies of which have been furnished to each Lender, fairly present in all material respects the Consolidated financial condition of the Company and its Subsidiaries as at such date and the Consolidated results of the operations of the Company and its Subsidiaries for the period ended on such date, all in accordance with GAAP consistently applied. Since December 31, 2024, there has been no Material Adverse Change. (f) No Proceedings Pending or Threatened. There is no pending or threatened action, suit, investigation, litigation or proceeding, including, without limitation, any Environmental Action, affecting the Company or any of its Subsidiaries before any court, governmental agency or arbitrator that (i) except as disclosed in the Disclosure Documents (excluding any risk factor disclosure contained in a “risk factors” section (other than any factual information contained therein) or in any “forward-looking statements” legend or other similar disclosures included therein to the extent they are similarly predictive or forward-looking in nature), could be reasonably likely to have a Material Adverse Effect or (ii) purports to affect the legality, validity or enforceability of the Loan Documents or the consummation of the transactions contemplated thereby. (g) Margin Stock Regulations. No Loan Party is engaged, principally or as one of its important activities, in the business of extending and no Loan Party will, principally or as one of its important activities, extend credit for the purpose of purchasing or carrying margin stock (within the meaning of the United States Regulation U issued by the Board of Governors of the United States Federal Reserve System (“Regulation U”)), and no proceeds of any Advances will be used directly or indirectly to purchase or carry any margin stock, or to extend credit to others for the purpose of purchasing or carrying any margin stock, in violation of Regulation U. (h) Investment Company. No Loan Party is required to be registered as an “investment company” under the Investment Company Act of 1940. (i) No Misleading Information. All written or formally presented information (including the information contained in the Information Memorandum) taken as a whole and other than projections, estimates and other forward-looking materials and information of a general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WEIL:\100513215\9\64058.0285 economic or industry nature supplied by the Company or any of the Company’s Subsidiaries to the Agent or any Lender is true, complete and accurate in all material respects as at the date it was given and is not misleading in any material respect (after giving effect to any supplements and updates provided thereto). (j) [Reserved.] (k) [Reserved.] (l) Anti-Corruption Laws and Sanctions. The Company has implemented and maintains in effect policies and procedures designed to ensure compliance by the Company, its Subsidiaries and their respective directors, officers, employees and agents with Anti-Corruption Laws and applicable anti-money laundering laws and Sanctions, and the Company, its Subsidiaries and their respective directors, officers and, to the knowledge of the Company, its and its Subsidiaries’ employees and agents, when acting on behalf of the Company, are in compliance with Anti-Corruption Laws and applicable anti-money laundering laws and Sanctions in all material respects. None of (a) the Company, any Subsidiary or any of their respective directors or officers or (b) to the knowledge of the Company, any employee or agent of the Company or any Subsidiary that will act in any capacity in connection with this Agreement established hereby, is a Sanctioned Person. No Borrowing, use of proceeds or other transaction contemplated by this Agreement will result in a violation of Anti-Corruption Laws or applicable anti-money laundering laws or Sanctions. (m) Disclosure. As of the Effective Date, the information included in the Beneficial Ownership Certification is true and correct in all material respects. (n) Patriot Act. The Company is in compliance in all material respects with applicable provisions of the Patriot Act. ARTICLE 5 COVENANTS OF THE COMPANY SECTION 5.01. Affirmative Covenants. From and after the Effective Date and for so long as any Advance shall remain unpaid or any Lender shall have any Commitment hereunder: (a) Authorization. Each Loan Party shall promptly (i) obtain, comply with and do all that is necessary to maintain in full force and effect; and (ii) supply certified copies to the Agent of, any Authorization required under any law or regulation of its jurisdiction of incorporation to enable it to perform all of its payment and other material obligations under any Loan Document to which it is a party and to ensure the legality, validity, enforceability or admissibility in evidence in its jurisdiction of incorporation of any Loan Document. (b) Compliance with Laws. Each Loan Party shall comply, and cause each of its Subsidiaries to comply with all applicable laws, rules, regulations and orders, such compliance to include, without limitation, compliance with ERISA and Environmental Laws and Environmental Permits, except where (i) non-compliance would not, in the aggregate, have a Material Adverse Effect or (ii) the necessity of compliance therewith is contested in good faith by appropriate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WEIL:\100513215\9\64058.0285 proceedings. The Company will maintain in effect and enforce policies and procedures designed to ensure compliance by the Company, its Subsidiaries and their respective directors, officers, employees and agents with Anti-Corruption Laws and applicable anti-money laundering laws and Sanctions. (c) Taxes. Each Loan Party shall pay and discharge, and cause each of its Subsidiaries to pay and discharge, before the same shall become overdue, (i) all material Taxes, assessments and governmental charges or levies imposed upon it or upon its assets and (ii) all lawful claims that, if unpaid, might by law become a Lien upon its assets; provided, however, that no Loan Party nor any of its Subsidiaries shall be required to pay or discharge any such tax, assessment, charge or claim that is being contested in good faith and by proper proceedings and as to which appropriate reserves are being maintained in accordance with GAAP. (d) Maintenance of Insurance. Each Loan Party shall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the Loan Parties or such Subsidiary operates; provided, however, that each of the Loan Parties and its Subsidiaries may self-insure to the same extent as other companies engaged in similar businesses and owning similar properties in the same general areas in which the Loan Parties or such Subsidiary operates and to the extent consistent with prudent business practice. (e) Preservation of Corporate Existence, Etc. Each Loan Party shall preserve and maintain, and cause each of its Subsidiaries to preserve and maintain, its corporate existence, rights (charter and statutory) and franchises; provided, however, that each of the Loan Parties and its Subsidiaries may consummate any merger or consolidation permitted under Section 5.02(b); provided further that neither the Loan Parties nor any of their Subsidiaries shall be required to preserve any right or franchise if the preservation thereof is no longer desirable in the conduct of the business of the relevant Loan Party or its Subsidiaries, and that the loss thereof is not disadvantageous in any material respect to the relevant Loan Party or its Subsidiaries or the Lenders. (f) Keeping of Books. Each Loan Party shall keep, and cause each of its Subsidiaries to keep, proper books of record and account, in which full and correct entries shall be made of all financial transactions and the assets and business of the Loan Parties and each such Subsidiary in accordance with, and to the extent required by, generally accepted accounting principles in effect from time to time. (g) Maintenance of Properties, Etc. Each Loan Party shall maintain and preserve, and cause each of its Subsidiaries to maintain and preserve, all of its properties that are used or useful in the conduct of its business in good working order and condition (ordinary wear and tear excepted), except where failure to do so would not result in a Material Adverse Effect. (h) Reporting Requirements. The Company shall furnish to the Agent (which shall make available to the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WEIL:\100513215\9\64058.0285 (i) as soon as available and in any event within 45 days after the end of each of the first three quarters of each fiscal year of the Company, the Consolidated balance sheet of the Company and its Subsidiaries as of the end of such quarter and the related Consolidated statements of income and comprehensive income and of cash flows of the Company and its Subsidiaries for the period commencing at the end of the previous fiscal year and ending with the end of such quarter, duly certified (subject to year-end audit adjustments and the absence of footnotes) by a financial officer of the Company as having been prepared in accordance with generally accepted accounting principles in effect at such date and a certificate of a financial officer of the Company as to compliance with the terms of this Agreement and setting forth in reasonable detail the calculations necessary to demonstrate compliance with Section 5.03, provided that in the event of any change in generally accepted accounting principles used in the preparation of such financial statements, the Company shall also provide, if necessary for the determination of compliance with Section 5.03, a statement of reconciliation conforming such financial statements to GAAP; (ii) as soon as available and in any event within 90 days after the end of each fiscal year of the Company, a copy of the annual audit report for such year for the Company and its Subsidiaries, containing the Consolidated balance sheet of the Company and its Subsidiaries as of the end of such fiscal year and the related Consolidated statements of income and comprehensive income and of cash flows of the Company and its Subsidiaries for such fiscal year, in each case accompanied by an opinion by PricewaterhouseCoopers LLP or other independent public accountants of comparable size and of international reputation (which opinion shall be unqualified as to going concern and scope of audit) and a certificate of a financial officer of the Company as to compliance with the terms of this Agreement and setting forth in reasonable detail the calculations necessary to demonstrate compliance with Section 5.03, provided that in the event of any change in generally accepted accounting principles used in the preparation of such financial statements, the Company shall also provide, if necessary for the determination of compliance with Section 5.03, a statement of reconciliation conforming such financial statements to GAAP; (iii) as soon as possible and in any event within five days after the occurrence of each Default continuing on the date of such statement, a statement of an officer of the Company setting forth details of such Default and the action that the Company or the applicable Loan Party has taken or proposes to take with respect thereto; (iv) promptly after the sending or filing thereof, copies of all material reports that the Company sends to any of its securityholders, and copies of all material reports and registration statements that the Company or any Subsidiary of the Company files with the Securities and Exchange Commission or any national securities exchange; (v) promptly after the commencement thereof, notice of all material actions and proceedings before any court, governmental agency or arbitrator affecting the Company or any of its Subsidiaries of the type described in Section 4.01(f); and (vi) such other information respecting the Company or any of its Subsidiaries as any Lender through the Agent may from time to time reasonably request.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WEIL:\100513215\9\64058.0285 Reports and financial statements required to be delivered by the Loan Parties pursuant to paragraphs (i), (ii) and (iv) of this Section 5.01(h) shall be deemed to have been delivered on the date on which the Company posts such reports, or reports containing such financial statements, on its website on the Internet at www.iff.com (or any successor website) or is made publicly available on the United States Securities and Exchange Commission’s EDGAR database. (i) Visitation Rights. Each Loan Party shall, at any reasonable time and with reasonable prior notice and from time to time, permit the Agent or any of the Lenders or any agents or representatives thereof, to examine and make copies of and abstracts from the records and books of account of, and visit the properties of, such Loan Party and any of its Subsidiaries, and to discuss the affairs, finances and accounts of such Loan Party and any of its Subsidiaries with any of their officers or directors and with their independent certified public accountants; provided however, rights of the Agent and the Lenders shall not extend to any information covered by attorney-client or other legal privilege or to the extent the exercise of such inspection rights would reasonably be expected to result in violation or other breach of any third-party confidentiality agreements). Unless an Event of Default has occurred and is continuing, the Agent and the Lenders shall be limited to one visit in any year, to be coordinated through the Agent. SECTION 5.02. Negative Covenants. From and after the Effective Date and for so long as any Advance shall remain unpaid or any Lender shall have any Commitment hereunder: (a) Liens, Etc. No Loan Party shall create or suffer to exist, or permit any of its Subsidiaries to create or suffer to exist, any Lien on or with respect to any of its properties, whether now owned or hereafter acquired, or assign, or permit any of its Subsidiaries to assign, any right to receive income, other than: (i) Permitted Liens; (ii) purchase money Liens upon or in any real property or equipment acquired or held by the Company or any Subsidiary in the ordinary course of business to secure the purchase price of such real property or equipment or to secure Debt incurred solely for the purpose of financing the acquisition of such real property or equipment, or Liens existing on such real property or equipment at the time of its acquisition (other than any such Liens created in contemplation of such acquisition that were not incurred to finance the acquisition of such real property) or extensions, renewals or replacements of any of the foregoing for the same or a lesser amount, provided, however, that no such Lien shall extend to or cover any assets of any character other than the real property or equipment being acquired, and no such extension, renewal or replacement shall extend to or cover any assets not theretofore subject to the Lien being extended, renewed or replaced, provided further that the aggregate principal amount of the indebtedness secured by the Lien referred to in this paragraph (ii) shall not exceed $250,000,000 (or its equivalent in another currency or currencies) at any time outstanding; (iii) Liens on assets of a Person existing at the time such Person is merged into or consolidated with the Company or any Subsidiary of the Company or becomes a Subsidiary of the Company; provided that such Liens were not created in contemplation of such merger, consolidation or acquisition and do not extend to any assets other than those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WEIL:\100513215\9\64058.0285 of the Person so merged into or consolidated with the Company or such Subsidiary or acquired by the Company or such Subsidiary; (iv) other Liens securing Debt or other obligations in an aggregate principal amount at any time outstanding not to exceed the greater of (x) $500,000,000 (or its equivalent in another currency or currencies) and (y) 15% of Consolidated Net Tangible Assets; (v) the replacement, extension or renewal of any Lien permitted by paragraph (iii) above, provided that such replacement, extension or renewal shall not extend to or cover any assets not subject to the Lien being replaced, extended or renewed and provided further that the grantor of the Lien as obligor of the relevant Debt shall not change and the amount of the Debt secured thereby shall not increase as a result of such replacement, extension or renewal; (vi) any Liens or pledges for the benefit of the Company or any of its Subsidiaries arising by reason of deposits to qualify the Company or any of its Subsidiaries to maintain self-insurance; (vii) any Lien with respect to judgments and attachments that do not result in an Event of Default; (viii) Liens or assignments of accounts receivable arising in the ordinary course of business under supply chain financing arrangements; and (ix) Liens existing on the date of this Agreement granted by the Company or any of its Subsidiaries and securing Debt or other obligations outstanding on the date of this Agreement, as set forth on Schedule 5.02(a). (b) Mergers, Etc. No Loan Party shall merge or consolidate with or into, or convey, transfer, lease or otherwise dispose of (whether in one transaction or in a series of transactions) all or substantially all of the assets (whether now owned or hereafter acquired) of the Company and its Subsidiaries, taken as a whole, to any person, or permit any of its Subsidiaries to do so, except that: (i) any Subsidiary of the Company may merge or consolidate with or into any other Subsidiary of the Company or an entity that will substantially concurrently therewith become a Subsidiary of the Company (provided if such merger or consolidation involves a Loan Party, a Loan Party shall be the surviving entity or successor) or dispose of its assets to any other Subsidiary of the Company (provided that if a Loan Party is disposing of such assets, it disposes of them to another Loan Party); (ii) any Subsidiary of the Company may merge into or dispose of assets to the Company; (iii) the liquidation or reorganization of any Subsidiary of the Company which is not a Loan Party is permitted so long as any payments or assets distributed as a result of such liquidation or reorganization are distributed to the Company or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WEIL:\100513215\9\64058.0285 (iv) each of the Loan Parties may merge with any other Person organized under the laws of the same country of organization as such Loan Party so long as (i) the surviving entity expressly assumes the obligations of the relevant Loan Party hereunder and (ii) legal opinions in form and content reasonably satisfactory to the Agent have been delivered to the Agent; provided that the Company shall provide not less than five Business Days’ notice of any such merger, and if such merger obligates the Agent or any Lender to comply with “know your customer” or similar identification procedures in circumstances where the necessary information is not already available to it, the Company shall, promptly upon the request of the Agent or any Lender, supply such documentation and other evidence as is reasonably requested by the Agent or any Lender in order for the Agent or such Lender to carry out and be satisfied it has complied with the results of all necessary “know your customer” or other similar checks under all applicable laws and regulations and a Beneficial Ownership Certification if such Loan Party qualifies as a “legal entity customer” under the Beneficial Ownership Regulation; and (v) a Loan Party may dispose of an asset to a Person which is not the Company or any of its Subsidiaries on terms that such asset is to be reacquired by the Company or any of its Subsidiaries (a “Reacquisition Sale and Leaseback Transaction”); provided that the principal obligations of the Company or such Subsidiary, as applicable, when aggregated with the principal obligations of the Company and its Subsidiaries in respect of all other Reacquisition Sale and Leaseback Transactions entered into after the date hereof, do not exceed $300,000,000 (or its Equivalent in another currency or currencies), provided, in each case, that no Event of Default shall have occurred and be continuing at the time of such proposed transaction or would result therefrom. (c) [Reserved] (d) Change in Nature of Business. No Loan Party shall make, or permit any of its Subsidiaries to make, any material change in the nature of the business of the Company and its Subsidiaries, taken as a whole, as carried on at the date hereof. (e) Subsidiary Debt. No Loan Party shall permit any of its Subsidiaries to create, or suffer to exist, any Debt other than: (i) Debt owed to the Company or to a wholly-owned Subsidiary of the Company; (ii) Debt (not falling within the other paragraphs of this Section 5.02(e)) aggregating for all of the Company’s Subsidiaries not more than $1,750,000,000 (or its equivalent in another currency or currencies) at any one time outstanding; (iii) endorsement of negotiable instruments for deposit or collection or similar transactions in the ordinary course of business; (iv) Debt owed pursuant to the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WEIL:\100513215\9\64058.0285 (v) Debt which is effectively subordinated to the payment obligations of the Loan Parties to the Lenders hereunder to the reasonable satisfaction of the Agent; (vi) Debt under any Hedge Agreements entered into with any Lender or any Affiliate of any Lender for the purpose of hedging risks associated with the Company and its Subsidiaries’ operations (including, without limitation, interest rate and foreign exchange and commodities price risks) in the ordinary course of business consistent with past practice and not for speculative purposes; (vii) Debt arising as a result of a Subsidiary of the Company entering into a Reacquisition Sale and Leaseback Transaction; provided that the principal obligations of such Subsidiary, when aggregated with the principal obligations of the Company and its Subsidiaries in respect of all other Reacquisition Sale and Leaseback Transactions entered into after the date hereof, do not exceed $300,000,000 (or its Equivalent in another currency or currencies); (viii) [reserved]; and (ix) Guarantees by any Subsidiary of Debt otherwise permitted pursuant to this Section 5.02(e). (f) Use of Proceeds. No Loan Party will request any Borrowing, and no Loan Party shall use, and each Loan Party shall procure that its Subsidiaries and its and their respective directors, officers, employees and agents shall not use, the proceeds of any Borrowing, or lend, contribute or otherwise make available such proceeds to any Person (A) in furtherance of an offer, payment, promise to pay, or authorization of the payment or giving of money, or anything else of value, to any Person in violation of any Anti-Corruption Laws, or (B) for the purpose of funding, financing or facilitating any activities, business or transaction of or with any Sanctioned Person, or in any Sanctioned Country, or otherwise, in each case in any manner that would result in the violation of any Sanctions applicable to any party hereto. SECTION 5.03. Financial Covenant. So long as any Advance shall remain unpaid, or any Lender shall have any Commitment hereunder, the Company shall maintain a Leverage Ratio as of the end of any Relevant Period of not more than (x) from and including the Effective Date until and including the end of the fiscal quarter ending on September 30, 2025, 4.00 to 1.00 and (y) thereafter, 3.75 to 1.00; provided that, if the Company or any of its Subsidiaries consummates an acquisition of all or substantially all of the assets of a Person, or of any business or division of a Person, for which it paid at least $500,000,000 in consideration (a “Qualifying Acquisition”), the maximum Leverage Ratio shall step up to no greater than 4.25 to 1.00 until and including the end of the third full fiscal quarter following the date of consummation of such Qualifying Acquisition and then shall be reduced to 3.75 to 1.00 thereafter. ARTICLE 6 EVENTS OF DEFAULT SECTION 6.01. Events of Default. If any of the following events (“Events of Default”) shall occur and be continuing: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WEIL:\100513215\9\64058.0285 (a) Non-payment. The Company or any other Borrower shall fail to pay any principal of any Advance when the same becomes due and payable after the same becomes due and payable; or the Company or any other Borrower shall fail to pay any interest on any Advance or make any other payment of fees or other amounts payable under this Agreement or any Note within three Business Days after the same becomes due and payable; or (b) Misrepresentation. Any representation or warranty made by the Company herein or by any Borrower (or any of its officers) in connection with any Loan Document or by any Designated Subsidiary in the Designation Agreement pursuant to which such Designated Subsidiary became a Borrower hereunder shall prove to have been incorrect in any material respect when made; or (c) Other Obligations. (i) The Company or its applicable Subsidiary shall fail to perform or observe any term, covenant or agreement contained in Section 5.01(e), 5.01(h)(iii), 5.02 or 5.03, or (ii) the Company or its applicable Subsidiary shall fail to perform or observe any other term, covenant or agreement contained in this Agreement or any Loan Document on its part to be performed or observed if such failure shall remain unremedied for 30 days after written notice thereof shall have been given to the Company by the Agent or any Lender; or (d) Cross Default. The Company or any of its Subsidiaries shall fail to pay any principal of or premium or interest on any Debt that is outstanding in a principal or notional amount of at least $250,000,000 in the aggregate of the Company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or (e) Insolvency. Any Loan Party or any of the Company’s Significant Subsidiaries shall (i) generally not pay its debts as such debts become due, (ii) admit in writing its inability to pay its debts generally, (iii) make a general assignment for the benefit of creditors; or (iv) any proceeding shall be instituted by or against any Loan Party or any of the Company’s Significant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any of the actions sought in such proceeding (including, without limitation, the entry of an order for relief against, or the appointment of a receiver, trustee, custodian or other similar official for, it or for any substantial part of its property) shall occur; or any Loan Party or any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WEIL:\100513215\9\64058.0285 the Company’s Significant Subsidiaries shall take any corporate action to authorize any of the actions set forth above in this subsection (e); or (f) Judgments. Judgments or court orders for the payment of money in excess of $250,000,000 in the aggregate shall be rendered against the Company or any of its Subsidiaries and either (i) enforcement proceedings shall have been commenced by any creditor upon such judgment or court order or (ii) there shall be any period of 30 consecutive days during which such judgment or court order shall not have been satisfied, vacated or stayed by reason of a pending appeal or otherwise; provided, however, that any such judgment or court order shall not be an Event of Default under this subsection (f) if and for so long as (i) the amount of such judgment or court order is covered by a valid and binding policy of insurance between the defendant and the insurer covering payment thereof and (ii) such insurer, which shall be rated at least “A-” by A.M. Best Company, has been notified of, and has not disputed the claim made for payment of, the amount of such judgment or court order; or (g) Change of Control or Ownership. (i) Any Person or two or more Persons acting in concert shall have acquired beneficial ownership (within the meaning of Rule 13d-3 of the Securities and Exchange Commission under the Securities Exchange Act of 1934), directly or indirectly, of Voting Stock of the Company (or other securities convertible into such Voting Stock) representing 35% or more of the combined voting power of all Voting Stock of the Company; or (ii) during any period of up to 24 consecutive months, commencing on the date of this Agreement, individuals who at the beginning of such 24-month period were directors of the Company (together with any successors appointed, nominated or elected by such directors in the ordinary course) shall cease for any reason to constitute a majority of the board of directors of the Company; or (h) ERISA. The Company or any of its ERISA Affiliates shall incur, or shall be reasonably likely to incur, liability in excess of $250,000,000 in the aggregate as a result of one or more of the following (and in each case (i) through (iii), only if such event or condition, together with all other such events or condition, if any, would reasonably be expected to have a Material Adverse Effect): (i) the occurrence of any ERISA Event; (ii) the partial or complete withdrawal of the Company or any of its ERISA Affiliates from a Multiemployer Plan; or (iii) the reorganization or termination of a Multiemployer Plan; or (i) Guaranty. So long as any Subsidiary of the Company is a Borrower, except to the extent in accordance with the terms of this Agreement, (w) any material provision of Article VII hereof or ceases to be in full force and effect, (x) the Company or any of its Subsidiaries contests in writing the validity or enforceability of Article VII hereof, (y) the Company denies in writing that it has any or further liability or obligation under Article VII hereof or (z) the Company revokes, terminates or rescinds in writing Article VII hereof; then, and in any such event, the Agent (i) shall at the request, or may with the consent, of the Required Lenders, by written notice to the Borrowers, declare the obligation of each Lender to make Advances to be terminated, whereupon the same shall forthwith terminate, and (ii) shall at the request, or may with the consent, of the Required Lenders, by written notice to the Borrowers,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WEIL:\100513215\9\64058.0285 which are hereby expressly waived by each Borrower; provided, however, that in the event of an actual or deemed entry of an order for relief with respect to the Company or any other Borrower under the Federal Bankruptcy Code or any other Bankruptcy Law, (A) the obligation of each Lender to make Advances shall automatically be terminated and (B) the Advances, all such interest and all such amounts shall automatically become and be due and payable, without presentment, demand, protest or any notice of any kind, all of which are hereby expressly waived by each Borrower. ARTICLE 7 GUARANTY SECTION 7.01. Unconditional Guaranty. The Company hereby absolutely, unconditionally and irrevocably guarantees the punctual payment when due, whether at scheduled maturity or on any date of a required prepayment or by acceleration, demand or otherwise, of all obligations of each other Borrower now or hereafter existing under or in respect of this Agreement and the Notes (including, without limitation, any extensions, modifications, substitutions, amendments or renewals of any or all of the foregoing obligations), whether direct or indirect, absolute or contingent, and whether for principal, interest, premiums, fees, indemnities, contract causes of action, costs, expenses or otherwise (such obligations being the “Guaranteed Obligations”), and agrees to pay any and all expenses (including, without limitation, reasonable and documented fees and expenses of counsel) incurred by the Agent or any Lender in enforcing any rights under this Agreement. Without limiting the generality of the foregoing, the Company’s liability shall extend to all amounts that constitute part of the Guaranteed Obligations and would be owed by any other Borrower to the Agent or any Lender under or in respect of this Agreement and the Notes but for the fact that they are unenforceable or not allowable due to the existence of a bankruptcy, reorganization or similar proceeding involving such other Borrower. The guaranty set forth in this Article 7 is a guaranty of payment and not merely a guaranty of collection. SECTION 7.02. Guaranty Absolute. The Company guarantees that the Guaranteed Obligations will be paid strictly in accordance with the terms of this Agreement and the Notes, regardless of any law, regulation or order now or hereafter in effect in any jurisdiction affecting any of such terms or the rights of the Agent or any Lender with respect thereto. The obligations of the Company under or in respect of this Guaranty are independent of the Guaranteed Obligations or any other obligations of any other Borrower under or in respect of this Agreement and the Notes, and a separate action or actions may be brought and prosecuted against the Company to enforce this Guaranty, irrespective of whether any action is brought against any other Borrower or whether any other Borrower is joined in any such action or actions. The liability of the Company under this Guaranty shall be irrevocable, absolute and unconditional irrespective of, and the Company hereby irrevocably waives any defenses it may now have or hereafter acquire in any way relating to, any or all of the following: (a) any lack of validity or enforceability of this Agreement, any Note or any agreement or instrument relating thereto; (b) any change in the time, manner or place of payment of, or in any other term of, all or any of the Guaranteed Obligations or any other obligations of any Borrower under or in respect of this Agreement and the Notes, or any other amendment or waiver of or any consent to departure from this Agreement or any Note, including, without limitation, any increase in the Guaranteed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WEIL:\100513215\9\64058.0285 Obligations resulting from the extension of additional credit to any Borrower or any of their Subsidiaries or otherwise; (c) any taking, exchange, release or non-perfection of any collateral, or any taking, release or amendment or waiver of, or consent to departure from, any other guaranty, for all or any of the Guaranteed Obligations; (d) any manner of application of any collateral, or proceeds thereof, to all or any of the Guaranteed Obligations, or any manner of sale or other disposition of any collateral for all or any of the Guaranteed Obligations or any other obligations of any Borrower under this Agreement and the Notes or any other assets of any Borrower or any of their Subsidiaries; (e) any change, restructuring or termination of the corporate structure or existence of any Borrower or any of their Subsidiaries; (f) any failure of the Agent or any Lender to disclose to the Company any information relating to the business, condition (financial or otherwise), operations, performance, properties or prospects of any Borrower now or hereafter known to the Agent or such Lender (the Company waiving any duty on the part of the Agent and the Lenders to disclose such information); (g) the failure of any other Person to execute or deliver this Guaranty or any other guaranty or agreement or the release or reduction of liability of the Company or any other guarantor or surety with respect to the Guaranteed Obligations; or (h) any other circumstance (including, without limitation, any statute of limitations) or any existence of or reliance on any representation by the Agent or any Lender that might otherwise constitute a defense available to, or a discharge of, any Borrower or any other guarantor or surety. This Guaranty shall continue to be effective or be reinstated, as the case may be, if at any time any payment of any of the Guaranteed Obligations is rescinded or must otherwise be returned by the Agent or any Lender or any other Person upon the insolvency, bankruptcy or reorganization of any Borrower (other than the Company) or otherwise, all as though such payment had not been made. SECTION 7.03. Waivers and Acknowledgments. (a) The Company hereby unconditionally and irrevocably waives promptness, diligence, notice of acceptance, presentment, demand for performance, notice of nonperformance, default, acceleration, protest or dishonor and any other notice with respect to any of the Guaranteed Obligations and this Guaranty and any requirement that the Agent or any Lender protect, secure, perfect or insure any Lien or any property subject thereto or exhaust any right or take any action against any other Borrower or any other Person or any collateral. (b) The Company hereby unconditionally and irrevocably waives any right to revoke this Guaranty and acknowledges that this Guaranty is continuing in nature and applies to all Guaranteed Obligations, whether existing now or in the future. (c) The Company hereby unconditionally and irrevocably waives (i) any defense arising by reason of any claim or defense based upon an election of remedies by the Agent or any Lender that in any manner impairs, reduces, releases or otherwise adversely affects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WEIL:\100513215\9\64058.0285 subrogation, reimbursement, exoneration, contribution or indemnification rights of the Company or other rights of the Company to proceed against any other Borrower, any other guarantor or any other Person or any collateral and (ii) any defense based on any right of set-off or counterclaim against or in respect of the obligations of the Company hereunder. (d) The Company hereby unconditionally and irrevocably waives any duty on the part of the Agent or any Lender to disclose to the Company any matter, fact or thing relating to the business, condition (financial or otherwise), operations, performance, properties or prospects of any Borrower or any of their Subsidiaries now or hereafter known by the Agent or such Lender. (e) The Company acknowledges that it will receive substantial direct and indirect benefits from the financing arrangements contemplated by this Agreement and the Notes and that the waivers set forth in Section 7.02 and this Section 7.03 are knowingly made in contemplation of such benefits. SECTION 7.04. Subrogation. The Company hereby unconditionally and irrevocably agrees not to exercise any rights that it may now have or hereafter acquire against any other Borrower or any other insider guarantor that arise from the existence, payment, performance or enforcement of the Company’s obligations under or in respect of this Guaranty, including, without limitation, any right of subrogation, reimbursement, exoneration, contribution or indemnification and any right to participate in any claim or remedy of the Agent or any Lender against any other Borrower or any other insider guarantor or any collateral, whether or not such claim, remedy or right arises in equity or under contract, statute or common law, including, without limitation, the right to take or receive from any other Borrower or any other insider guarantor, directly or indirectly, in cash or other property or by set-off or in any other manner, payment or security on account of such claim, remedy or right, unless and until all of the Guaranteed Obligations and all other amounts payable under this Guaranty shall have been paid in full in cash and the Commitments shall have expired or been terminated. If any amount shall be paid to the Company in violation of the immediately preceding sentence at any time prior to the later of (a) the payment in full in cash of the Guaranteed Obligations and all other amounts payable under this Guaranty and (b) the Termination Date, such amount shall be received and held in trust for the benefit of the Agent and the Lenders, shall be segregated from other property and funds of the Company and shall forthwith be paid or delivered to the Agent in the same form as so received (with any necessary endorsement or assignment) to be credited and applied to the Guaranteed Obligations and all other amounts payable under this Guaranty, whether matured or unmatured, in accordance with the terms of this Agreement and the Notes, or to be held as collateral for any Guaranteed Obligations or other amounts payable under this Guaranty thereafter arising. If (i) the Company shall make payment to the Agent or any Lender of all or any part of the Guaranteed Obligations, (ii) all of the Guaranteed Obligations and all other amounts payable under this Guaranty shall have been paid in full in cash and (iii) the Termination Date shall have occurred, the Agent and the Lenders will, at the Company’s request and expense, execute and deliver to the Company appropriate documents, without recourse and without representation or warranty, necessary to evidence the transfer by subrogation to the Company of an interest in the Guaranteed Obligations resulting from such payment made by the Company pursuant to this Guaranty. SECTION 7.05. Subordination. The Company hereby subordinates any and all debts, liabilities and other obligations owed to the Company by any other Borrower (the “Subordinated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WEIL:\100513215\9\64058.0285 Obligations”) to the Guaranteed Obligations to the extent and in the manner hereinafter set forth in this Section 7.05: (a) Prohibited Payments, Etc. Except during the continuance of an Event of Default (including the commencement and continuation of any proceeding under any Bankruptcy Law relating to such Borrower), the Company may receive regularly scheduled payments from such Borrower on account of the Subordinated Obligations. After the occurrence and during the continuance of any Event of Default (including the commencement and continuation of any proceeding under any Bankruptcy Law relating to such Borrower), however, unless the Required Lenders otherwise agree, the Company shall not demand, accept or take any action to collect any payment on account of the Subordinated Obligations. (b) Prior Payment of Guaranteed Obligations. In any proceeding under any Bankruptcy Law relating to such Borrower, the Company agrees that the Agent and the Lenders shall be entitled to receive payment in full in cash of all Guaranteed Obligations (including all interest and expenses accruing after the commencement of a proceeding under any Bankruptcy Law, whether or not constituting an allowed claim in such proceeding (“Post-Petition Interest”)) before the Company receives payment of any Subordinated Obligations. (c) Turn-Over. After the occurrence and during the continuance of any Event of Default (including the commencement and continuation of any proceeding under any Bankruptcy Law relating to such Borrower), the Company shall, if the Agent so requests, collect, enforce and receive payments on account of the Subordinated Obligations as trustee for the Agent and the Lenders and deliver such payments to the Agent on account of the Guaranteed Obligations (including all Post Petition Interest), together with any necessary endorsements or other instruments of transfer, but without reducing or affecting in any manner the liability of the Company under the other provisions of this Guaranty. (d) Agent Authorization. After the occurrence and during the continuance of any Event of Default (including the commencement and continuation of any proceeding under any Bankruptcy Law relating to such Borrower), the Agent is authorized and empowered (but without any obligation to so do), in its discretion, (i) in the name of the Company, to collect and enforce, and to submit claims in respect of, Subordinated Obligations and to apply any amounts received thereon to the Guaranteed Obligations (including any and all Post Petition Interest), and (ii) to require the Company (A) to collect and enforce, and to submit claims in respect of, Subordinated Obligations and (B) to pay any amounts received on such obligations to the Agent for application to the Guaranteed Obligations (including any and all Post Petition Interest). SECTION 7.06. Continuing Guaranty; Assignments. This Guaranty is a continuing guaranty and shall (a) remain in full force and effect until the later of (i) the payment in full in cash of the Guaranteed Obligations and all other amounts payable under this Guaranty and (ii) the Termination Date, (b) be binding upon the Company, its successors and assigns and (c) inure to the benefit of and be enforceable by the Agent and the Lenders and their successors, transferees and assigns. Without limiting the generality of clause (c) of the immediately preceding sentence, the Agent or any Lender may assign or otherwise transfer all or any portion of its rights and obligations under this Agreement (including, without limitation, all or any portion of its Commitments, the Advances owing to it and the Note or Notes held by it) to any other Person,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WEIL:\100513215\9\64058.0285 such other Person shall thereupon become vested with all the benefits in respect thereof granted to the Agent or such Lender herein or otherwise, in each case as and to the extent provided in Section 9.07. ARTICLE 8 THE AGENT SECTION 8.01. Appointment and Authority. Each of the Lenders hereby irrevocably appoints Citibank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Article are solely for the benefit of the Agent and the Lenders, and neither the Company nor any other Loan Party shall have rights as a third-party beneficiary of any of such provisions (except as explicitly provided for in Section 8.06).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SECTION 8.02. Rights as a Lender. 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any Borrower or any Subsidiary or other Affiliate thereof as if such Person were not the Agent hereunder and without any duty to account therefor to the Lenders. SECTION 8.03. Exculpatory Provisions. (a) The Agent shall not have any duties or obligations except those expressly set forth herein and in the other Loan Documents, and its duties hereunder shall be administrative in nature. Without limiting the generality of the foregoing, the Agent: (i) shall not be subject to any fiduciary or other implied duties, regardless of whether a Default has occurred and is continuing; (ii) shall not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provided that the Agent shall not be required to take any action that, in its opinion or the opinion of its counsel, may expose the Agent to liability or that is contrary to any Loan Document or applicable law, including for the avoidance of doubt any action that may be in violation of the automatic stay under any Debtor Relief Law or that may effect a forfeiture,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WEIL:\100513215\9\64058.0285 modification or termination of property of a Defaulting Lender in violation of any Debtor Relief Law; provided, further, the Agent may seek clarification or direction from the Required Lenders (or such other number or percentage of the Lenders as the Agent shall reasonably determine) prior to the exercise of any directed actions and may refrain from taking any such directed actions until such clarification or direction that is reasonably satisfactory to the Agent is received; and (iii) shall not, except as expressly set forth herein and in the other Loan Documents, have any duty to disclose, and shall not be liable for the failure to disclose, any information relating to any Borrower or any of its Affiliates that is communicated to or obtained by the Person serving as the Agent or any of its Affiliates in any capacity. (b) 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9.01 and 6.01), or (ii) in the absence of its own gross negligence, bad faith or willful misconduct as determined by a court of competent jurisdiction by final and nonappealable judgment. The Agent shall be deemed not to have knowledge of any Default unless and until notice describing such Default is given to the Agent in writing by a Borrower or a Lender. (c) 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III or elsewhere herein, other than to confirm receipt of items expressly required to be delivered to the Agent. (d) Nothing in this Agreement or any other Loan Document shall require the Agent or any of its Related Parties to carry out any “know your customer” or other checks in relation to any person on behalf of any Lender and each Lender confirms to the Agent that it is solely responsible for any such checks it is required to carry out and that it may not rely on any statement in relation to such checks made by the Agent or any of its Related Parties. SECTION 8.04. Reliance by Agent. 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Advance that by its terms must be fulfilled to the satisfaction of a Lender, the Agent may presume that such condition is satisfactory to such Lender unless the Agent shall have received notice to the contrary from such Lender prior to the making of such Advance.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WEIL:\100513215\9\64058.0285 The Agent may consult with legal counsel (who may be counsel for the Company or any other Loan Party), independent accountants and other experts selected by it, and shall not be liable for any action taken or not taken by it in accordance with the advice of any such counsel, accountants or experts. SECTION 8.05. Delegation of Duties. The Agent may perform any and all of its duties and exercise its rights and powers hereunder or under any other Loan Document by or through any one or more other sub-agents appointed by the Agent. The Agent and any other such sub-agent may perform any and all of its duties and exercise its rights and powers by or through their respective Related Parties. The exculpatory provisions of this Article shall apply to any other such sub-agent and to the Related Parties of the Agent and any such sub-agent, and shall apply to their respective activities in connection with the syndication of the credit facilities contemplated by this Agreement as well as activities as Agent. The Agent shall not be responsible for the negligence or misconduct of any sub-agents except to the extent that a court of competent jurisdiction determines in a final and non-appealable judgment that the Agent acted with gross negligence, bad faith or willful misconduct in the selection of such sub-agents. SECTION 8.06. Resignation of Agent. (a) The Agent may at any time give notice of its resignation to the Lenders, the Company and the other Borrowers. Upon receipt of any such notice of resignation, the Required Lenders shall have the right, in consultation with and subject, so long as no Event of Default is continuing, to the approval of the Company (such approval not to be unreasonably withheld or delayed), to appoint a successor, which shall be a bank with an office in the United States and the United Kingdom, or an Affiliate of any such bank with an office in the United States and the United Kingdom. If no such successor shall have been so appointed by the Required Lenders and shall have accepted such appointment within 30 days after the retiring Agent gives notice of its resignation (or such earlier day as shall be agreed by the Required Lenders) (the “Resignation Effective Date”), then the retiring Agent may (but shall not be obligated to), on behalf of the Lenders, appoint a successor Agent meeting the qualifications set forth above. Whether or not a successor has been appointed, such resignation shall become effective in accordance with such notice on the Resignation Effective Date. (b) If the Person serving as Agent is a Defaulting Lender pursuant to clause (v) of the definition thereof, the Required Lenders may, to the extent permitted by applicable law, by notice in writing to the Borrowers and such Person remove such Person as Agent and, in consultation with and subject, so long as no Event of Default is continuing, to the approval of the Company (such approval not to be unreasonable withheld or delayed), appoint a successor. If no such successor shall have been so appointed by the Required Lenders and shall have accepted such appointment within 30 days (or such earlier day as shall be agreed by the Required Lenders) (the “Removal Effective Date”), then such removal shall nonetheless become effective in accordance with such notice on the Removal Effective Date. (c) With effect from the Resignation Effective Date or the Removal Effective Date (as applicable), (1) the retiring or removed Agent shall be discharged from its duties and obligations hereunder and under the other Loan Documents (except that in the case of any collateral security held by the Agent on behalf of the Lenders under any of the Loan Documents, the retiring or removed Agent shall continue to hold such collateral security until such time as a successor Agent is appointed) and (2) except for any indemnity payments owed to the retiring or removed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WEIL:\100513215\9\64058.0285 all payments, communications and determinations provided to be made by, to or through the Agent shall instead be made by or to each Lender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(other than any rights to indemnity payments owed to the retiring or removed Agent), and the retiring or removed Agent shall be discharged from all of its duties and obligations hereunder or under the other Loan Documents. The fees payable by the Borrowers to a successor Agent shall be the same as those payable to its predecessor unless otherwise agreed between the Borrowers and such successor. After the retiring or removed Agent’s resignation or removal hereunder and under the other Loan Documents, the provisions of this Article and Section 9.04 shall continue in effect for the benefit of such retiring or removed Agent, its sub-agents and their respective Related Parties in respect of any actions taken or omitted to be taken by any of them while the retiring or removed Agent was acting as Agent. SECTION 8.07. Non-Reliance on Agent and Other Lenders. Each Lender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SECTION 8.08. No Other Duties, etc. Anything herein to the contrary notwithstanding, none of the Bookrunners or Arrangers listed on the cover page hereof shall have any powers, duties or responsibilities under this Agreement or any of the other Loan Documents, except in its capacity, as applicable, as the Agent or a Lender hereunder. SECTION 8.09. Erroneous Payments. (a) If the Agent (x) notifies a Lender or any Person who has received funds on behalf of a Lender (any such Lender or other recipient (and each of their respective successors and assigns), a “Payment Recipient”) that the Agent has determined in its sole discretion (whether or not after receipt of any notice under immediately succeeding clause (b)) that any funds (as set forth in such notice from the Agent) received by such Payment Recipient from the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“Erroneous Payment”) and (y) demands in writing the return of such Erroneous Payment (or a portion thereof), such Erroneous Payment shall at all times remain the property of the Agent pending its return or repayment as contemplated below in this Section 8.09 and held in trust for the benefit of the Agent, and such Lender shall (or, with respect to any Payment Recipient who received such funds on its behalf, shall cause such Payment Recipient to) promptly, but in no event later than two Business Days thereafter (or such later date as the Agent may, in its sole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WEIL:\100513215\9\64058.0285 discretion, specify in writing), return to the Agent the amount of any such Erroneous Payment (or portion thereof) as to which such a demand was made, in same day funds (in the currency so received), together with interest thereon (except to the extent waived in writing by the Agent) in respect of each day from and including the date such Erroneous Payment (or portion thereof) was received by such Payment Recipient to the date such amount is repaid to the Agent in same day funds at the greater of the Federal Funds Rate and a rate determined by the Agent in accordance with banking industry rules on interbank compensation from time to time in effect. A notice of the Agent to any Payment Recipient under this clause (a) shall be conclusive, absent manifest error. (b) 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Agent (or any of its Affiliates) (x) that is in a different amount than, or on a different date from, that specified in this Agreement or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Lender or other such recipient, otherwise becomes aware was transmitted, or received, in error or by mistake (in whole or in part), then in each such case: (i) it acknowledges and agrees that (A) in the case of immediately preceding clauses (x) or (y), an error and mistake shall be presumed to have been made (absent written confirmation from the Agent to the contrary) or (B) an error and mistake has been made (in the case of immediately preceding clause (z)), in each case, with respect to such payment, prepayment or repayment; and (ii) such Lender shall (and shall cause any other recipient that receives funds on its respective behalf to) promptly (and, in all events, within one Business Day of its knowledge of the occurrence of any of the circumstances described in immediately preceding clauses (x), (y) and (z)) notify the Agent of its receipt of such payment, prepayment or repayment, the details thereof (in reasonable detail) and that it is so notifying the Agent pursuant to this Section 8.09(b). For the avoidance of doubt, the failure to deliver a notice to the Agent pursuant to this Section 8.09(b) shall not have any effect on a Payment Recipient’s obligations pursuant to Section 8.09(a) or on whether or not an Erroneous Payment has been made. (c) Each Lender hereby authorizes the Agent to set off, net and apply any and all amounts at any time owing to such Lender under any Loan Document, or otherwise payable or distributable by the Agent to such Lender under any Loan Document with respect to any payment of principal, interest, fees or other amounts, against any amount that the Agent has demanded to be returned under immediately preceding clause (a). (d) (i) In the event that an Erroneous Payment (or portion thereof) is not recovered by the Agent for any reason, after demand therefor in accordance with immediately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WEIL:\100513215\9\64058.0285 preceding clause (a), from any Lender that has received such Erroneous Payment (or portion thereof) (and/or from any Payment Recipient who received such Erroneous Payment (or portion thereof) on its respective behalf) (such unrecovered amount, an “Erroneous Payment Return Deficiency”), upon the Agent’s notice to such Lender at any time, then effective immediately (with the consideration therefor being acknowledged by the parties hereto), (A) such Lender shall be deemed to have assigned its Advances (but not its Commitments) in an amount equal to the Erroneous Payment Return Deficiency (or such lesser amount as the Agent may specify) (such assignment of the Advances (but not Commitments), the “Erroneous Payment Deficiency Assignment”) (on a cashless basis and such amount calculated at par plus any accrued and unpaid interest (with the assignment fee to be waived by the Agent in such instance)), and is hereby (together with the Company) deemed to execute and deliver an Assignment and Assumption (or, to the extent applicable, an agreement incorporating an Assignment and Assumption by reference pursuant to an approved electronic platform as to which the Agent and such parties are participants) with respect to such Erroneous Payment Deficiency Assignment, and such Lender shall deliver any Notes evidencing such Advances to the Borrowers or the Agent (but the failure of such Person to deliver any such Notes shall not affect the effectiveness of the foregoing assignment), (B) the Agent as the assignee Lender shall be deemed to have acquired the Erroneous Payment Deficiency Assignment, (C) upon such deemed acquisition, the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(D) the Agent and the Company shall each be deemed to have waived any consents required under this Agreement to any such Erroneous Payment Deficiency Assignment, and (E) the Agent will reflect in the Register its ownership interest in the Advances subject to the Erroneous Payment Deficiency Assignment. For the avoidance of doubt, no Erroneous Payment Deficiency Assignment will reduce the Commitments of any Lender and such Commitments shall remain available in accordance with the terms of this Agreement. (ii) Subject to Section 9.07(b) (but excluding, in all events, any assignment consent or approval requirements (whether from the Company or otherwise)), the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Advances (or portion thereof), and the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Agent on or with respect to any such Advances acquired from such Lender pursuant to an Erroneous Payment Deficiency Assignment (to the extent that any such Advances are then owned by the Agent) and (y) may, in the sole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WEIL:\100513215\9\64058.0285 discretion of the Agent, be reduced by any amount specified by the Agent in writing to the applicable Lender from time to time. (e) The parties hereto agree that (x) irrespective of whether the Agent may be equitably subrogated, in the event that an Erroneous Payment (or portion thereof) is not recovered from any Payment Recipient that has received such Erroneous Payment (or portion thereof) for any reason, the Agent shall be subrogated to all the rights and interests of such Payment Recipient (and, in the case of any Payment Recipient who has received funds on behalf of a Lender, to the rights and interests of such Lender) under the Loan Documents with respect to such amount (the “Erroneous Payment Subrogation Rights”) (provided that the Loan Parties’ obligations under the Loan Documents in respect of the Erroneous Payment Subrogation Rights shall not be duplicative of such obligations in respect of Advances that have been assigned to the Agent under an Erroneous Payment Deficiency Assignment) and (y) an Erroneous Payment shall not pay, prepay, repay, discharge or otherwise satisfy any obligations under the Loan Documents owed by any Loan Party; provided that this Section 8.09 shall not be interpreted to increase (or accelerate the due date for), or have the effect of increasing (or accelerating the due date for), any obligations of the Loan Parties under the Loan Documents relative to the amount (and/or timing for payment) of such obligations that would have been payable had such Erroneous Payment not been made by the Agent; provided, further, that for the avoidance of doubt, immediately preceding clauses (x) and (y) shall not apply to the extent any such Erroneous Payment is, and solely with respect to the amount of such Erroneous Payment that is, comprised of funds received by the Agent from any Loan Party for the purpose of making such Erroneous Payment. (f)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any defense based on “discharge for value” or any similar doctrine. (g) Each party’s obligations, agreements and waivers under this Section 8.09 shall survive the resignation or replacement of the Agent, any transfer of rights or obligations by, or the replacement of, a Lender, the termination of the Commitments and/or the repayment, satisfaction or discharge of all obligations (or any portion thereof) under any Loan Document. ARTICLE 9 MISCELLANEOUS SECTION 9.01. Amendments, Etc. No amendment or waiver of any provision of this Agreement or the Notes, nor consent to any departure by any Borrower therefrom, shall in any event be effective unless the same shall be in writing and signed by the Required Lenders, and then such waiver or consent shall be effective only in the specific instance and for the specific purpose for which given; provided, however, that no amendment, waiver or consent shall, unless in writing and signed by (a) all the Lenders, do any of the following: (i) waive any of the conditions specified in Section 3.01, (ii) change the definition of “Required Lenders” or the percentage of the Commitments or of the aggregate unpaid principal amount of the Advances, or the number of Lenders, that shall be required for the Lenders or any of them to take any action hereunder, (iii) release the Company from any of its obligations under Article VII, (iv) change Section 2.15 in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WEIL:\100513215\9\64058.0285 manner that would alter the pro rata sharing of payments required thereby or (v) amend this Section 9.01; or (b) each Lender directly affected thereby, do any of the following: (i) increase the Commitments of the Lenders other than in accordance with Section 2.18 or extend the Termination Date with respect to a Lender other than in accordance with Section 2.19, (ii) reduce the principal of, or rate of interest on, the Advances or any fees or other amounts payable hereunder or (iii) postpone any date fixed for any payment of principal of, or interest on, the Advances or any fees or other amounts payable hereunder other than in accordance with Section 2.19; and provided further that no amendment, waiver or consent shall, unless in writing and signed by the Agent in addition to the Lenders required above to take such action, affect the rights or duties of the Agent under this Agreement or any Note. SECTION 9.02. Notices, Etc. (a) Notices Generally.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email or facsimile as follows: (i) if to the Company or any other Loan Party, to it at 521 W. 57th Street, New York, New York, 10019, Attention of Treasurer (Facsimile No. (212) 708-7130; Telephone No. (929) 286-8197; E-mail: Meaghan.Adams@iff.com); (ii) if to the Agent, to Citibank, N.A. at One Penns Way, Ops II, Floor 2, New Castle, Delaware, 19720, Attention: Lending Agency (Facsimile No. (646) 274-5080; E- mail: USAgencyServicing@citi.com and a copy to David Jaffe, E-mail: david.jaffe@citi.com); and (iii) if to a Lender, to it at its address (or facsimile number or e-mail) set forth in its Administrative Questionnaire.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 (b) Electronic Communications. Notices and other communications to the Lenders hereunder may be delivered or furnished by electronic communication (including e-mail and Internet or intranet websites) pursuant to procedures approved by the Agent, provided that the foregoing shall not apply to notices to any Lender pursuant to Article II if such Lender has notified the Agent that it is incapable of receiving notices under such Article by electronic communication. The Agent or the Company may, in its discretion, agree to accept notices and other communications to it hereunder by electronic communications pursuant to procedures approved by it; provided that approval of such procedures may be limited to particular notices or communications.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WEIL:\100513215\9\64058.0285 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 (c) Change of Address, etc. Any party hereto may change its address or facsimile number for notices and other communications hereunder by notice to the other parties hereto. (d) Platform. (i) Each Loan Party agrees that the Agent may, but shall not be obligated to, make the Communications (as defined below) available to the Lenders by posting the Communications on Debt Domain, Intralinks, Syndtrak or a substantially similar electronic transmission system (the “Platform”). (ii)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Agent or any of its Related Parties (collectively, the “Agent Parties”) have any liability to the Company or the other Loan Parties, any Lender or any other Person or entity for damages of any kind, including, without limitation, direct or indirect, special, incidental or consequential damages, losses or expenses (whether in contract or tort or otherwise, and whether at law or in equity) arising out of the Company’s or the Agent’s transmission of communications through the Platform. “Communications” means, collectively, any notice, demand, communication, information, document or other material provided by or on behalf of any Loan Party pursuant to any Loan Document or the transactions contemplated therein which is distributed to the Agent or any Lender by means of electronic communications pursuant to this Section, including through the Platform. SECTION 9.03. No Waiver; Remedies.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 SECTION 9.04. Costs and Expenses. (a) Costs and Expenses. The Company shall pay upon demand and presentation of a statement of account (i) all reasonable and documented out-of-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WEIL:\100513215\9\64058.0285 pocket expenses incurred by the Agent and its Affiliates (including the reasonable and documented fees, charges and disbursements of one New York counsel for the Agent, and one local counsel to the Agent in each relevant jurisdiction) in connection with the syndication of the credit facilities contemplated by this Agreement, the preparation, negotiation, execution, delivery and administration of this Agreement and the other Loan Documents, or any amendments, modifications or waivers of the provisions hereof or thereof and (ii) all reasonable and documented out-of-pocket expenses incurred by the Agent, any Lender (including the reasonable and documented fees, charges and disbursements any counsel for the Agent or any Lender) in connection with the enforcement or protection of its rights (A) in connection with this Agreement and the other Loan Documents, including its rights under this Section 9.04(a), or (B) in connection with the Advances made hereunder, including all such out-of-pocket expenses incurred during any workout, restructuring or negotiations in respect of such Advances. (b) Indemnification by the Company. The Company shall indemnify the Agent and each Lender, and each Related Party of any of the foregoing Persons (each such Person being called an “Indemnitee”) against, and hold each Indemnitee harmless from, any and all losses, claims, damages, liabilities and related expenses (including the reasonable and documented fees, charges and disbursements of any counsel for any Indemnitee but excluding loss of anticipated profits, business or anticipated savings), incurred by any Indemnitee or asserted against any Indemnitee by any Person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Advance or the use or proposed use of the proceeds therefrom, (iii) any actual or alleged presence or release of Hazardous Materials at, on, under, in, to or from any property currently or, to the extent of liability of or related to the Company or any of its Subsidiaries with respect to such property, formerly owned, leased or operated by the Company or any of its Subsidiaries, any Environmental Action related in any way to the Company or any of its Subsidiaries or any other liability of or related to the Company or any of its Subsidiaries related to Environmental Laws, Environmental Permits or Hazardous Materials, or (iv) any actual or prospective claim, litigation, investigation or proceeding relating to any of the foregoing, whether based on contract, tort or any other theory, whether brought by a third party or by any Loan Party, and regardless of whether any Indemnitee is a party thereto; provided that any such indemnity as provided in this Section 9.04(b) shall not, as to any Indemnitee, be available to the extent that such losses, claims, damages, liabilities or related expenses (A) are determined by a court of competent jurisdiction by final and non-appealable judgment to have resulted from (x) the gross negligence, bad faith or willful misconduct of such Indemnitee or any of its Related Parties or (y) a material breach of the obligations under this Agreement of such Indemnitee or (B) are related to any investigation, litigation, or proceeding (each, a “Proceeding”) that does not arise from any act or omission by the Company and that is brought by any Indemnitee against any other Indemnitee (other than any claims against the Agent in its capacity or in fulfilling its role as agent with respect to this Agreement and other than any claims arising out of any act or omission on the part of the Company or its affiliates); provided that the Agent and the Arrangers to the extent fulfilling their respective roles as an agent or arranger under or in connection with this Agreement and in their capacities as such, shall remain indemnified in respect of such Proceedings to the extent that none of the exceptions set forth in any of clauses (x) or (y) of clause (A) above applies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WEIL:\100513215\9\64058.0285 to such Person at such time; provided further that any legal expenses shall be limited to one counsel for all indemnified parties taken as a whole and if reasonably necessary, a single local counsel for all indemnified parties taken as a whole in each relevant jurisdiction (which may be a single local counsel acting in multiple jurisdictions) and, solely in the case of an actual or perceived conflict of interest among the Agent, the Arrangers and the Lenders, one additional counsel in each relevant jurisdiction to each group of affected indemnified parties similarly situated taken as a whole). This Section 9.04(b) shall not apply with respect to Taxes other than any Taxes that represent losses, claims, damages, etc. arising from any non-Tax claim. (c) Breakage Indemnity. If any payment of principal of, or Conversion of, any Term Benchmark Rate Advance is made by any Borrower to or for the account of a Lender other than on the last day of the Interest Period for such Advance as a result of a payment or Conversion, acceleration of the maturity of the Advances pursuant to Section 6.01 or for any other reason, or by an Eligible Assignee to a Lender other than on the last day of the Interest Period for such Advance upon an assignment of rights and obligations under this Agreement pursuant to Section 9.07 as a result of a demand by the Company pursuant to Section 2.21(b), or if any Borrower fails to make any payment or prepayment of an Advance for which a notice of prepayment has been given or that is otherwise required to be made, the applicable Borrower shall, upon written demand by such Lender (with a copy of such demand to the Agent), pay to the Agent for the account of such Lender any amounts required to compensate such Lender for any additional losses, costs or expenses that it reasonably incurs as a result of such payment or Conversion, including, without limitation, any loss (excluding loss of profits), cost or expense incurred by reason of the liquidation or reemployment of deposits or other funds acquired by any Lender to fund or maintain such Advance. (d) Reimbursement by Lenders. To the extent that the Company for any reason fails to indefeasibly pay any amount required under paragraph (a) or (b) of this Section to be paid by it to the Agent or any Related Party of the Agent, each Lender severally agrees to pay to the Agent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provided that the unreimbursed expense or indemnified loss, claim, damage, liability or related expense, as the case may be, shall have been incurred by or asserted against the Agent in its capacity as such, or against any Related Party of the Agent acting for the Agent in its capacity as such; provided, further, that no Lender shall be liable for any portion of such losses, claims, damages, liabilities or related expenses to the extent they are determined by a court of competent jurisdiction by final and non-appealable judgment to have resulted from the gross negligence, bad faith or willful misconduct of the Agent or any Related Party, as applicable. The obligations of the Lenders under this paragraph (c) are several, and the failure of any Lender to perform its obligations under this paragraph (c) shall not affect any other Lender’s obligations under this paragraph nor shall any Lender be responsible for the failure of any other Lender to perform its obligations under this paragraph. (e) Waiver of Consequential Damages, Etc. To the fullest extent permitted by applicable law, no party hereto shall assert, and each hereby waives, any claim against any other party hereto, on any theory of liability, for special, indirect, consequential or punitive damages, including without limitation, any loss of profits, business or anticipated savings (as opposed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WEIL:\100513215\9\64058.0285 direct or actual damages) arising out of, in connection with, or as a result of, this Agreement, any other Loan Document or any agreement or instrument contemplated hereby, the transactions contemplated hereby or thereby, any Advance, or the use of the proceeds thereof; provided that nothing in this clause (e) shall relieve any Borrower of any obligation it may have to indemnify an Indemnitee against special, indirect, consequential or punitive damages asserted against such Indemnitee by a third party. No party hereto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(f) Payments. All amounts due under this Section shall be payable promptly after written demand therefor. (g) Survival. Each party’s obligations under Section 2.11, Section 2.14 and this Section shall survive the termination of the Loan Documents and payment of the obligations hereunder. SECTION 9.05. Right of Set-off. If an Event of Default shall have occurred and be continuing, each Lender and each of its Affiliates is hereby authorized at any time and from time to time, to the fullest extent permitted by applicable law and subject to exceptions of mandatory law in the country of incorporation of each Borrower, to set off and apply any and all deposits (general or special, time or demand, provisional or final, in whatever currency) at any time held, and other obligations (in whatever currency) at any time owing, by such Lender or any such Affiliate, to or for the credit or the account of the Company or any other Loan Party against any and all of the obligations of the Company or such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of the Company or such Loan Party may be contingent or unmatured or are owed to a branch, office or Affiliate of such Lender different from the branch, office or Affiliate holding such deposit or obligated on such indebtedness; provided that in the event that any Defaulting Lender shall exercise any such right of setoff, (x) all amounts so set off shall be paid over immediately to the Agent for further application in accordance with the provisions of Section 2.20 and, pending such payment, shall be segregated by such Defaulting Lender from its other funds and deemed held in trust for the benefit of the Agent and the Lenders, and (y) the Defaulting Lender shall provide promptly to the Agent a statement describing in reasonable detail the obligations owing to such Defaulting Lender as to which it exercised such right of setoff. The rights of each Lender and its Affiliates under this Section are in addition to other rights and remedies (including other rights of setoff) that such Lender or its Affiliates may have. Each Lender agrees to notify the Company and the Agent promptly after any such setoff and application; provided that the failure to give such notice shall not affect the validity of such setoff and application. SECTION 9.06. Binding Effect. On the Effective Date, this Agreement shall become effective and shall be binding upon and inure to the benefit of the Company, each other Borrower, the Agent and each Lender and their respective successors and assigns, except that neither the Company nor any other Borrower shall have the right to assign its rights hereunder or any interest herein without the prior written consent of all of the Lenders, except as otherwise permitted by this Agreement, including without limitation, Section 5.02(b).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WEIL:\100513215\9\64058.0285 SECTION 9.07. Assignments and Participations. (a) Successors and Assigns Generally.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Agent and the Lenders) any legal or equitable right, remedy or claim under or by reason of this Agreement. (b) Assignments by Lenders. Any Lender may at any time assign to one or more assignees all or a portion of its rights and obligations under this Agreement (including all or a portion of its Commitment and the Advances at the time owing to it); provided that any such assignment shall be subject to the following conditions: (i) Minimum Amounts. (A) in the case of an assignment of the entire remaining amount of the assigning Lender’s Commitment and/or the Advances at the time owing to it or contemporaneous assignments to related Approved Funds that equal at least the amount specified in paragraph (b)(i)(B) of this Section in the aggregate or in the case of an assignment to a Lender, an Affiliate of a Lender or an Approved Fund, no minimum amount need be assigned; and (B) in any case not described in paragraph (b)(i)(A) of this Section,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Agent or, if “Trade Date” is specified in the Assignment and Assumption, as of the Trade Date) shall not be less than $10,000,000 or an integral multiple of $1,000,000 in excess thereof, unless each of the Agent and, so long as no Event of Default has occurred and is continuing, the Company otherwise consents (each such consent not to be unreasonably withheld or delayed). (ii) Proportionate Amounts. Each partial assignment shall be made as an assignment of a proportionate part of all the assigning Lender’s rights and obligations under this Agreement with respect to the Advances or the Commitment assigned, except that this clause (ii) shall not prohibit any Lender from assigning all or a portion of its rights and obligations among separate credit facilities hereunder on a non-pro rata basis. (iii) Required Consents. No consent shall be required for any assignment except to the extent required by paragraph (b)(i)(B) of this Section and, in addition: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WEIL:\100513215\9\64058.0285 (A) the consent of the Company (such consent not to be unreasonably withheld or delayed) shall be required unless (x) an Event of Default has occurred and is continuing at the time of such assignment, or (y) such assignment is to a Lender, an Affiliate of a Lender or an Approved Fund; provided that the Company shall be deemed to have consented to any such assignment unless it shall object thereto by written notice to the Agent within ten Business Days after having received written notice thereof; and (B) the consent of the Agent (such consent not to be unreasonably withheld or delayed) shall be required for assignments to a Person that is not a Lender, an Affiliate of a Lender or an Approved Fund. (iv) Assignment and Assumption. The parties to each assignment shall execute and deliver to the Agent an Assignment and Assumption, together with a processing and recordation fee of $3,500; provided that the Agent may, in its sole discretion, elect to waive such processing and recordation fee in the case of any assignment. The assignee, if it is not a Lender, shall deliver to the Agent an Administrative Questionnaire. (v) No Assignment to Certain Persons. No such assignment shall be made to (A) any Borrower or any of its Affiliates or Subsidiaries or (B) to any Defaulting Lender or any of its Subsidiaries, or any Person who, upon becoming a Lender hereunder, would constitute any of the foregoing Persons described in this clause (B). (vi) No Assignment to Natural Persons. No such assignment shall be made to a natural Person (or a holding company, investment vehicle or trust for, or owned and operated by or for the primary benefit of a natural Person). (vii) Certain Additional Payments.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Company and the Agent, the applicable pro rata share of Advances previously requested but not funded by the Defaulting Lender, to each of which the applicable assignee and assignor hereby irrevocably consent), to pay and satisfy in full all payment liabilities then owed by such Defaulting Lender to the Agent and each other Lender hereunder (and interest accrued thereon), and (y) acquire (and fund as appropriate) its full pro rata share of all Advances in accordance with its Ratable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Subject to acceptance and recording thereof by the Agent pursuant to paragraph (c) of this Section, from and after the effective date specified in each Assignment and Assumption, the assignee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WEIL:\100513215\9\64058.0285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2.11 and 9.04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(c) Register. The Agent, acting solely for this purpose as a non-fiduciary agent of the Borrowers, shall maintain at one of its offices in the United States a copy of each Assignment and Assumption delivered to it and a register for the recordation of the names and addresses of the Lenders, and the Commitments of, and principal amounts (and stated interest) of the Advances owing to, each Lender pursuant to the terms hereof from time to time (the “Register”). The entries in the Register shall be conclusive absent manifest error, and the Borrowers, the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 (d) Participations. Any Lender may at any time, without the consent of, or notice to, the Company or the Agent, sell participations to any Person (other than a natural Person (or a holding company, investment vehicle or trust for, or owned and operated by or for the primary benefit of a natural Person) or the Company or any of the Company’s Affiliates or Subsidiaries) (each, a “Participant”) in all or a portion of such Lender’s rights and/or obligations under this Agreement (including all or a portion of its Commitment and/or the Advances owing to it); provided that (i) such Lender’s obligations under this Agreement shall remain unchanged, (ii) such Lender shall remain solely responsible to the other parties hereto for the performance of such obligations and (iii) the Borrowers, the Agent and Lenders shall continue to deal solely and directly with such Lender in connection with such Lender’s rights and obligations under this Agreement. For the avoidance of doubt, each Lender shall be responsible for the indemnity under Section 9.04(d) with respect to any payments made by such Lender to its Participant(s).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9.01 that affects such Participant. The Borrowers agree that each Participant shall be entitled to the benefits of Sections 2.11, 9.04(c) and 2.14 (subject to the requirements and limitations therein, including the requirements under Section 2.14(g) (it being understood that the documentation required under Section 2.14(g) shall be delivered to the participating Lender)) to the same extent as if it were a Lender and had acquired its interest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WEIL:\100513215\9\64058.0285 assignment pursuant to paragraph (b) of this Section; provided that such Participant (A) agrees to be subject to the provisions of Sections 2.21 as if it were an assignee under paragraph (b) of this Section; and (B) shall not be entitled to receive any greater payment under Sections 2.11 or 2.14,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Section 2.21(b) with respect to any Participant. To the extent permitted by law, each Participant also shall be entitled to the benefits of Section 9.05 as though it were a Lender; provided that such Participant agrees to be subject to Section 2.15 as though it were a Lender. Each Lender that sells a participation shall, acting solely for this purpose as a non-fiduciary of the Company, maintain a register on which it enters the name and address of each Participant and the principal amounts (and stated interest) of each Participant’s interest in the Advances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(e) Certain Pledges. Any Lender may at any time pledge or assign a security interest in all or any portion of its rights under this Agreement to secure obligations of such Lender, including any pledge or assignment to secure obligations to a Federal Reserve Bank or any central bank having jurisdiction over such Lender; provided that no such pledge or assignment shall release such Lender from any of its obligations hereunder or substitute any such pledgee or assignee for such Lender as a party hereto. (f) Notwithstanding anything to the contrary contained herein, any Lender (a “Granting Lender”) may grant to a special purpose funding vehicle identified as such in writing from time to time by the Granting Lender to the Agent and the Company (an “SPC”) the option to provide all or any part of any Advance that such Granting Lender would otherwise be obligated to make pursuant to this Agreement; provided that (i) nothing herein shall constitute a commitment by any SPC to fund any Advance; and (ii) if an SPC elects not to exercise such option or otherwise fails to make all or any part of such Advance, the Granting Lender shall be obligated to make such Advance pursuant to the terms hereof. Each party hereto hereby agrees that (A) neither the grant to any SPC nor the exercise by any SPC of such option shall increase the costs or expenses or otherwise increase or change the obligations of the Borrowers under this Agreement (including their obligations under Section 2.14); (B) no SPC shall be liable for any indemnity or similar payment obligation under this Agreement for which a Lender would be liable (which indemnity or similar payment obligation should be retained by the Granting Lender); and (C) the Granting Lender shall for all purposes, including the approval of any amendment, waiver or other modification of any provision of any Loan Document, remain the lender of record hereunder. The making of an Advance by an SPC hereunder shall utilize the Commitment of the Granting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WEIL:\100513215\9\64058.0285 to the same extent, and as if, such Advance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(x) with notice to, but without prior consent of the Company and the Agent and with the payment of a processing fee of $3,500, assign all or any portion of its right to receive payment with respect to any Advance to the Granting Lender and (y) disclose on a confidential basis any non-public information relating to its funding of Advances to any rating agency, commercial paper dealer or provider of any surety or guarantee or credit or liquidity enhancement to such SPC. No Borrower shall be required to pay any amount under Sections 2.11, 2.12, 2.14, 9.04(a), (b) and (c) that is greater than the amount which it would have been required to pay had no grant been made by a Granting Lender to a SPC. SECTION 9.08. Confidentiality. Each of the Agent and the Lenders agrees to maintain the confidentiality of the Information (as defined below), except that Information may be disclosed (a) to its Affiliates and to its and its Affiliates’ respective managers, administrators, trustees, partners, directors, officers, employees, agents, advisors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 regulatory authority, such as the National Association of Insurance Commissioners), (c) to the extent required by applicable laws or regulations or by any subpoena or similar legal process, provided that, in such case and in the case of clauses (b) and (c) above, the Agent or such Lender, as applicable, shall notify the Company promptly thereof prior to disclosure of such Information, to the extent practicable and it is not prohibited from doing so by any law or regulation or by such subpoena or legal process and except with respect to any audit or examination conducted by bank accountants or any governmental bank regulatory authority exercising examination or regulatory authority, (d) to any other party hereto and to such other party’s Affiliates and to its and its Affiliates’ respective managers, administrators, trustees, partners, directors, officers, employees, agents, advisors and other representatives (it being understood that the Persons to whom such disclosure is made will be informed of the confidential nature of such Information and instructed to keep such Information confidential), (e) in connection with the exercise of any remedies hereunder or under any Note or any action or proceeding relating to this Agreement or any Note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(it being understood that such actual or prospective party will be informed of the confidential nature of such Information and instructed to keep such Information confidential), (ii) any actual or prospective risk protection provider or party (or its managers, administrators, trustees, partners, directors, officers, employees, agents, advisors and other representatives) to any swap, derivative or other transaction under which payments are to be made by reference to the Company and its obligations, this Agreement or payments hereunder (it being understood that such actual or prospective assignee or participant will be informed of the confidential nature of such Information and instructed to keep such Information confidential on terms not less favorable than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WEIL:\100513215\9\64058.0285 the provisions hereof in accordance with the standard syndication processes of the Arrangers or customary market standards for the dissemination of such Information), (iii) any rating agency on a confidential basis (limited to the information contained in this Agreement), (iv) the CUSIP Service Bureau or any similar organization or (v) to market data collectors, similar service providers to the lending industry (limited to generic information about this Agreement), and service providers to the Arrangers in connection with the administration and management of this Agreement, (g) with the written consent of the Company, (h) to the extent such Information (x) becomes publicly available other than as a result of a breach of this Section or (y) becomes available to the Agent, any Lender or any of their respective Affiliates on a nonconfidential basis from a source other than the Company unless the Agent or such Lender, as applicable, has actual knowledge that such source was required to keep such Information confidential or (i) for purposes of establishing a “due diligence” defense or otherwise to the extent necessary in connection with the exercise of any remedies hereunder or any suit, action or proceeding relating to this Agreement or the transactions contemplated hereby or enforcement thereof. For purposes of this Section, “Information” means all information received from the Company or any of its Subsidiaries relating to the Company or any of its Subsidiaries or any of their respective businesses, other than any such information that is available to the Agent or any Lender on a nonconfidential basis prior to disclosure by the Company or any of its Subsidiaries, provided that, in the case of information received from the Company or any of its Subsidiaries after the date hereof, such information is clearly identified at the time of delivery as confidential or should, because of its nature, reasonably be understood to be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Notwithstanding anything contained herein, nothing in this Agreement shall prohibit or in any way restrict any party hereto from reporting possible violations of law or regulation to, otherwise communicating directly with, cooperating with or providing information to any governmental or regulatory body or any self-regulatory organization, or making other disclosures, in each case, pursuant to applicable “whistleblower” laws or regulations. SECTION 9.09. Designated Subsidiaries. (a) Designation. The Company may at any time, and from time to time, upon not less than 15 Business Days’ notice in the case of any Subsidiary so designated after the Effective Date, notify the Agent that the Company intends to designate a wholly-owned Subsidiary of the Company organized in the United States (or a state thereof) as a “Designated Subsidiary” for purposes of this Agreement. On or after the date that is 15 Business Days after such notice, upon delivery to the Agent of a Designation Letter duly executed by the Company and the respective Subsidiary and substantially in the form of Exhibit D hereto, such Subsidiary shall thereupon become a “Designated Subsidiary” and a “Borrower” for purposes of this Agreement and, as such, shall (i) have all of the rights and obligations of a Borrower hereunder and (ii) become a Borrower hereunder as if initially named herein as such. The Agent shall promptly notify each Lender of the Company’s notice of such pending designation by the Company and the identity of the respective Subsidiary. Following the giving of any notice pursuant to this Section 9.09(a), if the designation of such Designated Subsidiary obligates the Agent or any Lender to comply with “know your customer” or similar identification procedures in circumstances where the necessary information is not already available to it, the Company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WEIL:\100513215\9\64058.0285 promptly upon the request of the Agent or any Lender, supply such documentation and other evidence as is reasonably requested by the Agent or any Lender in order for the Agent or such Lender to carry out and be satisfied it has complied with the results of all necessary “know your customer” or other similar checks under all applicable laws and regulations and a Beneficial Ownership Certification if such Designated Subsidiary qualifies as a “legal entity customer” under the Beneficial Ownership Regulation. (b) Termination. Upon the payment and performance in full of all of the indebtedness, liabilities and obligations under this Agreement and the Notes of any Designated Subsidiary then, so long as at the time no Notice of Revolving Borrowing in respect of such Designated Subsidiary is outstanding, such Subsidiary’s status as a “Designated Subsidiary” and a “Borrower” shall terminate upon written notice to such effect from the Agent to the Lenders (which notice the Agent shall give promptly upon its receipt of a request therefor from the Company). Thereafter, the Lenders shall be under no further obligation to make any Advance hereunder to such Designated Subsidiary. SECTION 9.10. Governing Law; Jurisdiction; Etc. (a) Governing Law. This Agreement and the other Loan Documents and any claims, controversy, dispute or cause of action (whether in contract or tort or otherwise, and whether at law or in equity)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(b) Jurisdiction. Each party hereto irrevocably and unconditionally agrees that it will not commence any action, litigation or proceeding of any kind or description, whether in law or equity, whether in contract or in tort or otherwise, against any other party hereto,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Agent or any Lender may otherwise have to bring any action or proceeding relating to this Agreement or any other Loan Document against the Company or any other Loan Party or its properties in the courts of any jurisdiction in connection with the exercise of any rights under any agreement related to collateral provided hereunder that is governed by laws other than the law of the State of New York or to enforce a judgment obtained from a court in New York. (c) Waiver of Venue. Each party hereto irrevocably and unconditionally waives, to the fullest extent permitted by applicable law, any objection that it may now or hereafter have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WEIL:\100513215\9\64058.0285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 (d) Service of Process. Each party hereto irrevocably consents to service of process in the manner provided for notices in Section 9.02. Each Designated Subsidiary hereby agrees that service of process in any action or proceeding brought in any New York State court or in federal court described in subsection (b) above may be made upon the Company at its address set forth in Section 9.02 and each Designated Subsidiary hereby irrevocably appoints the Company its authorized agent to accept such service of process, and agrees that the failure of the Company to give any notice of any such service shall not impair or affect the validity of such service or of any judgment rendered in any action or proceeding based thereon. Nothing in this Agreement will affect the right of any party hereto to serve process in any other manner permitted by applicable law. SECTION 9.11. Execution in Counterparts.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other electronic means shall be effective as delivery of a manually executed counterpart of this Agreement.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to the extent any Borrower executes this Agreement by way of electronic signature, such Borrower shall, upon reasonable request therefor, provide to the Agent a manually executed signature to this Agreement (which may be delivered by fax or in a .pdf or similar file). SECTION 9.12. Judgment. (a) If for the purposes of obtaining judgment in any court it is necessary to convert a sum due hereunder in Dollars into another currency, the parties hereto agree, to the fullest extent that they may effectively do so, that the rate of exchange used shall be that at which in accordance with normal banking procedures the Agent could purchase Dollars with such other currency at Citibank’s principal office in London at 11:00 A.M. (London time) on the Business Day preceding that on which final judgment is given. (b) If for the purposes of obtaining judgment in any court it is necessary to convert a sum due hereunder in a Committed Currency into Dollars, the parties agree to the fullest extent that they may effectively do so, that the rate of exchange used shall be that at which in accordance with normal banking procedures the Agent could purchase such Committed Currency with Dollars at Citibank’s principal office in London at 11:00 A.M. (London time) on the Business Day preceding that on which final judgment is given.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WEIL:\100513215\9\64058.0285 (c) The obligation of any Borrower in respect of any sum due from it in any currency (the “Primary Currency”) to any Lender or the Agent hereunder shall, notwithstanding any judgment in any other currency, be discharged only to the extent that on the Business Day following receipt by such Lender or the Agent (as the case may be), of any sum adjudged to be so due in such other currency, such Lender or the Agent (as the case may be) may in accordance with normal banking procedures purchase the applicable Primary Currency with such other currency; if the amount of the applicable Primary Currency so purchased is less than such sum due to such Lender or the Agent (as the case may be) in the applicable Primary Currency, each Borrower agrees, as a separate obligation and notwithstanding any such judgment, to indemnify such Lender or the Agent (as the case may be) against such loss, and if the amount of the applicable Primary Currency so purchased exceeds such sum due to any Lender or the Agent (as the case may be) in the applicable Primary Currency, such Lender or the Agent (as the case may be) agrees to remit to such Borrower such excess. SECTION 9.13. Substitution of Currency. If a change in any Committed Currency occurs pursuant to any applicable law, rule or regulation of any governmental, monetary or multi- national authority, this Agreement (including, without limitation, the definition of Term Benchmark Rate) will be amended to the extent determined by the Agent (acting reasonably and in consultation with the Company) to be necessary to reflect the change in currency and to put the Lenders and the Borrowers in the same position, so far as possible, that they would have been in if no change in such Committed Currency had occurred. SECTION 9.14.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WEIL:\100513215\9\64058.0285 As used in this Agreement, the following terms shall have the following meanings (such meanings to be equally applicable to both the singular and plural forms of the terms defined): “Affected Financial Institution” means (a) any EEA Financial Institution or (b) any UK Financial Institution.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“EU Bail-In Legislation Schedule” means the EU Bail-In Legislation Schedule published by the Loan Market Association (or any successor person), as in effect from time to time. “Resolution Authority” means an EEA Resolution Authority or, with respect to any UK Financial Institution, a UK Resolution Authority. “UK Financial Institution”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WEIL:\100513215\9\64058.0285 “UK Resolution Authority” means the Bank of England or any other public administrative authority having responsibility for the resolution of any UK Financial Institution.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9.15. Patriot Act Notice. Each Lender and the Agent (for itself and not on behalf of any Lender) hereby notifies each Borrower that pursuant to the requirements of the Patriot Act and the Beneficial Ownership Regulation, it is required to obtain, verify and record information that identifies each Borrower, which information includes the name and address of each Borrower, and to the extent applicable, a Beneficial Ownership Certification, and other information that will allow such Lender or the Agent, as applicable, to identify each Borrower in accordance with the Patriot Act and the Beneficial Ownership Regulation. Each Borrower shall provide such information and take such actions as are reasonably requested by the Agent or any Lenders in order to assist the Agent and the Lenders in maintaining compliance with the Patriot Act and the Beneficial Ownership Regulation. SECTION 9.16. Power of Attorney. Each Subsidiary of the Company may from time to time authorize and appoint the Company as its attorney-in-fact to execute and deliver (a) any amendment, waiver or consent in accordance with Section 9.01 on behalf of and in the name of such Subsidiary and (b) any notice or other communication hereunder, on behalf of and in the name of such Subsidiary. Such authorization shall become effective as of the date on which such Subsidiary delivers to the Agent a power of attorney enforceable under applicable law and any additional information to the Agent as necessary to make such power of attorney the legal, valid and binding obligation of such Subsidiary. SECTION 9.17. No Fiduciary Duty. Each Agent, each Lender and their Affiliates may have economic interests that conflict with those of the Borrowers. Each Borrower agrees that in connection with all aspects of the transactions contemplated hereby and any communications in connection therewith, each Borrower and its Affiliates, on the one hand, and the Agent, the Bookrunners, Arrangers, syndication agent, documentation agent, the Lenders and their respective Affiliates, on the other hand, will have a business relationship that does not create, by implication or otherwise, any fiduciary duty on the part of the Agent, the Bookrunners, Arrangers, syndication agent, documentation agent, the Lenders or their respective Affiliates and no such duty will be deemed to have arisen in connection with any such transactions or communications. SECTION 9.18. Status of Certain Lenders and Former Borrower. On and as of the Effective Date, each Lender identified on the signature pages to this Agreement that was not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WEIL:\100513215\9\64058.0285 Lender immediately prior to the Effective Date shall on the Effective Date become a party to this Agreement as a Lender, and shall be entitled to all the rights and benefits, and each such Lender agrees to perform all the obligations, which in each case are applicable to it in its capacity as a Lender hereunder. SECTION 9.19. Waiver of Jury Trial. Each of the Company, the other Borrowers, the other Loan Parties, the Agent and the Lenders hereby irrevocably waives all right to trial by jury in any action, proceeding or counterclaim (whether based on contract, tort or otherwise, and whether at law or in equity) arising out of or relating to this Agreement or the Notes or the actions of the Agent or any Lender in the negotiation, administration, performance or enforcement thereof. SECTION 9.20. Certain ERISA Matters. (a) Each Lender (x) represents and warrants, as of the date such Person became a Lender party hereto, to, and (y) covenants, from the date such Person became a Lender party hereto to the date such Person ceases being a Lender party hereto, for the benefit of, the Agent and the Arrangers and their respective Affiliates, and not, for the avoidance of doubt, to or for the benefit of the Company or any other Loan Party, that at least one of the following is and will be true: (i) such Lender is not using “plan assets” (within the meaning of Section 3(42) of ERISA and 29 C.F.R. 2510.3-101) of one or more Benefit Plans in connection with the Advances or the Commitments, (ii) the transaction exemption set forth in one or more PTEs, such as PTE 84- 14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96- 23 (a class exemption for certain transactions determined by in-house asset managers), is applicable with respect to such Lender’s entrance into, participation in, administration of and performance of the Advances,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 (iv) such other representation, warranty and covenant as may be agreed in writing between the Agent, in its sole discretion, and such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WEIL:\100513215\9\64058.0285 (b)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and the Arrangers and their respective Affiliates, and not, for the avoidance of doubt, to or for the benefit of the Company or any other Loan Party, that none of the Agent or any Arranger or any of their respective Affiliates is a fiduciary with respect to the assets of such Lender involved in the Advances, the Commitments and this Agreement (including in connection with the reservation or exercise of any rights by the Agent under this Agreement, any Loan Document or any documents related hereto or thereto). SECTION 9.21. Acknowledgement Regarding Any Supported QFCs. To the extent that the Loan Documents provide support, through a guarantee or otherwise, for any Hedge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(ii) As used in this Section 9.21, the following terms have the following meanings: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WEIL:\100513215\9\64058.0285 “BHC Act Affiliate” of a party means an “affiliate” (as such term is defined under, and interpreted in accordance with, 12 U.S.C. 1841(k)) of such party.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“QFC” has the meaning assigned to the term “qualified financial contract” in, and shall be interpreted in accordance with, 12 U.S.C. 5390(c)(8)(D).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CITIBANK, N.A., as Agent and as a Lender By: ______________________________________ Name: Michael Vondriska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JPMORGAN CHASE BANK, N.A. as a Lender By: Name: James Shender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Wells Fargo Bank, N.A. as a Lender By: Name: Carl Hinrichs Title: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210675" cy="13001625"/>
            <wp:effectExtent l="0" t="0" r="0" b="0"/>
            <wp:docPr id="14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03" descr=""/>
                    <pic:cNvPicPr>
                      <a:picLocks noChangeAspect="1" noChangeArrowheads="1"/>
                    </pic:cNvPicPr>
                  </pic:nvPicPr>
                  <pic:blipFill>
                    <a:blip r:embed="rId104"/>
                    <a:stretch>
                      <a:fillRect/>
                    </a:stretch>
                  </pic:blipFill>
                  <pic:spPr bwMode="auto">
                    <a:xfrm>
                      <a:off x="0" y="0"/>
                      <a:ext cx="92106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MIZUHO BANK, LTD., as a Lender By: ______________________________________ Name: Tracy Rahn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MORGAN STANLEY BANK, N.A., as a Lender By: ______________________________________ Name: Michael King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 WEIL:\100568921\4\64058.0285 EXHIBIT A FORM OF REVOLVING CREDIT PROMISSORY NOTE U.S.$____________________Dated:_________________________________, 202[ ] FOR VALUE RECEIVED, the undersigned, [NAME OF BORROWER], a [●] (the “Borrower”), HEREBY PROMISES TO PAY (the “Lender”) for the account of its Applicable Lending Office on the Termination Date (each as defined in the Credit Agreement referred to below) the principal sum of U.S.$[amount of the Lender’s Commitment in figures] or, if less, the aggregate principal amount of the Advances made by the Lender to the Borrower pursuant to the Fourth Amended and Restated Credit Agreement, dated as of June 25, 2025, among the Borrower, the Lender and certain other lenders party thereto, and Citibank, N.A., as Agent for the Lender and such other lenders (as amended, restated, amended and restated, supplemented or modified from time to time, the “Credit Agreement”; the terms defined therein being used herein as therein defined), outstanding on the Termination Date. The Borrower promises to pay interest on the unpaid principal amount of each Advance from the date of such Advance until such principal amount is paid in full, at such interest rates, and payable at such times, as are specified in the Credit Agreement. Both principal and interest in respect of each Advance shall be payable in the applicable currency at the applicable Agent’s Account, as set forth in the Credit Agreement, in each case, in same day funds. Each Advance owing to the Lender by the Borrower pursuant to the Credit Agreement, and all payments made on account of principal thereof, shall be recorded by the Lender and, prior to any transfer hereof, endorsed on the grid attached hereto which is part of this Revolving Credit Promissory Note. This Revolving Credit Promissory Note is one of the Notes referred to in, and is entitled to the benefits of, the Credit Agreement. The Credit Agreement, among other things, (i) provides for the making of Advances by the Lender to the Borrower from time to time in an aggregate amount not to exceed at any time outstanding the U.S. dollar amount first above mentioned, the indebtedness of the Borrower resulting from each such Advance being evidenced by this Revolving Credit Promissory Note, (ii) contains provisions for determining the Equivalent amount in Dollars of Advances denominated in Committed Currencies and (iii) contains provisions for acceleration of the maturity hereof upon the happening of certain stated events and also for prepayments on account of principal hereof prior to the maturity hereof upon the terms and conditions therein specified. This Revolving Credit Promissory Note shall be governed by, and construed in accordance with, the law of the State of New York.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 WEIL:\100568921\4\64058.0285 IN WITNESS WHEREOF, the Borrower has caused this Revolving Credit Promissory Note to be duly executed and delivered by its officer thereunto duly authorized as of the date first above written. [NAME OF BORROWER]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WEIL:\100568921\4\64058.0285 ADVANCES AND PAYMENTS OF PRINCIPAL Date Type of Advance Amount of Advance Amount of Principal Paid or Prepaid Unpaid Principal Balance Notation Made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B-1 WEIL:\100568921\4\64058.0285 EXHIBIT B FORM OF NOTICE OF REVOLVING BORROWING Citibank, N.A., as Agent for the Lenders parties to the Credit Agreement referred to below One Penns Way, Ops II, Floor 2 New Castle, Delaware 19720 Attn: Lending Agency Facsimile No: (646) 274-5080 Email: USAgencyServicing@citi.com david.jaffe@citi.com [Date] Ladies and Gentlemen: The undersigned, [Name of Borrower], refers to the Fourth Amended and Restated Credit Agreement, dated as of June 25, 2025 (as amended, restated, amended and restated, supplemented or modified from time to time, the “Credit Agreement”, the terms defined therein being used herein as therein defined), among the International Flavors &amp; Fragrances Inc., as borrower, the Lenders party thereto from time to time and Citibank, N.A., as Agent, and hereby gives you notice, irrevocably, pursuant to Section 2.02 of the Credit Agreement that the undersigned hereby requests a Borrowing under the Credit Agreement, and in that connection sets forth below the information relating to such Borrowing (the “Proposed Borrowing”) as required by Section 2.02(a) of the Credit Agreement: (i) The Business Day of the Proposed Borrowing is , 202[ ] (the “Proposed Borrowing Date”). (ii) The Type of Advances comprising the Proposed Borrowing is [Base Rate Advances] [Term Benchmark Rate Advances]. (iii) The aggregate amount of the Proposed Borrowing is [$ ][for a Borrowing in a Committed Currency, list currency and amount of Borrowing]. Funds should be credited to the below account of [Name of Borrower]: Bank: Address: SWIFT: Account: [(iv) The initial Interest Period for [each][the] Term Benchmark Rate Advance made as part of the Proposed Borrowing is [ ] month[s], start date [ ] to [ ]] The undersigned hereby certifies that the following statements will be true on the Proposed Borrowing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B-2 WEIL:\100568921\4\64058.0285 (A) the representations and warranties contained in Section 4.01 of the Credit Agreement [(except the representations set forth in subsection (e) thereof and in subsection (f) thereof)]1 are correct in all material respects (unless qualified by materiality, in which case, are true and correct in all respects) on and as of the Proposed Borrowing Date (except for those representations and warranties that specifically relate to a prior date, which shall have been correct on such prior date), before and after giving effect to the Proposed Borrowing and to the application of the proceeds therefrom, as though made on and as of such date [and the representations and warranties of the undersigned contained in its Designation Agreement are correct in all material respects (unless qualified by materiality in which case are true and correct in all respects) on and as of the Proposed Borrowing Date, before and after giving effect to the Proposed Borrowing (except for those representations and warranties that specifically relate to a prior date, which shall have been correct on such prior date) and to the application of the proceeds therefrom, as though made on and as of such date]2; and (B) no event has occurred and is continuing, or would result from such Proposed Borrowing or from the application of the proceeds therefrom, that constitutes a Default. [Signature Page Follows] 1 Insert bracketed text for borrowings requested after the Effective Date. 2 Insert bracketed text for borrowings by a Designated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B-3 WEIL:\100568921\4\64058.0285 Very truly yours, [NAME OF BORROWER]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C-1 WEIL:\100568921\4\64058.0285 EXHIBIT C FORM OF ASSIGNMENT AND ASSUMPTION This Assignment and Assumption (the “Assignment and Assumption”) is dated as of the Effective Date set forth below and is entered into by and between the Assignor identified in item 1 below (the “Assignor”) and the Assignee identified in item 2 below (the “Assignee”). Capitalized terms used but not defined herein shall have the meanings given to them in the Credit Agreement identified below (as amended, restated, amended and restated, supplemented or otherwise modified from time to time, the “Credit Agreement”), receipt of a copy of which is hereby acknowledged by the Assignee. The Standard Terms and Conditions set forth in Annex 1 attached hereto are hereby agreed to and incorporated herein by reference and made a part of this Assignment and Assumption as if set forth herein in full. 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facility identified below (including without limitation any guarantees included in such facility),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 (ii) above being referred to herein collectively as the “Assigned Interest”). Each such sale and assignment is without recourse to the Assignor and, except as expressly provided in this Assignment and Assumption, without representation or warranty by the Assignor. 1. Assignor: [Assignor [is] [is not] a Defaulting Lender] 2. Assignee: [indicate [Lender][Approved Fund] [Affiliate of [identify Lender]]] 3. Borrower(s): 4. Agent: Citibank, N.A., as the administrative agent under the Credit Agreement 5. Credit Agreement: Fourth Amended and Restated Credit Agreement, dated as of June 25, 2025, among International Flavors &amp; Fragrances Inc., as borrower, the Lenders party thereto from time to time and Citibank, N.A., as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C-2 WEIL:\100568921\4\64058.0285 6. Assigned Interest[s]: Assignor Assignee Aggregate Amount of Commitments/ Advances for all Lenders3 Amount of Commitments/ Advances Assigned4 Percentage Assigned of Commitments/ Advances5 CUSIP Number 7. Trade Date: 3 Amount to be adjusted by the counterparties to take into account any payments or prepayments made between the Trade Date and the Effective Date. 4 To be completed if the Assignor(s) and the Assignee(s) intend that the minimum assignment amount is to be determined as of the Trade Date. 5 Set forth, to at least 9 decimals, as a percentage of the Commitments/Advances of all Lenders under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C-3 WEIL:\100568921\4\64058.0285 Effective Date: , 202[ ] [TO BE INSERTED BY AGENT AND WHICH SHALL BE THE EFFECTIVE DATE OF RECORDATION OF TRANSFER IN THE REGISTER THEREFOR.] The terms set forth in this Assignment and Assumption are hereby agreed to: ASSIGNOR [NAME OF ASSIGNOR] By: Name: Title: ASSIGNEE [NAME OF ASSIGNEE] By: Name: Title: [Consented to and]6 Accepted by: CITIBANK, N.A., as Agent By: Name: Title: [Consented to by:]7 INTERNATIONAL FLAVORS &amp; FRAGRANCES INC. By: Name: Title: 6 To be added only if the consent of the Agent is required by the terms of the Credit Agreement. 7 To be added only if the consent of the Company is required by the terms of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C-4 WEIL:\100568921\4\64058.0285 ANNEX 1 STANDARD TERMS AND CONDITIONS FOR ASSIGNMENT AND ASSUMPTION 1. Representations and Warranties. 1.1 Assignor.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other Borrower or any of the Company’s Subsidiaries or Affiliates or any other Person obligated in respect of any Loan Document, or (iv) the performance or observance by the Company, any other Borrower or any of the Company’s Subsidiaries or Affiliates or any other Person of any of their respective obligations under any Loan Document. 1.2. Assignee.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9.07(b)(iii), (v) and (vi) of the Credit Agreement (subject to such consents, if any, as may be required under Section 9.07(b)(iii) of the Credit Agreement),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5.01(h) thereof, as applicable, and such other documents and information as it deems appropriate to make its own credit analysis and decision to enter into this Assignment and Assumption and to purchase the Assigned Interest, (vi) it has, independently and without reliance upon the Agent or any other Lender and based on such documents and information as it has deemed appropriate, made its own credit analysis and decision to enter into this Assignment and Assumption and to purchase the Assigned Interest, and (vii)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2. Payments. From and after the Effective Date, the Agent shall make all payments in respect of the Assigned Interest (including payments of principal, interest, fees and other amounts) to the Assignee whether such amounts have accrued prior to, on or after the Effective Date. The Assignor and the Assignee shall make all appropriate adjustments in payments by the Agent for periods prior to the Effective Date or with respect to the making of this assignment directly between themselves. Notwithstanding the foregoing, the Agent shall make all payments of interest, fees or other amounts paid or payable in kind from and after the Effective Date to the Assignee.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C-5 WEIL:\100568921\4\64058.0285 3. General Provisions.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or other electronic means shall be effective as delivery of a manually executed counterpart of this Assignment and Assumption. This Assignment and Assumption shall be governed by, and construed in accordance with, the law of the State of New York.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D-1 WEIL:\100568921\4\64058.0285 EXHIBIT D FORM OF DESIGNATION AGREEMENT [DATE] To each of the Lenders party to the Credit Agreement (as defined below) and to Citibank, N.A., as Agent for such Lenders Ladies and Gentlemen: Reference is made to the Fourth Amended and Restated Credit Agreement, dated as of June 25, 2025 (as amended, restated, amended and restated, supplemented or otherwise modified from time to time, the “Credit Agreement”), among International Flavors &amp; Fragrances Inc. (the “Company”), as borrower, the Lenders party thereto from time to time and Citibank, N.A., as Agent (in such capacity, the “Agent”). Terms defined in the Credit Agreement are used herein with the same meaning. Please be advised that pursuant to Section 9.09 of the Credit Agreement, the Company hereby designates its undersigned Subsidiary, (“Designated Subsidiary”), as a “Designated Subsidiary” and a “Borrower” under and for all purposes of the Credit Agreement. The Designated Subsidiary, in consideration of each Lender’s agreement to extend credit to it under and on the terms and conditions set forth in the Credit Agreement, does hereby assume each of the obligations imposed upon a “Designated Subsidiary” and a “Borrower” under the Credit Agreement and agrees to be bound by the terms and conditions of the Credit Agreement. In furtherance of the foregoing, the Designated Subsidiary hereby represents and warrants to each Lender as follows: (a) The Designated Subsidiary is a ____________ duly organized, validly existing and in good standing under the laws of ___________. (b) The execution, delivery and performance by the Designated Subsidiary of this Designation Agreement, the Credit Agreement and the Notes, if any, and any other Loan Document to be delivered by it are within the Designated Subsidiary’s corporate or other powers, have been duly authorized by all necessary corporate action and do not conflict with (i) the Designated Subsidiary’s charter or by-laws other constitutive documents, (ii) any law or (iii) any material contractual restriction, or to the knowledge of the Designated Subsidiary, any other contractual restriction, binding on or affecting the Designated Subsidiary. The Designation Agreement and the Notes, if any, delivered by it have been duly executed and delivered on behalf of the Designated Subsidiary. (c) All Authorizations required (i) for the due execution, delivery and performance by the Designated Subsidiary of this Designation Agreement, the Credit Agreement, the Notes, if any, or any other Loan Document to be delivered by it or (ii) to make the Designation Agreement, the Credit Agreement, the Notes, if any, or any other Loan Document admissible in evidence in its jurisdiction of incorporation have been obtained or effected and are in full force and effect. (d) This Designation Agreement is, and the Notes, if any, and the other Loan Documents to be delivered by the Designated Subsidiary when delivered will be, legal, valid and binding obligations of the Designated Subsidiary enforceable against the Designated Subsidiary in accordance with their respective terms, except to the extent that such enforceability may be limited by any applicable bankruptcy,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D-2 WEIL:\100568921\4\64058.0285 insolvency, reorganization, moratorium or other similar laws affecting creditors’ rights generally from time to time in effect and may be subject to the discretion of courts with respect to the granting of equitable remedies and to the power of courts to stay proceedings for the execution of judgments. (e) There is no pending or threatened action, suit, investigation or proceeding, including, without limitation, any Environmental Action, affecting the Designated Subsidiary or any of its Subsidiaries before any court, governmental agency or arbitrator that purports to affect the legality, validity or enforceability of this Designation Agreement, the Credit Agreement or any Note of the Designated Subsidiary or any other Loan Document to which the Designated Subsidiary is a party. The Designated Subsidiary hereby agrees that service of process in any action or proceeding brought in any New York State court or in federal court may be made upon the Company at its offices at 521 W. 57th Street, New York, New York 10019, Attention of Treasurer (the “Process Agent”) and the Designated Subsidiary hereby irrevocably appoints the Process Agent to give any notice of any such service of process, and agrees that the failure of the Process Agent to give any notice of any such service shall not impair or affect the validity of such service or of any judgment rendered in any action or proceeding based thereon. The Company hereby accepts such appointment as Process Agent and agrees with you that (i) the Company will maintain an office in New York, New York through the Termination Date and will give the Agent prompt notice of any change of address of the Company, (ii) the Company will perform its duties as Process Agent to receive on behalf of the Designated Subsidiary and its property service of copies of the summons and complaint and any other process which may be served in any action or proceeding in any New York State or federal court sitting in New York City arising out of or relating to the Credit Agreement and (iii) the Company will forward forthwith to the Designated Subsidiary at its address at ____________ or, if different, its then current address, copies of any summons, complaint and other process which the Company received in connection with its appointment as Process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D-3 WEIL:\100568921\4\64058.0285 This Designation Agreement shall be governed by, and construed in accordance with, the laws of the State of New York. Very truly yours, INTERNATIONAL FLAVORS &amp; FRAGRANCES INC., as the Company By: Name: Title: [DESIGNATED SUBSIDIARY], as the Designated Subsidiary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E-1 WEIL:\100568921\4\64058.0285 EXHIBIT E – TAX FORMS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E1-1 WEIL:\100568921\4\64058.0285 EXHIBIT E-1 FORM OF U.S. TAX COMPLIANCE CERTIFICATE (For Foreign Lenders That Are Not Partnerships For U.S. Federal Income Tax Purposes) Reference is hereby made to the Fourth Amended and Restated Credit Agreement, dated as of June 25, 2025 (as amended, restated, amended and restated, supplemented or otherwise modified from time to time, the “Credit Agreement”), among International Flavors &amp; Fragrances Inc. (the “Company”), as borrower, the Lenders party thereto from time to time and Citibank, N.A., as Agent. Pursuant to the provisions of Section 2.14 of the Credit Agreement, the undersigned hereby certifies that (i) it is the sole record and beneficial owner of the Advance(s) (as well as any Note(s) evidencing such Advance(s))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 The undersigned has furnished the Agent and the Borrowers with a certificate of its non-U.S. Person status on IRS Form W-8BEN or W-8BEN-E, as applicable. By executing this certificate, the undersigned agrees that (1) if the information provided on this certificate changes, the undersigned shall promptly so inform the Borrowers and the Agent, and (2) the undersigned shall have at all times furnished the Borrowers and the Agent with a properly completed and currently effective certificate in either the calendar year in which each payment is to be made to the undersigned, or in either of the two calendar years preceding such payments. Unless otherwise defined herein, terms defined in the Credit Agreement and used herein shall have the meanings given to them in the Credit Agreement. [NAME OF LENDER] By: Name: Title: Date: __________________, 202[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E2-1 WEIL:\100568921\4\64058.0285 EXHIBIT E-2 FORM OF U.S. TAX COMPLIANCE CERTIFICATE (For Foreign Participants That Are Not Partnerships For U.S. Federal Income Tax Purposes) Reference is hereby made to the Fourth Amended and Restated Credit Agreement, dated as of June 25, 2025 (as amended, restated, amended and restated, supplemented or otherwise modified from time to time, the “Credit Agreement”), among International Flavors &amp; Fragrances Inc. (the “Company”), as borrower, the Lenders party thereto from time to time and Citibank, N.A., as Agent. Pursuant to the provisions of Section 2.14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the Borrower as described in Section 881(c)(3)(C) of the Code. The undersigned has furnished its participating Lender with a certificate of its non-U.S. Person status on IRS Form W-8BEN or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 Unless otherwise defined herein, terms defined in the Credit Agreement and used herein shall have the meanings given to them in the Credit Agreement. [NAME OF PARTICIPANT] By: Name: Title: Date: __________________, 202[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E3-1 WEIL:\100568921\4\64058.0285 EXHIBIT E-3 FORM OF U.S. TAX COMPLIANCE CERTIFICATE (For Foreign Participants That Are Partnerships For U.S. Federal Income Tax Purposes) Reference is hereby made to the Fourth Amended and Restated Credit Agreement, dated as of June 25, 2025 (as amended, restated, amended and restated, supplemented or otherwise modified from time to time, the “Credit Agreement”), among International Flavors &amp; Fragrances Inc. (the “Company”), as borrower, the Lenders party thereto from time to time and Citibank, N.A., as Agent. Pursuant to the provisions of Section 2.14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 The undersigned has furnished its participating Lender with IRS Form W-8IMY accompanied by one of the following forms from each of its partners/members that is claiming the portfolio interest exemption: (i) an IRS Form W-8BEN or W-8BEN-E, as applicable, or (ii) an IRS Form W-8IMY accompanied by an IRS Form W-8BEN or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 Unless otherwise defined herein, terms defined in the Credit Agreement and used herein shall have the meanings given to them in the Credit Agreement. [NAME OF PARTICIPANT] By: Name: Title: Date: __________________, 202[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E4-1 WEIL:\100568921\4\64058.0285 EXHIBIT E-4 FORM OF U.S. TAX COMPLIANCE CERTIFICATE (For Foreign Lenders That Are Partnerships For U.S. Federal Income Tax Purposes) Reference is hereby made to the Fourth Amended and Restated Credit Agreement, dated as of June 25, 2025 (as amended, restated, amended and restated, supplemented or otherwise modified from time to time, the “Credit Agreement”), among International Flavors &amp; Fragrances Inc. (the “Company”), as borrower, the Lenders party thereto from time to time and Citibank, N.A., as Agent. Pursuant to the provisions of Section 2.14 of the Credit Agreement, the undersigned hereby certifies that (i) it is the sole record owner of the Advance(s) (as well as any Note(s) evidencing such Advance(s)) in respect of which it is providing this certificate, (ii) its direct or indirect partners/members are the sole beneficial owners of such Advance(s) (as well as any Note(s) evidencing such Advance(s)),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 The undersigned has furnished the Agent and the Borrowers with IRS Form W-8IMY accompanied by one of the following forms from each of its partners/members that is claiming the portfolio interest exemption: (i) an IRS Form W-8BEN or W-8BEN-E, as applicable or (ii) an IRS Form W-8IMY accompanied by an IRS Form W-8BEN or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Borrowers and the Agent, and (2) the undersigned shall have at all times furnished the Borrowers and the Agent with a properly completed and currently effective certificate in either the calendar year in which each payment is to be made to the undersigned, or in either of the two calendar years preceding such payments. Unless otherwise defined herein, terms defined in the Credit Agreement and used herein shall have the meanings given to them in the Credit Agreement. [NAME OF LENDER] By: Name: Title: Date: __________________, 202[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I-1 WEIL:\100585089\3\64058.0285 SCHEDULE I COMMITMENTS Lender Commitments Citibank, N.A. $200,000,000 Bank of America, N.A. $200,000,000 Barclays Bank PLC $200,000,000 BNP Paribas $200,000,000 JPMorgan Chase Bank, N.A. $200,000,000 Wells Fargo Bank, N.A. $200,000,000 Deutsche Bank AG New York Branch $106,500,000 HSBC Bank USA, National Association $106,500,000 ING Bank N.V., Dublin Branch $106,500,000 Mizuho Bank, Ltd. $106,500,000 Morgan Stanley Bank, N.A. $106,500,000 U.S. Bank National Association $106,500,000 CoBank ACB $99,000,000 DBS Bank Ltd. $62,000,000 Total $2,000,000,000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5.02(a)-1 WEIL:\100585089\3\64058.0285 SCHEDULE 5.02(a) EXISTING LIENS None.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31.1</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CERTIFICATION</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I, J. Erik Fyrwald, certify that:</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International Flavors &amp; Fragrances Inc.;</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Dated: May 5, 2026 </w:t>
      </w:r>
    </w:p>
    <w:tbl>
      <w:tblPr>
        <w:tblW w:w="3491" w:type="dxa"/>
        <w:jc w:val="left"/>
        <w:tblInd w:w="0" w:type="dxa"/>
        <w:tblLayout w:type="fixed"/>
        <w:tblCellMar>
          <w:top w:w="28" w:type="dxa"/>
          <w:left w:w="28" w:type="dxa"/>
          <w:bottom w:w="28" w:type="dxa"/>
          <w:right w:w="28" w:type="dxa"/>
        </w:tblCellMar>
      </w:tblPr>
      <w:tblGrid>
        <w:gridCol w:w="124"/>
        <w:gridCol w:w="109"/>
        <w:gridCol w:w="109"/>
        <w:gridCol w:w="258"/>
        <w:gridCol w:w="258"/>
        <w:gridCol w:w="263"/>
        <w:gridCol w:w="654"/>
        <w:gridCol w:w="654"/>
        <w:gridCol w:w="656"/>
        <w:gridCol w:w="119"/>
        <w:gridCol w:w="119"/>
        <w:gridCol w:w="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 Erik Fyrwald</w:t>
            </w:r>
          </w:p>
        </w:tc>
        <w:tc>
          <w:tcPr>
            <w:tcW w:w="4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23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 Erik Fyrwald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31.2</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CERTIFICATION</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I, Michael DeVeau, certify that:</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International Flavors &amp; Fragrances Inc.;</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Dated: May 5, 2026</w:t>
      </w:r>
    </w:p>
    <w:tbl>
      <w:tblPr>
        <w:tblW w:w="5875" w:type="dxa"/>
        <w:jc w:val="left"/>
        <w:tblInd w:w="0" w:type="dxa"/>
        <w:tblLayout w:type="fixed"/>
        <w:tblCellMar>
          <w:top w:w="28" w:type="dxa"/>
          <w:left w:w="28" w:type="dxa"/>
          <w:bottom w:w="28" w:type="dxa"/>
          <w:right w:w="28" w:type="dxa"/>
        </w:tblCellMar>
      </w:tblPr>
      <w:tblGrid>
        <w:gridCol w:w="124"/>
        <w:gridCol w:w="109"/>
        <w:gridCol w:w="109"/>
        <w:gridCol w:w="258"/>
        <w:gridCol w:w="258"/>
        <w:gridCol w:w="263"/>
        <w:gridCol w:w="1390"/>
        <w:gridCol w:w="1390"/>
        <w:gridCol w:w="19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DeVeau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4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DeVeau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32</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OF CEO AND CFO PURSUANT TO 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on Form 10-Q of International Flavors &amp; Fragrances Inc. (the "Company") for the quarterly period ended March 31, 2026 as filed with the Securities and Exchange Commission on the date hereof (the "Report"), J. Erik Fyrwald, as Chief Executive Officer, and Michael DeVeau, as Chief Financial Officer, each hereby certifies, pursuant to 18 U.S.C. Section 1350, as adopted pursuant to Section 906 of the Sarbanes-Oxley Act of 2002, that, to the best of his knowledge:</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(1) The Report fully complies with the requirements of section 13(a) or 15(d) of the Securities Exchange Act of 1934; </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(2) The information contained in the Report fairly presents, in all material respects, the financial condition and results of operations of the Company.</w:t>
      </w:r>
    </w:p>
    <w:tbl>
      <w:tblPr>
        <w:tblW w:w="3163" w:type="dxa"/>
        <w:jc w:val="left"/>
        <w:tblInd w:w="0" w:type="dxa"/>
        <w:tblLayout w:type="fixed"/>
        <w:tblCellMar>
          <w:top w:w="28" w:type="dxa"/>
          <w:left w:w="28" w:type="dxa"/>
          <w:bottom w:w="28" w:type="dxa"/>
          <w:right w:w="28" w:type="dxa"/>
        </w:tblCellMar>
      </w:tblPr>
      <w:tblGrid>
        <w:gridCol w:w="286"/>
        <w:gridCol w:w="251"/>
        <w:gridCol w:w="257"/>
        <w:gridCol w:w="693"/>
        <w:gridCol w:w="693"/>
        <w:gridCol w:w="983"/>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 Erik Fyrwald</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2"/>
              </w:rPr>
            </w:pPr>
            <w:r>
              <w:rPr>
                <w:rFonts w:ascii="Times New Roman;serif" w:hAnsi="Times New Roman;serif"/>
                <w:b w:val="false"/>
                <w:color w:val="000000"/>
                <w:sz w:val="22"/>
              </w:rPr>
              <w:t>J. Erik Fyrwald</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May 5, 2026</w:t>
            </w:r>
          </w:p>
        </w:tc>
      </w:tr>
    </w:tbl>
    <w:tbl>
      <w:tblPr>
        <w:tblW w:w="5548" w:type="dxa"/>
        <w:jc w:val="left"/>
        <w:tblInd w:w="0" w:type="dxa"/>
        <w:tblLayout w:type="fixed"/>
        <w:tblCellMar>
          <w:top w:w="28" w:type="dxa"/>
          <w:left w:w="28" w:type="dxa"/>
          <w:bottom w:w="28" w:type="dxa"/>
          <w:right w:w="28" w:type="dxa"/>
        </w:tblCellMar>
      </w:tblPr>
      <w:tblGrid>
        <w:gridCol w:w="286"/>
        <w:gridCol w:w="251"/>
        <w:gridCol w:w="257"/>
        <w:gridCol w:w="1390"/>
        <w:gridCol w:w="1390"/>
        <w:gridCol w:w="1974"/>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DeVeau</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4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DeVeau</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May 5,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fontTable" Target="fontTable.xml"/><Relationship Id="rId1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74992</Words>
  <Characters>403874</Characters>
  <CharactersWithSpaces>477391</CharactersWithSpaces>
  <Paragraphs>3206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a1019-rcf2025x4tharcredi</dc:title>
</cp:coreProperties>
</file>