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JAMISON CYNTHIA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WEST 57TH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INTERNATIONAL FLAVORS &amp; FRAGRANCES INC</w:t>
              </w:r>
            </w:hyperlink>
            <w:r>
              <w:rPr/>
              <w:t xml:space="preserve"> [ </w:t>
            </w:r>
            <w:r>
              <w:rPr>
                <w:rFonts w:ascii="Times;serif" w:hAnsi="Times;serif"/>
                <w:color w:val="0000FF"/>
                <w:sz w:val="24"/>
                <w:shd w:fill="FFFFFF" w:val="clear"/>
              </w:rPr>
              <w:t>IFF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666"/>
        <w:gridCol w:w="906"/>
        <w:gridCol w:w="801"/>
        <w:gridCol w:w="891"/>
        <w:gridCol w:w="68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2,569</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05/01/2026</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2,569</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RSUs granted under the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 2025, the reporting person was granted 2,569 RSUs, all of which vested on May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Upon the vesting of RSUs on May 1, 2026, the reporting person deferred the receipt of 2,569 shares of Common Stock and received instead 2,569 Stock Equivalent Units ("Units") pursuant to the Company's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Units are payable in Common Stock upon the earlier of the reporting person ceasing to serve as a member of the Company's Board of Directors or January 1 following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Chrystalla Potamitou,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669" TargetMode="External"/><Relationship Id="rId5" Type="http://schemas.openxmlformats.org/officeDocument/2006/relationships/hyperlink" Target="http://www.sec.gov/cgi-bin/browse-edgar?action=getcompany&amp;CIK=0000051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3802</Characters>
  <CharactersWithSpaces>4435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