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668655</wp:posOffset>
            </wp:positionH>
            <wp:positionV relativeFrom="page">
              <wp:posOffset>157480</wp:posOffset>
            </wp:positionV>
            <wp:extent cx="62242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24270" cy="7620"/>
                    </a:xfrm>
                    <a:prstGeom prst="rect">
                      <a:avLst/>
                    </a:prstGeom>
                    <a:noFill/>
                  </pic:spPr>
                </pic:pic>
              </a:graphicData>
            </a:graphic>
          </wp:anchor>
        </w:drawing>
        <w:drawing>
          <wp:anchor simplePos="0" relativeHeight="251657728" behindDoc="1" locked="0" layoutInCell="0" allowOverlap="1">
            <wp:simplePos x="0" y="0"/>
            <wp:positionH relativeFrom="page">
              <wp:posOffset>668655</wp:posOffset>
            </wp:positionH>
            <wp:positionV relativeFrom="page">
              <wp:posOffset>195580</wp:posOffset>
            </wp:positionV>
            <wp:extent cx="62242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24270" cy="7620"/>
                    </a:xfrm>
                    <a:prstGeom prst="rect">
                      <a:avLst/>
                    </a:prstGeom>
                    <a:noFill/>
                  </pic:spPr>
                </pic:pic>
              </a:graphicData>
            </a:graphic>
          </wp:anchor>
        </w:drawing>
        <w:t>UNITED STATES</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0"/>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191135</wp:posOffset>
            </wp:positionV>
            <wp:extent cx="13119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200660</wp:posOffset>
            </wp:positionV>
            <wp:extent cx="13119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CURRENT REPORT</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PURSUANT TO SECTION 13 OR 15(d)</w:t>
      </w:r>
    </w:p>
    <w:p>
      <w:pPr>
        <w:jc w:val="center"/>
        <w:ind w:right="20"/>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32"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Date of report (Date of earliest event reported) December 15,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197485</wp:posOffset>
            </wp:positionV>
            <wp:extent cx="13119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20"/>
        <w:spacing w:after="0"/>
        <w:rPr>
          <w:sz w:val="20"/>
          <w:szCs w:val="20"/>
          <w:color w:val="auto"/>
        </w:rPr>
      </w:pPr>
      <w:r>
        <w:rPr>
          <w:rFonts w:ascii="Arial" w:cs="Arial" w:eastAsia="Arial" w:hAnsi="Arial"/>
          <w:sz w:val="38"/>
          <w:szCs w:val="38"/>
          <w:b w:val="1"/>
          <w:bCs w:val="1"/>
          <w:color w:val="auto"/>
        </w:rPr>
        <w:t>INTERNATIONAL FLAVORS &amp; FRAGRANCES INC.</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187325</wp:posOffset>
            </wp:positionV>
            <wp:extent cx="13119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ectPr>
          <w:pgSz w:w="11900" w:h="16838" w:orient="portrait"/>
          <w:cols w:equalWidth="0" w:num="1">
            <w:col w:w="9800"/>
          </w:cols>
          <w:pgMar w:left="1060" w:top="343" w:right="1039" w:bottom="1440" w:gutter="0" w:footer="0" w:header="0"/>
        </w:sectPr>
      </w:pPr>
    </w:p>
    <w:p>
      <w:pPr>
        <w:spacing w:after="0" w:line="200" w:lineRule="exact"/>
        <w:rPr>
          <w:sz w:val="24"/>
          <w:szCs w:val="24"/>
          <w:color w:val="auto"/>
        </w:rPr>
      </w:pPr>
    </w:p>
    <w:p>
      <w:pPr>
        <w:spacing w:after="0" w:line="319" w:lineRule="exact"/>
        <w:rPr>
          <w:sz w:val="24"/>
          <w:szCs w:val="24"/>
          <w:color w:val="auto"/>
        </w:rPr>
      </w:pPr>
    </w:p>
    <w:p>
      <w:pPr>
        <w:ind w:left="1320"/>
        <w:spacing w:after="0"/>
        <w:rPr>
          <w:sz w:val="20"/>
          <w:szCs w:val="20"/>
          <w:color w:val="auto"/>
        </w:rPr>
      </w:pPr>
      <w:r>
        <w:rPr>
          <w:rFonts w:ascii="Arial" w:cs="Arial" w:eastAsia="Arial" w:hAnsi="Arial"/>
          <w:sz w:val="14"/>
          <w:szCs w:val="14"/>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9" w:lineRule="exact"/>
        <w:rPr>
          <w:sz w:val="24"/>
          <w:szCs w:val="24"/>
          <w:color w:val="auto"/>
        </w:rPr>
      </w:pPr>
    </w:p>
    <w:p>
      <w:pPr>
        <w:jc w:val="center"/>
        <w:ind w:right="1900"/>
        <w:spacing w:after="0"/>
        <w:rPr>
          <w:sz w:val="20"/>
          <w:szCs w:val="20"/>
          <w:color w:val="auto"/>
        </w:rPr>
      </w:pPr>
      <w:r>
        <w:rPr>
          <w:rFonts w:ascii="Arial" w:cs="Arial" w:eastAsia="Arial" w:hAnsi="Arial"/>
          <w:sz w:val="14"/>
          <w:szCs w:val="14"/>
          <w:b w:val="1"/>
          <w:bCs w:val="1"/>
          <w:color w:val="auto"/>
        </w:rPr>
        <w:t>1-4858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13-1432060</w:t>
      </w:r>
    </w:p>
    <w:p>
      <w:pPr>
        <w:spacing w:after="0" w:line="36" w:lineRule="exact"/>
        <w:rPr>
          <w:sz w:val="24"/>
          <w:szCs w:val="24"/>
          <w:color w:val="auto"/>
        </w:rPr>
      </w:pPr>
    </w:p>
    <w:p>
      <w:pPr>
        <w:sectPr>
          <w:pgSz w:w="11900" w:h="16838" w:orient="portrait"/>
          <w:cols w:equalWidth="0" w:num="3">
            <w:col w:w="4040" w:space="720"/>
            <w:col w:w="2360" w:space="720"/>
            <w:col w:w="1960"/>
          </w:cols>
          <w:pgMar w:left="1060" w:top="343" w:right="1039" w:bottom="1440" w:gutter="0" w:footer="0" w:header="0"/>
          <w:type w:val="continuous"/>
        </w:sectPr>
      </w:pPr>
    </w:p>
    <w:p>
      <w:pPr>
        <w:spacing w:after="0" w:line="11" w:lineRule="exact"/>
        <w:rPr>
          <w:sz w:val="24"/>
          <w:szCs w:val="24"/>
          <w:color w:val="auto"/>
        </w:rPr>
      </w:pPr>
    </w:p>
    <w:p>
      <w:pPr>
        <w:jc w:val="center"/>
        <w:ind w:right="580"/>
        <w:spacing w:after="0"/>
        <w:rPr>
          <w:sz w:val="20"/>
          <w:szCs w:val="20"/>
          <w:color w:val="auto"/>
        </w:rPr>
      </w:pPr>
      <w:r>
        <w:rPr>
          <w:rFonts w:ascii="Arial" w:cs="Arial" w:eastAsia="Arial" w:hAnsi="Arial"/>
          <w:sz w:val="11"/>
          <w:szCs w:val="11"/>
          <w:b w:val="1"/>
          <w:bCs w:val="1"/>
          <w:color w:val="auto"/>
        </w:rPr>
        <w:t>(State or Other Jurisdiction</w:t>
      </w:r>
    </w:p>
    <w:p>
      <w:pPr>
        <w:jc w:val="center"/>
        <w:ind w:right="58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1"/>
          <w:szCs w:val="11"/>
          <w:b w:val="1"/>
          <w:bCs w:val="1"/>
          <w:color w:val="auto"/>
        </w:rPr>
        <w:t>(Commission</w:t>
      </w: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1"/>
          <w:szCs w:val="11"/>
          <w:b w:val="1"/>
          <w:bCs w:val="1"/>
          <w:color w:val="auto"/>
        </w:rPr>
        <w:t>Identification No.)</w:t>
      </w:r>
    </w:p>
    <w:p>
      <w:pPr>
        <w:spacing w:after="0" w:line="199" w:lineRule="exact"/>
        <w:rPr>
          <w:sz w:val="24"/>
          <w:szCs w:val="24"/>
          <w:color w:val="auto"/>
        </w:rPr>
      </w:pPr>
    </w:p>
    <w:p>
      <w:pPr>
        <w:sectPr>
          <w:pgSz w:w="11900" w:h="16838" w:orient="portrait"/>
          <w:cols w:equalWidth="0" w:num="3">
            <w:col w:w="3900" w:space="720"/>
            <w:col w:w="2380" w:space="720"/>
            <w:col w:w="2080"/>
          </w:cols>
          <w:pgMar w:left="1060" w:top="343" w:right="1039" w:bottom="1440" w:gutter="0" w:footer="0" w:header="0"/>
          <w:type w:val="continuous"/>
        </w:sectPr>
      </w:pPr>
    </w:p>
    <w:p>
      <w:pPr>
        <w:ind w:left="1000"/>
        <w:spacing w:after="0"/>
        <w:rPr>
          <w:sz w:val="20"/>
          <w:szCs w:val="20"/>
          <w:color w:val="auto"/>
        </w:rPr>
      </w:pPr>
      <w:r>
        <w:rPr>
          <w:rFonts w:ascii="Arial" w:cs="Arial" w:eastAsia="Arial" w:hAnsi="Arial"/>
          <w:sz w:val="14"/>
          <w:szCs w:val="14"/>
          <w:b w:val="1"/>
          <w:bCs w:val="1"/>
          <w:color w:val="auto"/>
        </w:rPr>
        <w:t>521 West 57th Street, 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10019</w:t>
      </w:r>
    </w:p>
    <w:p>
      <w:pPr>
        <w:spacing w:after="0" w:line="48" w:lineRule="exact"/>
        <w:rPr>
          <w:sz w:val="24"/>
          <w:szCs w:val="24"/>
          <w:color w:val="auto"/>
        </w:rPr>
      </w:pPr>
    </w:p>
    <w:p>
      <w:pPr>
        <w:sectPr>
          <w:pgSz w:w="11900" w:h="16838" w:orient="portrait"/>
          <w:cols w:equalWidth="0" w:num="2">
            <w:col w:w="6500" w:space="720"/>
            <w:col w:w="2580"/>
          </w:cols>
          <w:pgMar w:left="1060" w:top="343" w:right="1039" w:bottom="1440" w:gutter="0" w:footer="0" w:header="0"/>
          <w:type w:val="continuous"/>
        </w:sectPr>
      </w:pPr>
    </w:p>
    <w:p>
      <w:pPr>
        <w:ind w:left="13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34" w:lineRule="exact"/>
        <w:rPr>
          <w:sz w:val="24"/>
          <w:szCs w:val="24"/>
          <w:color w:val="auto"/>
        </w:rPr>
      </w:pPr>
    </w:p>
    <w:p>
      <w:pPr>
        <w:sectPr>
          <w:pgSz w:w="11900" w:h="16838" w:orient="portrait"/>
          <w:cols w:equalWidth="0" w:num="2">
            <w:col w:w="6400" w:space="720"/>
            <w:col w:w="2680"/>
          </w:cols>
          <w:pgMar w:left="1060" w:top="343" w:right="10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(212) 765-5500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198755</wp:posOffset>
            </wp:positionV>
            <wp:extent cx="13119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40" w:firstLine="392"/>
        <w:spacing w:after="0" w:line="277"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68" w:lineRule="exact"/>
        <w:rPr>
          <w:sz w:val="24"/>
          <w:szCs w:val="24"/>
          <w:color w:val="auto"/>
        </w:rPr>
      </w:pPr>
    </w:p>
    <w:p>
      <w:pPr>
        <w:ind w:left="860" w:hanging="483"/>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6" w:lineRule="exact"/>
        <w:rPr>
          <w:sz w:val="24"/>
          <w:szCs w:val="24"/>
          <w:color w:val="auto"/>
        </w:rPr>
      </w:pPr>
    </w:p>
    <w:p>
      <w:pPr>
        <w:ind w:left="860" w:hanging="483"/>
        <w:spacing w:after="0"/>
        <w:tabs>
          <w:tab w:leader="none" w:pos="8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6" w:lineRule="exact"/>
        <w:rPr>
          <w:rFonts w:ascii="MS PGothic" w:cs="MS PGothic" w:eastAsia="MS PGothic" w:hAnsi="MS PGothic"/>
          <w:sz w:val="16"/>
          <w:szCs w:val="16"/>
          <w:color w:val="auto"/>
        </w:rPr>
      </w:pPr>
    </w:p>
    <w:p>
      <w:pPr>
        <w:ind w:left="860" w:hanging="483"/>
        <w:spacing w:after="0"/>
        <w:tabs>
          <w:tab w:leader="none" w:pos="8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6" w:lineRule="exact"/>
        <w:rPr>
          <w:rFonts w:ascii="MS PGothic" w:cs="MS PGothic" w:eastAsia="MS PGothic" w:hAnsi="MS PGothic"/>
          <w:sz w:val="16"/>
          <w:szCs w:val="16"/>
          <w:color w:val="auto"/>
        </w:rPr>
      </w:pPr>
    </w:p>
    <w:p>
      <w:pPr>
        <w:ind w:left="860" w:hanging="483"/>
        <w:spacing w:after="0"/>
        <w:tabs>
          <w:tab w:leader="none" w:pos="8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6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4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Title of each class</w:t>
            </w:r>
          </w:p>
        </w:tc>
        <w:tc>
          <w:tcPr>
            <w:tcW w:w="32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Trading</w:t>
            </w:r>
          </w:p>
        </w:tc>
        <w:tc>
          <w:tcPr>
            <w:tcW w:w="314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w:t>
            </w:r>
          </w:p>
        </w:tc>
        <w:tc>
          <w:tcPr>
            <w:tcW w:w="0" w:type="dxa"/>
            <w:vAlign w:val="bottom"/>
          </w:tcPr>
          <w:p>
            <w:pPr>
              <w:spacing w:after="0"/>
              <w:rPr>
                <w:sz w:val="1"/>
                <w:szCs w:val="1"/>
                <w:color w:val="auto"/>
              </w:rPr>
            </w:pPr>
          </w:p>
        </w:tc>
      </w:tr>
      <w:tr>
        <w:trPr>
          <w:trHeight w:val="164"/>
        </w:trPr>
        <w:tc>
          <w:tcPr>
            <w:tcW w:w="3420" w:type="dxa"/>
            <w:vAlign w:val="bottom"/>
            <w:gridSpan w:val="2"/>
            <w:vMerge w:val="continue"/>
          </w:tcPr>
          <w:p>
            <w:pPr>
              <w:spacing w:after="0"/>
              <w:rPr>
                <w:sz w:val="14"/>
                <w:szCs w:val="14"/>
                <w:color w:val="auto"/>
              </w:rPr>
            </w:pPr>
          </w:p>
        </w:tc>
        <w:tc>
          <w:tcPr>
            <w:tcW w:w="32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Symbol(s)</w:t>
            </w:r>
          </w:p>
        </w:tc>
        <w:tc>
          <w:tcPr>
            <w:tcW w:w="3140" w:type="dxa"/>
            <w:vAlign w:val="bottom"/>
          </w:tcPr>
          <w:p>
            <w:pPr>
              <w:jc w:val="center"/>
              <w:spacing w:after="0"/>
              <w:rPr>
                <w:sz w:val="20"/>
                <w:szCs w:val="20"/>
                <w:color w:val="auto"/>
              </w:rPr>
            </w:pPr>
            <w:r>
              <w:rPr>
                <w:rFonts w:ascii="Arial" w:cs="Arial" w:eastAsia="Arial" w:hAnsi="Arial"/>
                <w:sz w:val="13"/>
                <w:szCs w:val="13"/>
                <w:b w:val="1"/>
                <w:bCs w:val="1"/>
                <w:color w:val="auto"/>
                <w:w w:val="86"/>
              </w:rPr>
              <w:t>on which registered</w:t>
            </w:r>
          </w:p>
        </w:tc>
        <w:tc>
          <w:tcPr>
            <w:tcW w:w="0" w:type="dxa"/>
            <w:vAlign w:val="bottom"/>
          </w:tcPr>
          <w:p>
            <w:pPr>
              <w:spacing w:after="0"/>
              <w:rPr>
                <w:sz w:val="1"/>
                <w:szCs w:val="1"/>
                <w:color w:val="auto"/>
              </w:rPr>
            </w:pPr>
          </w:p>
        </w:tc>
      </w:tr>
      <w:tr>
        <w:trPr>
          <w:trHeight w:val="168"/>
        </w:trPr>
        <w:tc>
          <w:tcPr>
            <w:tcW w:w="332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w w:val="90"/>
              </w:rPr>
              <w:t>Common Stock, par value 12 1/2¢ per share</w:t>
            </w:r>
          </w:p>
        </w:tc>
        <w:tc>
          <w:tcPr>
            <w:tcW w:w="100" w:type="dxa"/>
            <w:vAlign w:val="bottom"/>
          </w:tcPr>
          <w:p>
            <w:pPr>
              <w:spacing w:after="0"/>
              <w:rPr>
                <w:sz w:val="14"/>
                <w:szCs w:val="14"/>
                <w:color w:val="auto"/>
              </w:rPr>
            </w:pPr>
          </w:p>
        </w:tc>
        <w:tc>
          <w:tcPr>
            <w:tcW w:w="314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IFF</w:t>
            </w:r>
          </w:p>
        </w:tc>
        <w:tc>
          <w:tcPr>
            <w:tcW w:w="100" w:type="dxa"/>
            <w:vAlign w:val="bottom"/>
          </w:tcPr>
          <w:p>
            <w:pPr>
              <w:spacing w:after="0"/>
              <w:rPr>
                <w:sz w:val="14"/>
                <w:szCs w:val="14"/>
                <w:color w:val="auto"/>
              </w:rPr>
            </w:pPr>
          </w:p>
        </w:tc>
        <w:tc>
          <w:tcPr>
            <w:tcW w:w="314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w w:val="90"/>
              </w:rPr>
              <w:t>New York Stock Exchange</w:t>
            </w:r>
          </w:p>
        </w:tc>
        <w:tc>
          <w:tcPr>
            <w:tcW w:w="0" w:type="dxa"/>
            <w:vAlign w:val="bottom"/>
          </w:tcPr>
          <w:p>
            <w:pPr>
              <w:spacing w:after="0"/>
              <w:rPr>
                <w:sz w:val="1"/>
                <w:szCs w:val="1"/>
                <w:color w:val="auto"/>
              </w:rPr>
            </w:pPr>
          </w:p>
        </w:tc>
      </w:tr>
      <w:tr>
        <w:trPr>
          <w:trHeight w:val="192"/>
        </w:trPr>
        <w:tc>
          <w:tcPr>
            <w:tcW w:w="3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6.00% Tangible Equity Units</w:t>
            </w:r>
          </w:p>
        </w:tc>
        <w:tc>
          <w:tcPr>
            <w:tcW w:w="3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IFFT</w:t>
            </w:r>
          </w:p>
        </w:tc>
        <w:tc>
          <w:tcPr>
            <w:tcW w:w="3140" w:type="dxa"/>
            <w:vAlign w:val="bottom"/>
          </w:tcPr>
          <w:p>
            <w:pPr>
              <w:jc w:val="center"/>
              <w:spacing w:after="0"/>
              <w:rPr>
                <w:sz w:val="20"/>
                <w:szCs w:val="20"/>
                <w:color w:val="auto"/>
              </w:rPr>
            </w:pPr>
            <w:r>
              <w:rPr>
                <w:rFonts w:ascii="Arial" w:cs="Arial" w:eastAsia="Arial" w:hAnsi="Arial"/>
                <w:sz w:val="16"/>
                <w:szCs w:val="16"/>
                <w:b w:val="1"/>
                <w:bCs w:val="1"/>
                <w:color w:val="auto"/>
                <w:w w:val="90"/>
              </w:rPr>
              <w:t>New York Stock Exchange</w:t>
            </w:r>
          </w:p>
        </w:tc>
        <w:tc>
          <w:tcPr>
            <w:tcW w:w="0" w:type="dxa"/>
            <w:vAlign w:val="bottom"/>
          </w:tcPr>
          <w:p>
            <w:pPr>
              <w:spacing w:after="0"/>
              <w:rPr>
                <w:sz w:val="1"/>
                <w:szCs w:val="1"/>
                <w:color w:val="auto"/>
              </w:rPr>
            </w:pPr>
          </w:p>
        </w:tc>
      </w:tr>
      <w:tr>
        <w:trPr>
          <w:trHeight w:val="192"/>
        </w:trPr>
        <w:tc>
          <w:tcPr>
            <w:tcW w:w="3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0.500% Senior Notes due 2021</w:t>
            </w:r>
          </w:p>
        </w:tc>
        <w:tc>
          <w:tcPr>
            <w:tcW w:w="3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IFF 21</w:t>
            </w:r>
          </w:p>
        </w:tc>
        <w:tc>
          <w:tcPr>
            <w:tcW w:w="3140" w:type="dxa"/>
            <w:vAlign w:val="bottom"/>
          </w:tcPr>
          <w:p>
            <w:pPr>
              <w:jc w:val="center"/>
              <w:spacing w:after="0"/>
              <w:rPr>
                <w:sz w:val="20"/>
                <w:szCs w:val="20"/>
                <w:color w:val="auto"/>
              </w:rPr>
            </w:pPr>
            <w:r>
              <w:rPr>
                <w:rFonts w:ascii="Arial" w:cs="Arial" w:eastAsia="Arial" w:hAnsi="Arial"/>
                <w:sz w:val="16"/>
                <w:szCs w:val="16"/>
                <w:b w:val="1"/>
                <w:bCs w:val="1"/>
                <w:color w:val="auto"/>
                <w:w w:val="90"/>
              </w:rPr>
              <w:t>New York Stock Exchange</w:t>
            </w:r>
          </w:p>
        </w:tc>
        <w:tc>
          <w:tcPr>
            <w:tcW w:w="0" w:type="dxa"/>
            <w:vAlign w:val="bottom"/>
          </w:tcPr>
          <w:p>
            <w:pPr>
              <w:spacing w:after="0"/>
              <w:rPr>
                <w:sz w:val="1"/>
                <w:szCs w:val="1"/>
                <w:color w:val="auto"/>
              </w:rPr>
            </w:pPr>
          </w:p>
        </w:tc>
      </w:tr>
      <w:tr>
        <w:trPr>
          <w:trHeight w:val="192"/>
        </w:trPr>
        <w:tc>
          <w:tcPr>
            <w:tcW w:w="3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1.75% Senior Notes due 2024</w:t>
            </w:r>
          </w:p>
        </w:tc>
        <w:tc>
          <w:tcPr>
            <w:tcW w:w="3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IFF 24</w:t>
            </w:r>
          </w:p>
        </w:tc>
        <w:tc>
          <w:tcPr>
            <w:tcW w:w="3140" w:type="dxa"/>
            <w:vAlign w:val="bottom"/>
          </w:tcPr>
          <w:p>
            <w:pPr>
              <w:jc w:val="center"/>
              <w:spacing w:after="0"/>
              <w:rPr>
                <w:sz w:val="20"/>
                <w:szCs w:val="20"/>
                <w:color w:val="auto"/>
              </w:rPr>
            </w:pPr>
            <w:r>
              <w:rPr>
                <w:rFonts w:ascii="Arial" w:cs="Arial" w:eastAsia="Arial" w:hAnsi="Arial"/>
                <w:sz w:val="16"/>
                <w:szCs w:val="16"/>
                <w:b w:val="1"/>
                <w:bCs w:val="1"/>
                <w:color w:val="auto"/>
                <w:w w:val="90"/>
              </w:rPr>
              <w:t>New York Stock Exchange</w:t>
            </w:r>
          </w:p>
        </w:tc>
        <w:tc>
          <w:tcPr>
            <w:tcW w:w="0" w:type="dxa"/>
            <w:vAlign w:val="bottom"/>
          </w:tcPr>
          <w:p>
            <w:pPr>
              <w:spacing w:after="0"/>
              <w:rPr>
                <w:sz w:val="1"/>
                <w:szCs w:val="1"/>
                <w:color w:val="auto"/>
              </w:rPr>
            </w:pPr>
          </w:p>
        </w:tc>
      </w:tr>
      <w:tr>
        <w:trPr>
          <w:trHeight w:val="209"/>
        </w:trPr>
        <w:tc>
          <w:tcPr>
            <w:tcW w:w="3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1.800% Senior Notes due 2026</w:t>
            </w:r>
          </w:p>
        </w:tc>
        <w:tc>
          <w:tcPr>
            <w:tcW w:w="3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IFF 26</w:t>
            </w:r>
          </w:p>
        </w:tc>
        <w:tc>
          <w:tcPr>
            <w:tcW w:w="3140" w:type="dxa"/>
            <w:vAlign w:val="bottom"/>
          </w:tcPr>
          <w:p>
            <w:pPr>
              <w:jc w:val="center"/>
              <w:spacing w:after="0"/>
              <w:rPr>
                <w:sz w:val="20"/>
                <w:szCs w:val="20"/>
                <w:color w:val="auto"/>
              </w:rPr>
            </w:pPr>
            <w:r>
              <w:rPr>
                <w:rFonts w:ascii="Arial" w:cs="Arial" w:eastAsia="Arial" w:hAnsi="Arial"/>
                <w:sz w:val="16"/>
                <w:szCs w:val="16"/>
                <w:b w:val="1"/>
                <w:bCs w:val="1"/>
                <w:color w:val="auto"/>
                <w:w w:val="90"/>
              </w:rPr>
              <w:t>New York Stock Exchange</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right="140" w:firstLine="392"/>
        <w:spacing w:after="0" w:line="27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8" w:lineRule="exact"/>
        <w:rPr>
          <w:sz w:val="24"/>
          <w:szCs w:val="24"/>
          <w:color w:val="auto"/>
        </w:rPr>
      </w:pPr>
    </w:p>
    <w:p>
      <w:pPr>
        <w:ind w:left="3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94" w:lineRule="exact"/>
        <w:rPr>
          <w:sz w:val="24"/>
          <w:szCs w:val="24"/>
          <w:color w:val="auto"/>
        </w:rPr>
      </w:pPr>
    </w:p>
    <w:p>
      <w:pPr>
        <w:ind w:right="140" w:firstLine="392"/>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62242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2427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156845</wp:posOffset>
            </wp:positionV>
            <wp:extent cx="622427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24270" cy="7620"/>
                    </a:xfrm>
                    <a:prstGeom prst="rect">
                      <a:avLst/>
                    </a:prstGeom>
                    <a:noFill/>
                  </pic:spPr>
                </pic:pic>
              </a:graphicData>
            </a:graphic>
          </wp:anchor>
        </w:drawing>
      </w:r>
    </w:p>
    <w:p>
      <w:pPr>
        <w:sectPr>
          <w:pgSz w:w="11900" w:h="16838" w:orient="portrait"/>
          <w:cols w:equalWidth="0" w:num="1">
            <w:col w:w="9800"/>
          </w:cols>
          <w:pgMar w:left="1060" w:top="343" w:right="1039" w:bottom="1440" w:gutter="0" w:footer="0" w:header="0"/>
          <w:type w:val="continuous"/>
        </w:sectPr>
      </w:pPr>
    </w:p>
    <w:bookmarkStart w:id="1" w:name="page2"/>
    <w:bookmarkEnd w:id="1"/>
    <w:p>
      <w:pPr>
        <w:spacing w:after="0"/>
        <w:tabs>
          <w:tab w:leader="none" w:pos="104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Item 7.01</w:t>
      </w:r>
      <w:r>
        <w:rPr>
          <w:sz w:val="20"/>
          <w:szCs w:val="20"/>
          <w:color w:val="auto"/>
        </w:rPr>
        <w:tab/>
      </w:r>
      <w:r>
        <w:rPr>
          <w:rFonts w:ascii="Arial" w:cs="Arial" w:eastAsia="Arial" w:hAnsi="Arial"/>
          <w:sz w:val="14"/>
          <w:szCs w:val="14"/>
          <w:b w:val="1"/>
          <w:bCs w:val="1"/>
          <w:color w:val="auto"/>
        </w:rPr>
        <w:t>Regulation FD Disclosure.</w:t>
      </w:r>
    </w:p>
    <w:p>
      <w:pPr>
        <w:spacing w:after="0" w:line="108"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On December 15, 2019, International Flavors and Fragrances Inc. (“IFF”) and DuPont de Nemours, Inc. (“DuPont”) issued a joint press release announcing the execution of an Agreement and Plan of Merger (the “Merger Agreement”), by and among IFF, DuPont, Nutrition &amp; Biosciences, Inc., a wholly owned Subsidiary of DuPont (“N&amp;Bco”), and Neptune Merger Sub I Inc., a wholly owned Subsidiary of IFF (“Merger Sub I”). The full text of the joint press release issued in connection with the announcement is furnished as Exhibit 99.1 to this Current Report on Form 8-K and is incorporated by reference herein.</w:t>
      </w:r>
    </w:p>
    <w:p>
      <w:pPr>
        <w:spacing w:after="0" w:line="16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IFF also made available to employees, investors and other constituencies the materials included as Exhibits 99.2 through 99.14. Exhibits 99.1 through 99.14 are being furnished under Item 7.01 and shall not be deemed “filed” for purposes of Section 18 of the Securities Exchange Act of 1934, as amended (the “Exchange Act”), or otherwise subject to the liability of such section, nor shall such exhibits be deemed incorporated by reference in any filing under the Securities Act of 1933, as amended (the “Securities Act”), or the Exchange Act.</w:t>
      </w:r>
    </w:p>
    <w:p>
      <w:pPr>
        <w:spacing w:after="0" w:line="295"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b w:val="1"/>
          <w:bCs w:val="1"/>
          <w:color w:val="auto"/>
        </w:rPr>
        <w:t>Item 8.01</w:t>
      </w:r>
      <w:r>
        <w:rPr>
          <w:sz w:val="20"/>
          <w:szCs w:val="20"/>
          <w:color w:val="auto"/>
        </w:rPr>
        <w:tab/>
      </w:r>
      <w:r>
        <w:rPr>
          <w:rFonts w:ascii="Arial" w:cs="Arial" w:eastAsia="Arial" w:hAnsi="Arial"/>
          <w:sz w:val="14"/>
          <w:szCs w:val="14"/>
          <w:b w:val="1"/>
          <w:bCs w:val="1"/>
          <w:color w:val="auto"/>
        </w:rPr>
        <w:t>Other Events.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On December 15, 2019, IFF entered into the Merger Agreement, by and among IFF, DuPont, N&amp;Bco, and Merger Sub I.</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IFF</w:t>
      </w:r>
    </w:p>
    <w:p>
      <w:pPr>
        <w:spacing w:after="0" w:line="10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At IFF (NYSE:IFF) (Euronext Paris:IFF) (TASE:IFF), we’re using Uncommon Sense to create what the world needs. As a collective of unconventional thinkers and creators, we put science and artistry to work to create unique and unexpected scents, tastes, experiences and ingredients for the products our world craves. Learn more at </w:t>
      </w:r>
      <w:r>
        <w:rPr>
          <w:rFonts w:ascii="Arial" w:cs="Arial" w:eastAsia="Arial" w:hAnsi="Arial"/>
          <w:sz w:val="16"/>
          <w:szCs w:val="16"/>
          <w:u w:val="single" w:color="auto"/>
          <w:color w:val="auto"/>
        </w:rPr>
        <w:t>iff.com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Facebook</w:t>
      </w:r>
      <w:r>
        <w:rPr>
          <w:rFonts w:ascii="Arial" w:cs="Arial" w:eastAsia="Arial" w:hAnsi="Arial"/>
          <w:sz w:val="16"/>
          <w:szCs w:val="16"/>
          <w:color w:val="auto"/>
        </w:rPr>
        <w:t xml:space="preserve">, </w:t>
      </w:r>
      <w:r>
        <w:rPr>
          <w:rFonts w:ascii="Arial" w:cs="Arial" w:eastAsia="Arial" w:hAnsi="Arial"/>
          <w:sz w:val="16"/>
          <w:szCs w:val="16"/>
          <w:u w:val="single" w:color="auto"/>
          <w:color w:val="auto"/>
        </w:rPr>
        <w:t>Instagram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LinkedIn</w:t>
      </w:r>
      <w:r>
        <w:rPr>
          <w:rFonts w:ascii="Arial" w:cs="Arial" w:eastAsia="Arial" w:hAnsi="Arial"/>
          <w:sz w:val="16"/>
          <w:szCs w:val="16"/>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DuPont</w:t>
      </w:r>
    </w:p>
    <w:p>
      <w:pPr>
        <w:spacing w:after="0" w:line="108"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 xml:space="preserve">DuPont (NYSE:DD) is a global innovation leader with technology-based materials, ingredients and solutions that help transform industries and everyday life. Our employees apply diverse science and expertise to help customers advance their best ideas and deliver essential innovations in key markets including electronics, transportation, construction, water, health and wellness, food and worker safety. More information can be found at </w:t>
      </w:r>
      <w:r>
        <w:rPr>
          <w:rFonts w:ascii="Arial" w:cs="Arial" w:eastAsia="Arial" w:hAnsi="Arial"/>
          <w:sz w:val="16"/>
          <w:szCs w:val="16"/>
          <w:u w:val="single" w:color="auto"/>
          <w:color w:val="auto"/>
        </w:rPr>
        <w:t>www.dupont.com</w:t>
      </w:r>
      <w:r>
        <w:rPr>
          <w:rFonts w:ascii="Arial" w:cs="Arial" w:eastAsia="Arial" w:hAnsi="Arial"/>
          <w:sz w:val="16"/>
          <w:szCs w:val="16"/>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08"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 xml:space="preserve">This communication is not intended to and shall not constitute an offer to sell or the solicitation of an offer to sell or the solicitation of an offer to buy any securities or a solicitation of any vote of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In connection with the proposed combination of Nutrition &amp; Biosciences, Inc. (“N&amp;Bco”), a wholly owned subsidiary of DuPont de Nemours, Inc. (“DuPont”), and International Flavors &amp; Fragrances Inc. (“IFF”), which will immediately follow the proposed separation of N&amp;Bco from DuPont (the “proposed transaction”), N&amp;Bco and IFF intend to file relevant materials with the SEC, including a registration statement on Form S-4 that will include a proxy statement/prospectus relating to the proposed transaction. In addition, N&amp;Bco expects to file a registration statement in connection with its separation from DuPont. INVESTORS AND SECURITY HOLDERS ARE URGED TO READ THE REGISTRATION STATEMENTS, PROXY STATEMENT/PROSPECTUS AND ANY OTHER RELEVANT DOCUMENTS WHEN THEY BECOME AVAILABLE BECAUSE THEY WILL CONTAIN IMPORTANT INFORMATION ABOUT IFF, N&amp;BCO AND THE PROPOSED TRANSACTION. A definitive proxy statement will be sent to shareholders of IFF seeking approval of the proposed transaction. The documents relating to the proposed transaction (when they are available) can be obtained free of charge from the SEC’s website at </w:t>
      </w:r>
      <w:r>
        <w:rPr>
          <w:rFonts w:ascii="Arial" w:cs="Arial" w:eastAsia="Arial" w:hAnsi="Arial"/>
          <w:sz w:val="15"/>
          <w:szCs w:val="15"/>
          <w:u w:val="single" w:color="auto"/>
          <w:color w:val="auto"/>
        </w:rPr>
        <w:t>www.sec.gov</w:t>
      </w:r>
      <w:r>
        <w:rPr>
          <w:rFonts w:ascii="Arial" w:cs="Arial" w:eastAsia="Arial" w:hAnsi="Arial"/>
          <w:sz w:val="15"/>
          <w:szCs w:val="15"/>
          <w:color w:val="auto"/>
        </w:rPr>
        <w:t>. Free copies of these documents, once available, and each of the companies’ other filings with the SEC may also be obtained from the respective companies by contacting the investor relations department of DuPont or IFF at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1"/>
              </w:rPr>
              <w:t>DuPont Contact Information</w:t>
            </w:r>
          </w:p>
        </w:tc>
        <w:tc>
          <w:tcPr>
            <w:tcW w:w="1560" w:type="dxa"/>
            <w:vAlign w:val="bottom"/>
          </w:tcPr>
          <w:p>
            <w:pPr>
              <w:spacing w:after="0"/>
              <w:rPr>
                <w:sz w:val="16"/>
                <w:szCs w:val="16"/>
                <w:color w:val="auto"/>
              </w:rPr>
            </w:pPr>
          </w:p>
        </w:tc>
        <w:tc>
          <w:tcPr>
            <w:tcW w:w="3420" w:type="dxa"/>
            <w:vAlign w:val="bottom"/>
          </w:tcPr>
          <w:p>
            <w:pPr>
              <w:spacing w:after="0"/>
              <w:rPr>
                <w:sz w:val="16"/>
                <w:szCs w:val="16"/>
                <w:color w:val="auto"/>
              </w:rPr>
            </w:pPr>
          </w:p>
        </w:tc>
      </w:tr>
      <w:tr>
        <w:trPr>
          <w:trHeight w:val="304"/>
        </w:trPr>
        <w:tc>
          <w:tcPr>
            <w:tcW w:w="3540" w:type="dxa"/>
            <w:vAlign w:val="bottom"/>
            <w:gridSpan w:val="2"/>
          </w:tcPr>
          <w:p>
            <w:pPr>
              <w:spacing w:after="0"/>
              <w:rPr>
                <w:sz w:val="20"/>
                <w:szCs w:val="20"/>
                <w:color w:val="auto"/>
              </w:rPr>
            </w:pPr>
            <w:r>
              <w:rPr>
                <w:rFonts w:ascii="Arial" w:cs="Arial" w:eastAsia="Arial" w:hAnsi="Arial"/>
                <w:sz w:val="16"/>
                <w:szCs w:val="16"/>
                <w:b w:val="1"/>
                <w:bCs w:val="1"/>
                <w:color w:val="auto"/>
              </w:rPr>
              <w:t>DuPont Investors:</w:t>
            </w:r>
          </w:p>
        </w:tc>
        <w:tc>
          <w:tcPr>
            <w:tcW w:w="3420" w:type="dxa"/>
            <w:vAlign w:val="bottom"/>
          </w:tcPr>
          <w:p>
            <w:pPr>
              <w:ind w:left="1560"/>
              <w:spacing w:after="0"/>
              <w:rPr>
                <w:sz w:val="20"/>
                <w:szCs w:val="20"/>
                <w:color w:val="auto"/>
              </w:rPr>
            </w:pPr>
            <w:r>
              <w:rPr>
                <w:rFonts w:ascii="Arial" w:cs="Arial" w:eastAsia="Arial" w:hAnsi="Arial"/>
                <w:sz w:val="16"/>
                <w:szCs w:val="16"/>
                <w:b w:val="1"/>
                <w:bCs w:val="1"/>
                <w:color w:val="auto"/>
              </w:rPr>
              <w:t>Media:</w:t>
            </w:r>
          </w:p>
        </w:tc>
      </w:tr>
      <w:tr>
        <w:trPr>
          <w:trHeight w:val="192"/>
        </w:trPr>
        <w:tc>
          <w:tcPr>
            <w:tcW w:w="3540" w:type="dxa"/>
            <w:vAlign w:val="bottom"/>
            <w:gridSpan w:val="2"/>
          </w:tcPr>
          <w:p>
            <w:pPr>
              <w:spacing w:after="0"/>
              <w:rPr>
                <w:sz w:val="20"/>
                <w:szCs w:val="20"/>
                <w:color w:val="auto"/>
              </w:rPr>
            </w:pPr>
            <w:r>
              <w:rPr>
                <w:rFonts w:ascii="Arial" w:cs="Arial" w:eastAsia="Arial" w:hAnsi="Arial"/>
                <w:sz w:val="16"/>
                <w:szCs w:val="16"/>
                <w:color w:val="auto"/>
              </w:rPr>
              <w:t>Lori Koch</w:t>
            </w:r>
          </w:p>
        </w:tc>
        <w:tc>
          <w:tcPr>
            <w:tcW w:w="3420" w:type="dxa"/>
            <w:vAlign w:val="bottom"/>
          </w:tcPr>
          <w:p>
            <w:pPr>
              <w:ind w:left="1560"/>
              <w:spacing w:after="0"/>
              <w:rPr>
                <w:sz w:val="20"/>
                <w:szCs w:val="20"/>
                <w:color w:val="auto"/>
              </w:rPr>
            </w:pPr>
            <w:r>
              <w:rPr>
                <w:rFonts w:ascii="Arial" w:cs="Arial" w:eastAsia="Arial" w:hAnsi="Arial"/>
                <w:sz w:val="16"/>
                <w:szCs w:val="16"/>
                <w:color w:val="auto"/>
              </w:rPr>
              <w:t>Dan Turner</w:t>
            </w:r>
          </w:p>
        </w:tc>
      </w:tr>
      <w:tr>
        <w:trPr>
          <w:trHeight w:val="192"/>
        </w:trPr>
        <w:tc>
          <w:tcPr>
            <w:tcW w:w="3540" w:type="dxa"/>
            <w:vAlign w:val="bottom"/>
            <w:gridSpan w:val="2"/>
          </w:tcPr>
          <w:p>
            <w:pPr>
              <w:spacing w:after="0"/>
              <w:rPr>
                <w:sz w:val="20"/>
                <w:szCs w:val="20"/>
                <w:color w:val="auto"/>
              </w:rPr>
            </w:pPr>
            <w:r>
              <w:rPr>
                <w:rFonts w:ascii="Arial" w:cs="Arial" w:eastAsia="Arial" w:hAnsi="Arial"/>
                <w:sz w:val="16"/>
                <w:szCs w:val="16"/>
                <w:color w:val="auto"/>
              </w:rPr>
              <w:t>Lori.d.koch@dupont.com</w:t>
            </w:r>
          </w:p>
        </w:tc>
        <w:tc>
          <w:tcPr>
            <w:tcW w:w="3420" w:type="dxa"/>
            <w:vAlign w:val="bottom"/>
          </w:tcPr>
          <w:p>
            <w:pPr>
              <w:ind w:left="1560"/>
              <w:spacing w:after="0"/>
              <w:rPr>
                <w:sz w:val="20"/>
                <w:szCs w:val="20"/>
                <w:color w:val="auto"/>
              </w:rPr>
            </w:pPr>
            <w:r>
              <w:rPr>
                <w:rFonts w:ascii="Arial" w:cs="Arial" w:eastAsia="Arial" w:hAnsi="Arial"/>
                <w:sz w:val="16"/>
                <w:szCs w:val="16"/>
                <w:color w:val="auto"/>
                <w:w w:val="89"/>
              </w:rPr>
              <w:t>Daniel.a.turner@dupont.com</w:t>
            </w:r>
          </w:p>
        </w:tc>
      </w:tr>
      <w:tr>
        <w:trPr>
          <w:trHeight w:val="205"/>
        </w:trPr>
        <w:tc>
          <w:tcPr>
            <w:tcW w:w="1980" w:type="dxa"/>
            <w:vAlign w:val="bottom"/>
          </w:tcPr>
          <w:p>
            <w:pPr>
              <w:spacing w:after="0"/>
              <w:rPr>
                <w:sz w:val="20"/>
                <w:szCs w:val="20"/>
                <w:color w:val="auto"/>
              </w:rPr>
            </w:pPr>
            <w:r>
              <w:rPr>
                <w:rFonts w:ascii="Arial" w:cs="Arial" w:eastAsia="Arial" w:hAnsi="Arial"/>
                <w:sz w:val="16"/>
                <w:szCs w:val="16"/>
                <w:color w:val="auto"/>
              </w:rPr>
              <w:t>+1 302-999-5631</w:t>
            </w:r>
          </w:p>
        </w:tc>
        <w:tc>
          <w:tcPr>
            <w:tcW w:w="1560" w:type="dxa"/>
            <w:vAlign w:val="bottom"/>
          </w:tcPr>
          <w:p>
            <w:pPr>
              <w:spacing w:after="0"/>
              <w:rPr>
                <w:sz w:val="17"/>
                <w:szCs w:val="17"/>
                <w:color w:val="auto"/>
              </w:rPr>
            </w:pPr>
          </w:p>
        </w:tc>
        <w:tc>
          <w:tcPr>
            <w:tcW w:w="3420" w:type="dxa"/>
            <w:vAlign w:val="bottom"/>
          </w:tcPr>
          <w:p>
            <w:pPr>
              <w:ind w:left="1560"/>
              <w:spacing w:after="0"/>
              <w:rPr>
                <w:sz w:val="20"/>
                <w:szCs w:val="20"/>
                <w:color w:val="auto"/>
              </w:rPr>
            </w:pPr>
            <w:r>
              <w:rPr>
                <w:rFonts w:ascii="Arial" w:cs="Arial" w:eastAsia="Arial" w:hAnsi="Arial"/>
                <w:sz w:val="16"/>
                <w:szCs w:val="16"/>
                <w:color w:val="auto"/>
              </w:rPr>
              <w:t>+1 302-996-8372</w:t>
            </w:r>
          </w:p>
        </w:tc>
      </w:tr>
    </w:tbl>
    <w:p>
      <w:pPr>
        <w:sectPr>
          <w:pgSz w:w="11900" w:h="16838" w:orient="portrait"/>
          <w:cols w:equalWidth="0" w:num="1">
            <w:col w:w="9780"/>
          </w:cols>
          <w:pgMar w:left="1060" w:top="255" w:right="1059" w:bottom="1440" w:gutter="0" w:footer="0" w:header="0"/>
        </w:sectPr>
      </w:pPr>
    </w:p>
    <w:bookmarkStart w:id="2" w:name="page3"/>
    <w:bookmarkEnd w:id="2"/>
    <w:p>
      <w:pPr>
        <w:ind w:left="7"/>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IFF Contact Information</w:t>
      </w:r>
    </w:p>
    <w:p>
      <w:pPr>
        <w:spacing w:after="0" w:line="108" w:lineRule="exact"/>
        <w:rPr>
          <w:sz w:val="20"/>
          <w:szCs w:val="20"/>
          <w:color w:val="auto"/>
        </w:rPr>
      </w:pPr>
    </w:p>
    <w:p>
      <w:pPr>
        <w:ind w:left="7"/>
        <w:spacing w:after="0"/>
        <w:rPr>
          <w:sz w:val="20"/>
          <w:szCs w:val="20"/>
          <w:color w:val="auto"/>
        </w:rPr>
      </w:pPr>
      <w:r>
        <w:rPr>
          <w:rFonts w:ascii="Arial" w:cs="Arial" w:eastAsia="Arial" w:hAnsi="Arial"/>
          <w:sz w:val="16"/>
          <w:szCs w:val="16"/>
          <w:color w:val="auto"/>
        </w:rPr>
        <w:t>Michael DeVeau</w:t>
      </w:r>
    </w:p>
    <w:p>
      <w:pPr>
        <w:spacing w:after="0" w:line="21" w:lineRule="exact"/>
        <w:rPr>
          <w:sz w:val="20"/>
          <w:szCs w:val="20"/>
          <w:color w:val="auto"/>
        </w:rPr>
      </w:pPr>
    </w:p>
    <w:p>
      <w:pPr>
        <w:ind w:left="7"/>
        <w:spacing w:after="0"/>
        <w:rPr>
          <w:sz w:val="20"/>
          <w:szCs w:val="20"/>
          <w:color w:val="auto"/>
        </w:rPr>
      </w:pPr>
      <w:r>
        <w:rPr>
          <w:rFonts w:ascii="Arial" w:cs="Arial" w:eastAsia="Arial" w:hAnsi="Arial"/>
          <w:sz w:val="16"/>
          <w:szCs w:val="16"/>
          <w:color w:val="auto"/>
        </w:rPr>
        <w:t>Michael.DeVeau@iff.com</w:t>
      </w:r>
    </w:p>
    <w:p>
      <w:pPr>
        <w:spacing w:after="0" w:line="8" w:lineRule="exact"/>
        <w:rPr>
          <w:sz w:val="20"/>
          <w:szCs w:val="20"/>
          <w:color w:val="auto"/>
        </w:rPr>
      </w:pPr>
    </w:p>
    <w:p>
      <w:pPr>
        <w:ind w:left="7"/>
        <w:spacing w:after="0"/>
        <w:rPr>
          <w:sz w:val="20"/>
          <w:szCs w:val="20"/>
          <w:color w:val="auto"/>
        </w:rPr>
      </w:pPr>
      <w:r>
        <w:rPr>
          <w:rFonts w:ascii="Arial" w:cs="Arial" w:eastAsia="Arial" w:hAnsi="Arial"/>
          <w:sz w:val="16"/>
          <w:szCs w:val="16"/>
          <w:color w:val="auto"/>
        </w:rPr>
        <w:t>+1 212-708-1212</w:t>
      </w:r>
    </w:p>
    <w:p>
      <w:pPr>
        <w:spacing w:after="0" w:line="280"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Cautionary Note on Forward-Looking Statements</w:t>
      </w:r>
    </w:p>
    <w:p>
      <w:pPr>
        <w:spacing w:after="0" w:line="108" w:lineRule="exact"/>
        <w:rPr>
          <w:sz w:val="20"/>
          <w:szCs w:val="20"/>
          <w:color w:val="auto"/>
        </w:rPr>
      </w:pPr>
    </w:p>
    <w:p>
      <w:pPr>
        <w:ind w:left="7"/>
        <w:spacing w:after="0" w:line="288" w:lineRule="auto"/>
        <w:rPr>
          <w:sz w:val="20"/>
          <w:szCs w:val="20"/>
          <w:color w:val="auto"/>
        </w:rPr>
      </w:pPr>
      <w:r>
        <w:rPr>
          <w:rFonts w:ascii="Arial" w:cs="Arial" w:eastAsia="Arial" w:hAnsi="Arial"/>
          <w:sz w:val="14"/>
          <w:szCs w:val="14"/>
          <w:color w:val="auto"/>
        </w:rPr>
        <w:t>This communication contains “forward-looking statements” within the meaning of the federal securities laws, including Section 27A of the Securities Act, and Section 21E of the Securities Exchange Act of 1934, as amended (the “Exchange Act”). In this context, forward-looking statements often address expected future business and financial performance and financial condition, and often contain words such as “expect,” “anticipate,” “intend,” “plan,” “believe,” “seek,” “see,” “will,” “would,” “target,” similar expressions, and variations or negatives of these words. Forward-looking statements by their nature address matters that are, to different degrees, uncertain, such as statements about the proposed transaction, the expected timetable for completing the proposed transaction, the benefits and synergies of the proposed transaction, future opportunities for the combined company and products and any other statements regarding DuPont’s, IFF’s and N&amp;Bco’s future operations, financial or operating results, capital allocation, dividend policy, debt ratio, anticipated business levels, future earnings, planned activities, anticipated growth, market opportunities, strategies, competitions, and other expectations and targets for future periods. There are several factors which could cause actual plans and results to differ materially from those expressed or implied in forward-looking statements. Such factors include, but are not limited to, (1) the parties’ ability to meet expectations regarding the timing, completion and accounting and tax treatments of the proposed transaction, (2) changes in relevant tax and other laws, (3) any failure to obtain necessary tax or regulatory approvals, approval of IFF’s shareholders, anticipated tax treatment or any required financing or to satisfy any of the other conditions to the proposed transaction, (4) the possibility that unforeseen liabilities, future capital expenditures, revenues, expenses, earnings, synergies, economic performance, indebtedness, financial condition, losses, future prospects, business and management strategies that could impact the value, timing or pursuit of the proposed transaction, (5) risks and costs and pursuit and/or implementation of the separation of N&amp;Bco, including timing anticipated to complete the separation, any changes to the configuration of businesses included in the separation if implemented, (6) risks related to indemnification of certain legacy liabilities of E. I. du Pont de Nemours and Company (“Historical EID”) in connection with the distribution of Corteva Inc. on June 1, 2019 (the “Corteva Distribution”), (7) potential liability arising from fraudulent conveyance and similar laws in connection with DuPont’s distribution of Dow Inc. on April 1, 2019 and/or the Corteva Distributions (the “Previous Distributions”), (8) failure to effectively manage acquisitions, divestitures, alliances, joint ventures and other portfolio changes, including meeting conditions under the Letter Agreement entered in connection with the Corteva Distribution, related to the transfer of certain levels of assets and businesses, (9) uncertainty as to the long-term value of DuPont common stock, (10) potential inability or reduced access to the capital markets or increased cost of borrowings, including as a result of a credit rating downgrade or limitations applicable to the RMT structure, (11) inherent uncertainties involved in the estimates and judgments used in the preparation of financial statements and the providing of estimates of financial measures, in accordance with the accounting principles generally accepted in the United States of America and related standards, or on an adjusted basis, (12) the integration of IFF and its Frutarom business and/or N&amp;Bco being more difficult, time consuming or costly than expected, (13) the failure to achieve expected or targeted future financial and operating performance and results, (14) the possibility that IFF may be unable to achieve expected benefits, synergies and operating efficiencies in connection with the proposed transaction within the expected time frames or at all or to successfully integrate Frutarom and N&amp;Bco, (15) customer loss and business disruption being greater than expected following the proposed transaction, (16) the impact of divestitures required as a condition to consummation of the proposed transaction as well as other conditional commitments, (17) legislative, regulatory and economic developments; (18) an increase or decrease in the anticipated transaction taxes (including due to any changes to tax legislation and its impact on tax rates (and the timing of the effectiveness of any such changes)) to be paid in connection with the separation prior to the closing of the transactions could cause an adjustment to the cash distribution amount,</w:t>
      </w:r>
    </w:p>
    <w:p>
      <w:pPr>
        <w:spacing w:after="0" w:line="174" w:lineRule="exact"/>
        <w:rPr>
          <w:sz w:val="20"/>
          <w:szCs w:val="20"/>
          <w:color w:val="auto"/>
        </w:rPr>
      </w:pPr>
    </w:p>
    <w:p>
      <w:pPr>
        <w:ind w:left="7" w:right="680" w:hanging="7"/>
        <w:spacing w:after="0" w:line="261" w:lineRule="auto"/>
        <w:tabs>
          <w:tab w:leader="none" w:pos="314"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litigation relating to the proposed transaction that could be instituted against DuPont, IFF or their respective directors, (20) risks associated</w:t>
      </w:r>
    </w:p>
    <w:p>
      <w:pPr>
        <w:sectPr>
          <w:pgSz w:w="11900" w:h="16838" w:orient="portrait"/>
          <w:cols w:equalWidth="0" w:num="1">
            <w:col w:w="9787"/>
          </w:cols>
          <w:pgMar w:left="1053" w:top="255" w:right="1059" w:bottom="1440" w:gutter="0" w:footer="0" w:header="0"/>
        </w:sectPr>
      </w:pPr>
    </w:p>
    <w:bookmarkStart w:id="3" w:name="page4"/>
    <w:bookmarkEnd w:id="3"/>
    <w:p>
      <w:pPr>
        <w:spacing w:after="0" w:line="28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with third party contracts containing consent and/or other provisions that may be triggered by the proposed transaction, (21) negative effects of the announcement or the consummation of the transaction on the market price of DuPont’s and/or IFF’s common stock, (22) risks relating to the value of the IFF shares to be issued in the transaction and uncertainty as to the long-term value of IFF’s common stock, (23) risks relating to IFF’s ongoing investigations into improper payments made in Frutarom businesses principally operating in Russia and the Ukraine, including expenses incurred with respect to the investigations, the cost of any remedial measures or compliance programs arising out of the investigations, legal proceedings or government investigations that may arise relating to the subject of IFF’s investigations, and the outcome of any such legal or government investigations, such as the imposition of fines, penalties, orders, or injunctions, (24) the impact of the failure to comply with U.S. or foreign anti-corruption and anti-bribery laws and regulations, including with respect to IFF’s ongoing investigations into improper payments made in Frutarom businesses principally operating in Russia and the Ukraine, (25) the impact of the outcome of legal claims, regulatory investigations and litigation, including any that may arise out of IFF’s ongoing investigations into improper payments made in Frutarom businesses principally operating in Russia and the Ukraine, (26) the ability of N&amp;Bco or IFF to retain and hire key personnel, (27) the risk that N&amp;Bco, as a newly formed entity that currently has no credit rating, will not have access to the capital markets on acceptable terms, (28) the risk that N&amp;Bco and IFF will incur significant indebtedness in connection with the potential transaction, and the degree to which IFF will be leveraged following completion of the potential transaction may materially and adversely affect its business, financial condition and results of operations, (29) the ability to obtain or consummate financing or refinancing related to the transaction upon acceptable terms or at all, and (30) other risks to DuPont’s, N&amp;Bco’s and IFF’s business, operations and results of operations including from: failure to develop and market new products and optimally manage product life cycles; ability, cost and impact on business operations, including the supply chain, of responding to changes in market acceptance, rules, regulations and policies and failure to respond to such changes; outcome of significant litigation, environmental matters and other commitments and contingencies; failure to appropriately manage process safety and product stewardship issues; global economic and capital market conditions, including the continued availability of capital and financing, as well as inflation, interest and currency exchange rates; changes in political conditions, including tariffs, trade disputes and retaliatory actions; impairment of goodwill or intangible assets; the availability of and fluctuations in the cost of energy and raw materials; business or supply disruption, including in connection with the Previous Distributions; security threats, such as acts of sabotage, terrorism or war, natural disasters and weather events and patterns which could result in a significant operational event for DuPont, N&amp;Bco or IFF, adversely impact demand or production; ability to discover, develop and protect new technologies and to protect and enforce DuPont’s, N&amp;Bco’s or IFF’s intellectual property rights; unpredictability and severity of catastrophic events, including, but not limited to, acts of terrorism or outbreak of war or hostilities, as well as management’s response to any of the aforementioned factors. These risks, as well as other risks associated with the proposed merger, will be more fully discussed in the registration statement and merger proxy on Form S-4 to be filed by IFF and the registration statement on Form 10 to be filed by N&amp;Bco. While the list of factors presented here is, and the list of factors to be presented in any registration statement filed in connection with the transaction are, considered representative, no such list should be considered to be a complete statement of all potential risks and uncertainties. Unlisted factors may present significant additional obstacles to the realization of forward looking statements. Further lists and descriptions of risks and uncertainties can be found in each of IFF’s and DuPont’s Form 10-Q for the period ended September 30, 2019 and each of IFF’s and DuPont’s respective subsequent reports on Form 10-Q, Form 10-K and Form 8-K, the contents of which are not incorporated by reference into, nor do they form part of, this announcement. Any other risks associated with the proposed transaction will be more fully discussed in any registration statement filed with the SEC. While the list of factors presented here is, and the list of factors that may be presented in a registration statement of IFF or N&amp;Bco would be, considered representative, no such list should be considered to be a complete statement of all potential risks and uncertainties. Unlisted factors may present significant additional obstacles to the realization of forward 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IFF’s, DuPont’s or N&amp;Bco’s consolidated financial condition, results of operations, credit rating or liquidity. None of IFF, DuPont nor N&amp;Bco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sectPr>
          <w:pgSz w:w="11900" w:h="16838" w:orient="portrait"/>
          <w:cols w:equalWidth="0" w:num="1">
            <w:col w:w="9800"/>
          </w:cols>
          <w:pgMar w:left="1060" w:top="259" w:right="1039" w:bottom="1440" w:gutter="0" w:footer="0" w:header="0"/>
        </w:sectPr>
      </w:pPr>
    </w:p>
    <w:bookmarkStart w:id="4" w:name="page5"/>
    <w:bookmarkEnd w:id="4"/>
    <w:p>
      <w:pPr>
        <w:ind w:left="7"/>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Participants in the Solicitation</w:t>
      </w:r>
    </w:p>
    <w:p>
      <w:pPr>
        <w:spacing w:after="0" w:line="108" w:lineRule="exact"/>
        <w:rPr>
          <w:sz w:val="20"/>
          <w:szCs w:val="20"/>
          <w:color w:val="auto"/>
        </w:rPr>
      </w:pPr>
    </w:p>
    <w:p>
      <w:pPr>
        <w:ind w:left="7"/>
        <w:spacing w:after="0" w:line="274" w:lineRule="auto"/>
        <w:rPr>
          <w:sz w:val="20"/>
          <w:szCs w:val="20"/>
          <w:color w:val="auto"/>
        </w:rPr>
      </w:pPr>
      <w:r>
        <w:rPr>
          <w:rFonts w:ascii="Arial" w:cs="Arial" w:eastAsia="Arial" w:hAnsi="Arial"/>
          <w:sz w:val="15"/>
          <w:szCs w:val="15"/>
          <w:color w:val="auto"/>
        </w:rPr>
        <w:t>This communication is not a solicitation of a proxy from any investor or security holder. However, DuPont, IFF and certain of their respective directors and executive officers may be deemed to be participants in the solicitation of proxies in connection with the proposed transaction under the rules of the SEC. Information about the directors and executive officers of DuPont may be found in its Annual Report on Form 10-K filed with the SEC on February 11, 2019 and its definitive proxy statement filed with the SEC on May 1, 2019. Information about the directors and executive officers of IFF may be found in its definitive proxy statement filed with the SEC on March 18, 2019. Other information regarding the participants in the proxy solicitation and a description of their direct and indirect interests, by security holdings or otherwise, will be contained in the registration statements, prospectuses and proxy statement and other relevant materials to be filed with the SEC when they become available.</w:t>
      </w:r>
    </w:p>
    <w:p>
      <w:pPr>
        <w:spacing w:after="0" w:line="287" w:lineRule="exact"/>
        <w:rPr>
          <w:sz w:val="20"/>
          <w:szCs w:val="20"/>
          <w:color w:val="auto"/>
        </w:rPr>
      </w:pPr>
    </w:p>
    <w:p>
      <w:pPr>
        <w:ind w:left="7"/>
        <w:spacing w:after="0"/>
        <w:tabs>
          <w:tab w:leader="none" w:pos="1047"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20" w:lineRule="exact"/>
        <w:rPr>
          <w:sz w:val="20"/>
          <w:szCs w:val="20"/>
          <w:color w:val="auto"/>
        </w:rPr>
      </w:pPr>
    </w:p>
    <w:p>
      <w:pPr>
        <w:ind w:left="387" w:hanging="387"/>
        <w:spacing w:after="0"/>
        <w:tabs>
          <w:tab w:leader="none" w:pos="387" w:val="left"/>
        </w:tabs>
        <w:numPr>
          <w:ilvl w:val="0"/>
          <w:numId w:val="4"/>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tbl>
      <w:tblPr>
        <w:tblLayout w:type="fixed"/>
        <w:tblInd w:w="7" w:type="dxa"/>
        <w:tblCellMar>
          <w:top w:w="0" w:type="dxa"/>
          <w:left w:w="0" w:type="dxa"/>
          <w:bottom w:w="0" w:type="dxa"/>
          <w:right w:w="0" w:type="dxa"/>
        </w:tblCellMar>
      </w:tblPr>
      <w:tr>
        <w:trPr>
          <w:trHeight w:val="205"/>
        </w:trPr>
        <w:tc>
          <w:tcPr>
            <w:tcW w:w="420" w:type="dxa"/>
            <w:vAlign w:val="bottom"/>
          </w:tcPr>
          <w:p>
            <w:pPr>
              <w:spacing w:after="0"/>
              <w:rPr>
                <w:sz w:val="17"/>
                <w:szCs w:val="17"/>
                <w:color w:val="auto"/>
              </w:rPr>
            </w:pPr>
          </w:p>
        </w:tc>
        <w:tc>
          <w:tcPr>
            <w:tcW w:w="8920" w:type="dxa"/>
            <w:vAlign w:val="bottom"/>
            <w:gridSpan w:val="3"/>
          </w:tcPr>
          <w:p>
            <w:pPr>
              <w:ind w:left="4040"/>
              <w:spacing w:after="0"/>
              <w:rPr>
                <w:sz w:val="20"/>
                <w:szCs w:val="20"/>
                <w:color w:val="auto"/>
              </w:rPr>
            </w:pPr>
            <w:r>
              <w:rPr>
                <w:rFonts w:ascii="Arial" w:cs="Arial" w:eastAsia="Arial" w:hAnsi="Arial"/>
                <w:sz w:val="16"/>
                <w:szCs w:val="16"/>
                <w:color w:val="auto"/>
              </w:rPr>
              <w:t>Exhibit Index</w:t>
            </w:r>
          </w:p>
        </w:tc>
      </w:tr>
      <w:tr>
        <w:trPr>
          <w:trHeight w:val="348"/>
        </w:trPr>
        <w:tc>
          <w:tcPr>
            <w:tcW w:w="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6"/>
              </w:rPr>
              <w:t>Number</w:t>
            </w:r>
          </w:p>
        </w:tc>
        <w:tc>
          <w:tcPr>
            <w:tcW w:w="458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9"/>
              </w:rPr>
              <w:t>Description</w:t>
            </w:r>
          </w:p>
        </w:tc>
        <w:tc>
          <w:tcPr>
            <w:tcW w:w="3740" w:type="dxa"/>
            <w:vAlign w:val="bottom"/>
          </w:tcPr>
          <w:p>
            <w:pPr>
              <w:spacing w:after="0"/>
              <w:rPr>
                <w:sz w:val="24"/>
                <w:szCs w:val="24"/>
                <w:color w:val="auto"/>
              </w:rPr>
            </w:pPr>
          </w:p>
        </w:tc>
      </w:tr>
      <w:tr>
        <w:trPr>
          <w:trHeight w:val="280"/>
        </w:trPr>
        <w:tc>
          <w:tcPr>
            <w:tcW w:w="420" w:type="dxa"/>
            <w:vAlign w:val="bottom"/>
          </w:tcPr>
          <w:p>
            <w:pPr>
              <w:spacing w:after="0"/>
              <w:rPr>
                <w:sz w:val="20"/>
                <w:szCs w:val="20"/>
                <w:color w:val="auto"/>
              </w:rPr>
            </w:pPr>
            <w:r>
              <w:rPr>
                <w:rFonts w:ascii="Arial" w:cs="Arial" w:eastAsia="Arial" w:hAnsi="Arial"/>
                <w:sz w:val="16"/>
                <w:szCs w:val="16"/>
                <w:color w:val="auto"/>
              </w:rPr>
              <w:t>99.1</w:t>
            </w:r>
          </w:p>
        </w:tc>
        <w:tc>
          <w:tcPr>
            <w:tcW w:w="8920" w:type="dxa"/>
            <w:vAlign w:val="bottom"/>
            <w:gridSpan w:val="3"/>
          </w:tcPr>
          <w:p>
            <w:pPr>
              <w:ind w:left="360"/>
              <w:spacing w:after="0"/>
              <w:rPr>
                <w:sz w:val="20"/>
                <w:szCs w:val="20"/>
                <w:color w:val="auto"/>
              </w:rPr>
            </w:pPr>
            <w:r>
              <w:rPr>
                <w:rFonts w:ascii="Arial" w:cs="Arial" w:eastAsia="Arial" w:hAnsi="Arial"/>
                <w:sz w:val="16"/>
                <w:szCs w:val="16"/>
                <w:color w:val="auto"/>
              </w:rPr>
              <w:t>Joint Press Release of IFF and DuPont, dated December 15, 2019</w:t>
            </w:r>
          </w:p>
        </w:tc>
      </w:tr>
      <w:tr>
        <w:trPr>
          <w:trHeight w:val="288"/>
        </w:trPr>
        <w:tc>
          <w:tcPr>
            <w:tcW w:w="420" w:type="dxa"/>
            <w:vAlign w:val="bottom"/>
          </w:tcPr>
          <w:p>
            <w:pPr>
              <w:spacing w:after="0"/>
              <w:rPr>
                <w:sz w:val="20"/>
                <w:szCs w:val="20"/>
                <w:color w:val="auto"/>
              </w:rPr>
            </w:pPr>
            <w:r>
              <w:rPr>
                <w:rFonts w:ascii="Arial" w:cs="Arial" w:eastAsia="Arial" w:hAnsi="Arial"/>
                <w:sz w:val="16"/>
                <w:szCs w:val="16"/>
                <w:color w:val="auto"/>
              </w:rPr>
              <w:t>99.2</w:t>
            </w:r>
          </w:p>
        </w:tc>
        <w:tc>
          <w:tcPr>
            <w:tcW w:w="8920" w:type="dxa"/>
            <w:vAlign w:val="bottom"/>
            <w:gridSpan w:val="3"/>
          </w:tcPr>
          <w:p>
            <w:pPr>
              <w:ind w:left="360"/>
              <w:spacing w:after="0"/>
              <w:rPr>
                <w:sz w:val="20"/>
                <w:szCs w:val="20"/>
                <w:color w:val="auto"/>
              </w:rPr>
            </w:pPr>
            <w:r>
              <w:rPr>
                <w:rFonts w:ascii="Arial" w:cs="Arial" w:eastAsia="Arial" w:hAnsi="Arial"/>
                <w:sz w:val="16"/>
                <w:szCs w:val="16"/>
                <w:color w:val="auto"/>
              </w:rPr>
              <w:t>Joint Investor Presentation of IFF and DuPont, dated December 16, 2019</w:t>
            </w:r>
          </w:p>
        </w:tc>
      </w:tr>
      <w:tr>
        <w:trPr>
          <w:trHeight w:val="288"/>
        </w:trPr>
        <w:tc>
          <w:tcPr>
            <w:tcW w:w="420" w:type="dxa"/>
            <w:vAlign w:val="bottom"/>
          </w:tcPr>
          <w:p>
            <w:pPr>
              <w:spacing w:after="0"/>
              <w:rPr>
                <w:sz w:val="20"/>
                <w:szCs w:val="20"/>
                <w:color w:val="auto"/>
              </w:rPr>
            </w:pPr>
            <w:r>
              <w:rPr>
                <w:rFonts w:ascii="Arial" w:cs="Arial" w:eastAsia="Arial" w:hAnsi="Arial"/>
                <w:sz w:val="16"/>
                <w:szCs w:val="16"/>
                <w:color w:val="auto"/>
              </w:rPr>
              <w:t>99.3</w:t>
            </w:r>
          </w:p>
        </w:tc>
        <w:tc>
          <w:tcPr>
            <w:tcW w:w="8920" w:type="dxa"/>
            <w:vAlign w:val="bottom"/>
            <w:gridSpan w:val="3"/>
          </w:tcPr>
          <w:p>
            <w:pPr>
              <w:ind w:left="360"/>
              <w:spacing w:after="0"/>
              <w:rPr>
                <w:sz w:val="20"/>
                <w:szCs w:val="20"/>
                <w:color w:val="auto"/>
              </w:rPr>
            </w:pPr>
            <w:r>
              <w:rPr>
                <w:rFonts w:ascii="Arial" w:cs="Arial" w:eastAsia="Arial" w:hAnsi="Arial"/>
                <w:sz w:val="16"/>
                <w:szCs w:val="16"/>
                <w:color w:val="auto"/>
              </w:rPr>
              <w:t>Transcript of Joint Investor Call, dated December 16, 2019</w:t>
            </w:r>
          </w:p>
        </w:tc>
      </w:tr>
      <w:tr>
        <w:trPr>
          <w:trHeight w:val="288"/>
        </w:trPr>
        <w:tc>
          <w:tcPr>
            <w:tcW w:w="420" w:type="dxa"/>
            <w:vAlign w:val="bottom"/>
          </w:tcPr>
          <w:p>
            <w:pPr>
              <w:spacing w:after="0"/>
              <w:rPr>
                <w:sz w:val="20"/>
                <w:szCs w:val="20"/>
                <w:color w:val="auto"/>
              </w:rPr>
            </w:pPr>
            <w:r>
              <w:rPr>
                <w:rFonts w:ascii="Arial" w:cs="Arial" w:eastAsia="Arial" w:hAnsi="Arial"/>
                <w:sz w:val="16"/>
                <w:szCs w:val="16"/>
                <w:color w:val="auto"/>
              </w:rPr>
              <w:t>99.4</w:t>
            </w:r>
          </w:p>
        </w:tc>
        <w:tc>
          <w:tcPr>
            <w:tcW w:w="8920" w:type="dxa"/>
            <w:vAlign w:val="bottom"/>
            <w:gridSpan w:val="3"/>
          </w:tcPr>
          <w:p>
            <w:pPr>
              <w:ind w:left="360"/>
              <w:spacing w:after="0"/>
              <w:rPr>
                <w:sz w:val="20"/>
                <w:szCs w:val="20"/>
                <w:color w:val="auto"/>
              </w:rPr>
            </w:pPr>
            <w:r>
              <w:rPr>
                <w:rFonts w:ascii="Arial" w:cs="Arial" w:eastAsia="Arial" w:hAnsi="Arial"/>
                <w:sz w:val="16"/>
                <w:szCs w:val="16"/>
                <w:color w:val="auto"/>
              </w:rPr>
              <w:t>DuPont Nutrition &amp; Biosciences Business Infographic</w:t>
            </w:r>
          </w:p>
        </w:tc>
      </w:tr>
      <w:tr>
        <w:trPr>
          <w:trHeight w:val="288"/>
        </w:trPr>
        <w:tc>
          <w:tcPr>
            <w:tcW w:w="420" w:type="dxa"/>
            <w:vAlign w:val="bottom"/>
          </w:tcPr>
          <w:p>
            <w:pPr>
              <w:spacing w:after="0"/>
              <w:rPr>
                <w:sz w:val="20"/>
                <w:szCs w:val="20"/>
                <w:color w:val="auto"/>
              </w:rPr>
            </w:pPr>
            <w:r>
              <w:rPr>
                <w:rFonts w:ascii="Arial" w:cs="Arial" w:eastAsia="Arial" w:hAnsi="Arial"/>
                <w:sz w:val="16"/>
                <w:szCs w:val="16"/>
                <w:color w:val="auto"/>
              </w:rPr>
              <w:t>99.5</w:t>
            </w:r>
          </w:p>
        </w:tc>
        <w:tc>
          <w:tcPr>
            <w:tcW w:w="8920" w:type="dxa"/>
            <w:vAlign w:val="bottom"/>
            <w:gridSpan w:val="3"/>
          </w:tcPr>
          <w:p>
            <w:pPr>
              <w:ind w:left="360"/>
              <w:spacing w:after="0"/>
              <w:rPr>
                <w:sz w:val="20"/>
                <w:szCs w:val="20"/>
                <w:color w:val="auto"/>
              </w:rPr>
            </w:pPr>
            <w:r>
              <w:rPr>
                <w:rFonts w:ascii="Arial" w:cs="Arial" w:eastAsia="Arial" w:hAnsi="Arial"/>
                <w:sz w:val="16"/>
                <w:szCs w:val="16"/>
                <w:color w:val="auto"/>
              </w:rPr>
              <w:t>DuPont Nutrition &amp; Biosciences Business Profile</w:t>
            </w:r>
          </w:p>
        </w:tc>
      </w:tr>
      <w:tr>
        <w:trPr>
          <w:trHeight w:val="276"/>
        </w:trPr>
        <w:tc>
          <w:tcPr>
            <w:tcW w:w="420" w:type="dxa"/>
            <w:vAlign w:val="bottom"/>
          </w:tcPr>
          <w:p>
            <w:pPr>
              <w:spacing w:after="0"/>
              <w:rPr>
                <w:sz w:val="20"/>
                <w:szCs w:val="20"/>
                <w:color w:val="auto"/>
              </w:rPr>
            </w:pPr>
            <w:r>
              <w:rPr>
                <w:rFonts w:ascii="Arial" w:cs="Arial" w:eastAsia="Arial" w:hAnsi="Arial"/>
                <w:sz w:val="16"/>
                <w:szCs w:val="16"/>
                <w:color w:val="auto"/>
              </w:rPr>
              <w:t>99.6</w:t>
            </w:r>
          </w:p>
        </w:tc>
        <w:tc>
          <w:tcPr>
            <w:tcW w:w="8920" w:type="dxa"/>
            <w:vAlign w:val="bottom"/>
            <w:gridSpan w:val="3"/>
          </w:tcPr>
          <w:p>
            <w:pPr>
              <w:ind w:left="360"/>
              <w:spacing w:after="0"/>
              <w:rPr>
                <w:sz w:val="20"/>
                <w:szCs w:val="20"/>
                <w:color w:val="auto"/>
              </w:rPr>
            </w:pPr>
            <w:r>
              <w:rPr>
                <w:rFonts w:ascii="Arial" w:cs="Arial" w:eastAsia="Arial" w:hAnsi="Arial"/>
                <w:sz w:val="16"/>
                <w:szCs w:val="16"/>
                <w:color w:val="auto"/>
                <w:w w:val="91"/>
              </w:rPr>
              <w:t>Video Transcript of December 15, 2019 Interview between Andreas Fibig, Chairman and Chief Executive Officer of IFF, and Edward</w:t>
            </w:r>
          </w:p>
        </w:tc>
      </w:tr>
      <w:tr>
        <w:trPr>
          <w:trHeight w:val="205"/>
        </w:trPr>
        <w:tc>
          <w:tcPr>
            <w:tcW w:w="420" w:type="dxa"/>
            <w:vAlign w:val="bottom"/>
          </w:tcPr>
          <w:p>
            <w:pPr>
              <w:spacing w:after="0"/>
              <w:rPr>
                <w:sz w:val="17"/>
                <w:szCs w:val="17"/>
                <w:color w:val="auto"/>
              </w:rPr>
            </w:pPr>
          </w:p>
        </w:tc>
        <w:tc>
          <w:tcPr>
            <w:tcW w:w="8920" w:type="dxa"/>
            <w:vAlign w:val="bottom"/>
            <w:gridSpan w:val="3"/>
          </w:tcPr>
          <w:p>
            <w:pPr>
              <w:ind w:left="360"/>
              <w:spacing w:after="0"/>
              <w:rPr>
                <w:sz w:val="20"/>
                <w:szCs w:val="20"/>
                <w:color w:val="auto"/>
              </w:rPr>
            </w:pPr>
            <w:r>
              <w:rPr>
                <w:rFonts w:ascii="Arial" w:cs="Arial" w:eastAsia="Arial" w:hAnsi="Arial"/>
                <w:sz w:val="16"/>
                <w:szCs w:val="16"/>
                <w:color w:val="auto"/>
              </w:rPr>
              <w:t>Breen, Executive Chairman of DuPont</w:t>
            </w:r>
          </w:p>
        </w:tc>
      </w:tr>
      <w:tr>
        <w:trPr>
          <w:trHeight w:val="288"/>
        </w:trPr>
        <w:tc>
          <w:tcPr>
            <w:tcW w:w="420" w:type="dxa"/>
            <w:vAlign w:val="bottom"/>
          </w:tcPr>
          <w:p>
            <w:pPr>
              <w:spacing w:after="0"/>
              <w:rPr>
                <w:sz w:val="20"/>
                <w:szCs w:val="20"/>
                <w:color w:val="auto"/>
              </w:rPr>
            </w:pPr>
            <w:r>
              <w:rPr>
                <w:rFonts w:ascii="Arial" w:cs="Arial" w:eastAsia="Arial" w:hAnsi="Arial"/>
                <w:sz w:val="16"/>
                <w:szCs w:val="16"/>
                <w:color w:val="auto"/>
              </w:rPr>
              <w:t>99.7</w:t>
            </w:r>
          </w:p>
        </w:tc>
        <w:tc>
          <w:tcPr>
            <w:tcW w:w="8920" w:type="dxa"/>
            <w:vAlign w:val="bottom"/>
            <w:gridSpan w:val="3"/>
          </w:tcPr>
          <w:p>
            <w:pPr>
              <w:ind w:left="360"/>
              <w:spacing w:after="0"/>
              <w:rPr>
                <w:sz w:val="20"/>
                <w:szCs w:val="20"/>
                <w:color w:val="auto"/>
              </w:rPr>
            </w:pPr>
            <w:r>
              <w:rPr>
                <w:rFonts w:ascii="Arial" w:cs="Arial" w:eastAsia="Arial" w:hAnsi="Arial"/>
                <w:sz w:val="16"/>
                <w:szCs w:val="16"/>
                <w:color w:val="auto"/>
              </w:rPr>
              <w:t>IFF Letter to Fine Fragrance Customers, dated December 15, 2019</w:t>
            </w:r>
          </w:p>
        </w:tc>
      </w:tr>
      <w:tr>
        <w:trPr>
          <w:trHeight w:val="288"/>
        </w:trPr>
        <w:tc>
          <w:tcPr>
            <w:tcW w:w="420" w:type="dxa"/>
            <w:vAlign w:val="bottom"/>
          </w:tcPr>
          <w:p>
            <w:pPr>
              <w:spacing w:after="0"/>
              <w:rPr>
                <w:sz w:val="20"/>
                <w:szCs w:val="20"/>
                <w:color w:val="auto"/>
              </w:rPr>
            </w:pPr>
            <w:r>
              <w:rPr>
                <w:rFonts w:ascii="Arial" w:cs="Arial" w:eastAsia="Arial" w:hAnsi="Arial"/>
                <w:sz w:val="16"/>
                <w:szCs w:val="16"/>
                <w:color w:val="auto"/>
              </w:rPr>
              <w:t>99.8</w:t>
            </w:r>
          </w:p>
        </w:tc>
        <w:tc>
          <w:tcPr>
            <w:tcW w:w="8920" w:type="dxa"/>
            <w:vAlign w:val="bottom"/>
            <w:gridSpan w:val="3"/>
          </w:tcPr>
          <w:p>
            <w:pPr>
              <w:ind w:left="360"/>
              <w:spacing w:after="0"/>
              <w:rPr>
                <w:sz w:val="20"/>
                <w:szCs w:val="20"/>
                <w:color w:val="auto"/>
              </w:rPr>
            </w:pPr>
            <w:r>
              <w:rPr>
                <w:rFonts w:ascii="Arial" w:cs="Arial" w:eastAsia="Arial" w:hAnsi="Arial"/>
                <w:sz w:val="16"/>
                <w:szCs w:val="16"/>
                <w:color w:val="auto"/>
              </w:rPr>
              <w:t>IFF Letter to Scent Customers, dated December 15, 2019</w:t>
            </w:r>
          </w:p>
        </w:tc>
      </w:tr>
      <w:tr>
        <w:trPr>
          <w:trHeight w:val="288"/>
        </w:trPr>
        <w:tc>
          <w:tcPr>
            <w:tcW w:w="420" w:type="dxa"/>
            <w:vAlign w:val="bottom"/>
          </w:tcPr>
          <w:p>
            <w:pPr>
              <w:spacing w:after="0"/>
              <w:rPr>
                <w:sz w:val="20"/>
                <w:szCs w:val="20"/>
                <w:color w:val="auto"/>
              </w:rPr>
            </w:pPr>
            <w:r>
              <w:rPr>
                <w:rFonts w:ascii="Arial" w:cs="Arial" w:eastAsia="Arial" w:hAnsi="Arial"/>
                <w:sz w:val="16"/>
                <w:szCs w:val="16"/>
                <w:color w:val="auto"/>
              </w:rPr>
              <w:t>99.9</w:t>
            </w:r>
          </w:p>
        </w:tc>
        <w:tc>
          <w:tcPr>
            <w:tcW w:w="8920" w:type="dxa"/>
            <w:vAlign w:val="bottom"/>
            <w:gridSpan w:val="3"/>
          </w:tcPr>
          <w:p>
            <w:pPr>
              <w:ind w:left="360"/>
              <w:spacing w:after="0"/>
              <w:rPr>
                <w:sz w:val="20"/>
                <w:szCs w:val="20"/>
                <w:color w:val="auto"/>
              </w:rPr>
            </w:pPr>
            <w:r>
              <w:rPr>
                <w:rFonts w:ascii="Arial" w:cs="Arial" w:eastAsia="Arial" w:hAnsi="Arial"/>
                <w:sz w:val="16"/>
                <w:szCs w:val="16"/>
                <w:color w:val="auto"/>
              </w:rPr>
              <w:t>IFF Social Media Posts, dated December 15, 2019</w:t>
            </w:r>
          </w:p>
        </w:tc>
      </w:tr>
      <w:tr>
        <w:trPr>
          <w:trHeight w:val="288"/>
        </w:trPr>
        <w:tc>
          <w:tcPr>
            <w:tcW w:w="420" w:type="dxa"/>
            <w:vAlign w:val="bottom"/>
          </w:tcPr>
          <w:p>
            <w:pPr>
              <w:spacing w:after="0"/>
              <w:rPr>
                <w:sz w:val="20"/>
                <w:szCs w:val="20"/>
                <w:color w:val="auto"/>
              </w:rPr>
            </w:pPr>
            <w:r>
              <w:rPr>
                <w:rFonts w:ascii="Arial" w:cs="Arial" w:eastAsia="Arial" w:hAnsi="Arial"/>
                <w:sz w:val="16"/>
                <w:szCs w:val="16"/>
                <w:color w:val="auto"/>
                <w:w w:val="99"/>
              </w:rPr>
              <w:t>99.10</w:t>
            </w:r>
          </w:p>
        </w:tc>
        <w:tc>
          <w:tcPr>
            <w:tcW w:w="8920" w:type="dxa"/>
            <w:vAlign w:val="bottom"/>
            <w:gridSpan w:val="3"/>
          </w:tcPr>
          <w:p>
            <w:pPr>
              <w:ind w:left="360"/>
              <w:spacing w:after="0"/>
              <w:rPr>
                <w:sz w:val="20"/>
                <w:szCs w:val="20"/>
                <w:color w:val="auto"/>
              </w:rPr>
            </w:pPr>
            <w:r>
              <w:rPr>
                <w:rFonts w:ascii="Arial" w:cs="Arial" w:eastAsia="Arial" w:hAnsi="Arial"/>
                <w:sz w:val="16"/>
                <w:szCs w:val="16"/>
                <w:color w:val="auto"/>
              </w:rPr>
              <w:t>IFF Letter to Vendors, dated December 15, 2019</w:t>
            </w:r>
          </w:p>
        </w:tc>
      </w:tr>
      <w:tr>
        <w:trPr>
          <w:trHeight w:val="288"/>
        </w:trPr>
        <w:tc>
          <w:tcPr>
            <w:tcW w:w="420" w:type="dxa"/>
            <w:vAlign w:val="bottom"/>
          </w:tcPr>
          <w:p>
            <w:pPr>
              <w:spacing w:after="0"/>
              <w:rPr>
                <w:sz w:val="20"/>
                <w:szCs w:val="20"/>
                <w:color w:val="auto"/>
              </w:rPr>
            </w:pPr>
            <w:r>
              <w:rPr>
                <w:rFonts w:ascii="Arial" w:cs="Arial" w:eastAsia="Arial" w:hAnsi="Arial"/>
                <w:sz w:val="16"/>
                <w:szCs w:val="16"/>
                <w:color w:val="auto"/>
                <w:w w:val="99"/>
              </w:rPr>
              <w:t>99.11</w:t>
            </w:r>
          </w:p>
        </w:tc>
        <w:tc>
          <w:tcPr>
            <w:tcW w:w="8920" w:type="dxa"/>
            <w:vAlign w:val="bottom"/>
            <w:gridSpan w:val="3"/>
          </w:tcPr>
          <w:p>
            <w:pPr>
              <w:ind w:left="360"/>
              <w:spacing w:after="0"/>
              <w:rPr>
                <w:sz w:val="20"/>
                <w:szCs w:val="20"/>
                <w:color w:val="auto"/>
              </w:rPr>
            </w:pPr>
            <w:r>
              <w:rPr>
                <w:rFonts w:ascii="Arial" w:cs="Arial" w:eastAsia="Arial" w:hAnsi="Arial"/>
                <w:sz w:val="16"/>
                <w:szCs w:val="16"/>
                <w:color w:val="auto"/>
              </w:rPr>
              <w:t>IFF Letter to Taste Customers, dated December 15, 2019</w:t>
            </w:r>
          </w:p>
        </w:tc>
      </w:tr>
      <w:tr>
        <w:trPr>
          <w:trHeight w:val="288"/>
        </w:trPr>
        <w:tc>
          <w:tcPr>
            <w:tcW w:w="420" w:type="dxa"/>
            <w:vAlign w:val="bottom"/>
          </w:tcPr>
          <w:p>
            <w:pPr>
              <w:spacing w:after="0"/>
              <w:rPr>
                <w:sz w:val="20"/>
                <w:szCs w:val="20"/>
                <w:color w:val="auto"/>
              </w:rPr>
            </w:pPr>
            <w:r>
              <w:rPr>
                <w:rFonts w:ascii="Arial" w:cs="Arial" w:eastAsia="Arial" w:hAnsi="Arial"/>
                <w:sz w:val="16"/>
                <w:szCs w:val="16"/>
                <w:color w:val="auto"/>
                <w:w w:val="99"/>
              </w:rPr>
              <w:t>99.12</w:t>
            </w:r>
          </w:p>
        </w:tc>
        <w:tc>
          <w:tcPr>
            <w:tcW w:w="8920" w:type="dxa"/>
            <w:vAlign w:val="bottom"/>
            <w:gridSpan w:val="3"/>
          </w:tcPr>
          <w:p>
            <w:pPr>
              <w:ind w:left="360"/>
              <w:spacing w:after="0"/>
              <w:rPr>
                <w:sz w:val="20"/>
                <w:szCs w:val="20"/>
                <w:color w:val="auto"/>
              </w:rPr>
            </w:pPr>
            <w:r>
              <w:rPr>
                <w:rFonts w:ascii="Arial" w:cs="Arial" w:eastAsia="Arial" w:hAnsi="Arial"/>
                <w:sz w:val="16"/>
                <w:szCs w:val="16"/>
                <w:color w:val="auto"/>
              </w:rPr>
              <w:t>IFF Website Messaging, dated December 15, 2019</w:t>
            </w:r>
          </w:p>
        </w:tc>
      </w:tr>
      <w:tr>
        <w:trPr>
          <w:trHeight w:val="288"/>
        </w:trPr>
        <w:tc>
          <w:tcPr>
            <w:tcW w:w="420" w:type="dxa"/>
            <w:vAlign w:val="bottom"/>
          </w:tcPr>
          <w:p>
            <w:pPr>
              <w:spacing w:after="0"/>
              <w:rPr>
                <w:sz w:val="20"/>
                <w:szCs w:val="20"/>
                <w:color w:val="auto"/>
              </w:rPr>
            </w:pPr>
            <w:r>
              <w:rPr>
                <w:rFonts w:ascii="Arial" w:cs="Arial" w:eastAsia="Arial" w:hAnsi="Arial"/>
                <w:sz w:val="16"/>
                <w:szCs w:val="16"/>
                <w:color w:val="auto"/>
                <w:w w:val="99"/>
              </w:rPr>
              <w:t>99.13</w:t>
            </w:r>
          </w:p>
        </w:tc>
        <w:tc>
          <w:tcPr>
            <w:tcW w:w="8920" w:type="dxa"/>
            <w:vAlign w:val="bottom"/>
            <w:gridSpan w:val="3"/>
          </w:tcPr>
          <w:p>
            <w:pPr>
              <w:ind w:left="360"/>
              <w:spacing w:after="0"/>
              <w:rPr>
                <w:sz w:val="20"/>
                <w:szCs w:val="20"/>
                <w:color w:val="auto"/>
              </w:rPr>
            </w:pPr>
            <w:r>
              <w:rPr>
                <w:rFonts w:ascii="Arial" w:cs="Arial" w:eastAsia="Arial" w:hAnsi="Arial"/>
                <w:sz w:val="16"/>
                <w:szCs w:val="16"/>
                <w:color w:val="auto"/>
              </w:rPr>
              <w:t>IFF Transaction Microsite FAQs, dated December 15, 2019</w:t>
            </w:r>
          </w:p>
        </w:tc>
      </w:tr>
      <w:tr>
        <w:trPr>
          <w:trHeight w:val="288"/>
        </w:trPr>
        <w:tc>
          <w:tcPr>
            <w:tcW w:w="420" w:type="dxa"/>
            <w:vAlign w:val="bottom"/>
          </w:tcPr>
          <w:p>
            <w:pPr>
              <w:spacing w:after="0"/>
              <w:rPr>
                <w:sz w:val="20"/>
                <w:szCs w:val="20"/>
                <w:color w:val="auto"/>
              </w:rPr>
            </w:pPr>
            <w:r>
              <w:rPr>
                <w:rFonts w:ascii="Arial" w:cs="Arial" w:eastAsia="Arial" w:hAnsi="Arial"/>
                <w:sz w:val="16"/>
                <w:szCs w:val="16"/>
                <w:color w:val="auto"/>
                <w:w w:val="99"/>
              </w:rPr>
              <w:t>99.14</w:t>
            </w:r>
          </w:p>
        </w:tc>
        <w:tc>
          <w:tcPr>
            <w:tcW w:w="8920" w:type="dxa"/>
            <w:vAlign w:val="bottom"/>
            <w:gridSpan w:val="3"/>
          </w:tcPr>
          <w:p>
            <w:pPr>
              <w:ind w:left="360"/>
              <w:spacing w:after="0"/>
              <w:rPr>
                <w:sz w:val="20"/>
                <w:szCs w:val="20"/>
                <w:color w:val="auto"/>
              </w:rPr>
            </w:pPr>
            <w:r>
              <w:rPr>
                <w:rFonts w:ascii="Arial" w:cs="Arial" w:eastAsia="Arial" w:hAnsi="Arial"/>
                <w:sz w:val="16"/>
                <w:szCs w:val="16"/>
                <w:color w:val="auto"/>
              </w:rPr>
              <w:t>IFF Letter to Employees, dated December 15, 2019</w:t>
            </w:r>
          </w:p>
        </w:tc>
      </w:tr>
      <w:tr>
        <w:trPr>
          <w:trHeight w:val="288"/>
        </w:trPr>
        <w:tc>
          <w:tcPr>
            <w:tcW w:w="420" w:type="dxa"/>
            <w:vAlign w:val="bottom"/>
          </w:tcPr>
          <w:p>
            <w:pPr>
              <w:spacing w:after="0"/>
              <w:rPr>
                <w:sz w:val="20"/>
                <w:szCs w:val="20"/>
                <w:color w:val="auto"/>
              </w:rPr>
            </w:pPr>
            <w:r>
              <w:rPr>
                <w:rFonts w:ascii="Arial" w:cs="Arial" w:eastAsia="Arial" w:hAnsi="Arial"/>
                <w:sz w:val="16"/>
                <w:szCs w:val="16"/>
                <w:color w:val="auto"/>
              </w:rPr>
              <w:t>104</w:t>
            </w:r>
          </w:p>
        </w:tc>
        <w:tc>
          <w:tcPr>
            <w:tcW w:w="8920" w:type="dxa"/>
            <w:vAlign w:val="bottom"/>
            <w:gridSpan w:val="3"/>
          </w:tcPr>
          <w:p>
            <w:pPr>
              <w:ind w:left="360"/>
              <w:spacing w:after="0"/>
              <w:rPr>
                <w:sz w:val="20"/>
                <w:szCs w:val="20"/>
                <w:color w:val="auto"/>
              </w:rPr>
            </w:pPr>
            <w:r>
              <w:rPr>
                <w:rFonts w:ascii="Arial" w:cs="Arial" w:eastAsia="Arial" w:hAnsi="Arial"/>
                <w:sz w:val="16"/>
                <w:szCs w:val="16"/>
                <w:color w:val="auto"/>
              </w:rPr>
              <w:t>Cover Page Interactive Data File (embedded within the Inline XBRL document)</w:t>
            </w:r>
          </w:p>
        </w:tc>
      </w:tr>
    </w:tbl>
    <w:p>
      <w:pPr>
        <w:sectPr>
          <w:pgSz w:w="11900" w:h="16838" w:orient="portrait"/>
          <w:cols w:equalWidth="0" w:num="1">
            <w:col w:w="9687"/>
          </w:cols>
          <w:pgMar w:left="1053" w:top="255" w:right="115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SIGNATURE</w:t>
      </w:r>
    </w:p>
    <w:p>
      <w:pPr>
        <w:spacing w:after="0" w:line="200" w:lineRule="exact"/>
        <w:rPr>
          <w:sz w:val="20"/>
          <w:szCs w:val="20"/>
          <w:color w:val="auto"/>
        </w:rPr>
      </w:pPr>
    </w:p>
    <w:p>
      <w:pPr>
        <w:ind w:right="220" w:firstLine="392"/>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INTERNATIONAL FLAVORS &amp; FRAGRANCES INC.</w:t>
      </w:r>
    </w:p>
    <w:p>
      <w:pPr>
        <w:spacing w:after="0" w:line="200"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Dated: December 16, 2019</w:t>
      </w:r>
      <w:r>
        <w:rPr>
          <w:sz w:val="20"/>
          <w:szCs w:val="20"/>
          <w:color w:val="auto"/>
        </w:rPr>
        <w:tab/>
      </w:r>
      <w:r>
        <w:rPr>
          <w:rFonts w:ascii="Arial" w:cs="Arial" w:eastAsia="Arial" w:hAnsi="Arial"/>
          <w:sz w:val="15"/>
          <w:szCs w:val="15"/>
          <w:color w:val="auto"/>
        </w:rPr>
        <w:t>/s/ Richard A. O’Leary</w:t>
      </w:r>
    </w:p>
    <w:p>
      <w:pPr>
        <w:spacing w:after="0" w:line="21" w:lineRule="exact"/>
        <w:rPr>
          <w:sz w:val="20"/>
          <w:szCs w:val="20"/>
          <w:color w:val="auto"/>
        </w:rPr>
      </w:pPr>
    </w:p>
    <w:tbl>
      <w:tblPr>
        <w:tblLayout w:type="fixed"/>
        <w:tblInd w:w="4900" w:type="dxa"/>
        <w:tblCellMar>
          <w:top w:w="0" w:type="dxa"/>
          <w:left w:w="0" w:type="dxa"/>
          <w:bottom w:w="0" w:type="dxa"/>
          <w:right w:w="0" w:type="dxa"/>
        </w:tblCellMar>
      </w:tblPr>
      <w:tr>
        <w:trPr>
          <w:trHeight w:val="184"/>
        </w:trPr>
        <w:tc>
          <w:tcPr>
            <w:tcW w:w="5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w:t>
            </w:r>
          </w:p>
        </w:tc>
        <w:tc>
          <w:tcPr>
            <w:tcW w:w="440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Richard A. O’Leary</w:t>
            </w:r>
          </w:p>
        </w:tc>
      </w:tr>
      <w:tr>
        <w:trPr>
          <w:trHeight w:val="205"/>
        </w:trPr>
        <w:tc>
          <w:tcPr>
            <w:tcW w:w="500" w:type="dxa"/>
            <w:vAlign w:val="bottom"/>
          </w:tcPr>
          <w:p>
            <w:pPr>
              <w:spacing w:after="0"/>
              <w:rPr>
                <w:sz w:val="20"/>
                <w:szCs w:val="20"/>
                <w:color w:val="auto"/>
              </w:rPr>
            </w:pPr>
            <w:r>
              <w:rPr>
                <w:rFonts w:ascii="Arial" w:cs="Arial" w:eastAsia="Arial" w:hAnsi="Arial"/>
                <w:sz w:val="16"/>
                <w:szCs w:val="16"/>
                <w:color w:val="auto"/>
              </w:rPr>
              <w:t>Title:</w:t>
            </w:r>
          </w:p>
        </w:tc>
        <w:tc>
          <w:tcPr>
            <w:tcW w:w="4400" w:type="dxa"/>
            <w:vAlign w:val="bottom"/>
          </w:tcPr>
          <w:p>
            <w:pPr>
              <w:ind w:left="80"/>
              <w:spacing w:after="0"/>
              <w:rPr>
                <w:sz w:val="20"/>
                <w:szCs w:val="20"/>
                <w:color w:val="auto"/>
              </w:rPr>
            </w:pPr>
            <w:r>
              <w:rPr>
                <w:rFonts w:ascii="Arial" w:cs="Arial" w:eastAsia="Arial" w:hAnsi="Arial"/>
                <w:sz w:val="16"/>
                <w:szCs w:val="16"/>
                <w:color w:val="auto"/>
              </w:rPr>
              <w:t>Executive Vice President and Chief Financial Officer</w:t>
            </w:r>
          </w:p>
        </w:tc>
      </w:tr>
    </w:tbl>
    <w:p>
      <w:pPr>
        <w:sectPr>
          <w:pgSz w:w="11900" w:h="16838" w:orient="portrait"/>
          <w:cols w:equalWidth="0" w:num="1">
            <w:col w:w="9800"/>
          </w:cols>
          <w:pgMar w:left="1060" w:top="259" w:right="1039" w:bottom="1440" w:gutter="0" w:footer="0" w:header="0"/>
        </w:sectPr>
      </w:pPr>
    </w:p>
    <w:bookmarkStart w:id="6" w:name="page7"/>
    <w:bookmarkEnd w:id="6"/>
    <w:p>
      <w:pPr>
        <w:spacing w:after="0" w:line="200" w:lineRule="exact"/>
        <w:rPr>
          <w:sz w:val="20"/>
          <w:szCs w:val="20"/>
          <w:color w:val="auto"/>
        </w:rPr>
      </w:pPr>
    </w:p>
    <w:p>
      <w:pPr>
        <w:spacing w:after="0" w:line="208"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FOR IMMEDIATE RELEASE</w:t>
      </w:r>
    </w:p>
    <w:p>
      <w:pPr>
        <w:spacing w:after="0" w:line="224" w:lineRule="exact"/>
        <w:rPr>
          <w:sz w:val="20"/>
          <w:szCs w:val="20"/>
          <w:color w:val="auto"/>
        </w:rPr>
      </w:pPr>
    </w:p>
    <w:p>
      <w:pPr>
        <w:ind w:left="1880"/>
        <w:spacing w:after="0"/>
        <w:rPr>
          <w:sz w:val="20"/>
          <w:szCs w:val="20"/>
          <w:color w:val="auto"/>
        </w:rPr>
      </w:pPr>
      <w:r>
        <w:rPr>
          <w:rFonts w:ascii="Arial" w:cs="Arial" w:eastAsia="Arial" w:hAnsi="Arial"/>
          <w:sz w:val="16"/>
          <w:szCs w:val="16"/>
          <w:b w:val="1"/>
          <w:bCs w:val="1"/>
          <w:u w:val="single" w:color="auto"/>
          <w:color w:val="auto"/>
        </w:rPr>
        <w:t>IFF Contact Information</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Michael DeVeau</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Michael.DeVeau@iff.com</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+1 212-708-1212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Pr>
          <w:p>
            <w:pPr>
              <w:ind w:left="560"/>
              <w:spacing w:after="0"/>
              <w:rPr>
                <w:sz w:val="20"/>
                <w:szCs w:val="20"/>
                <w:color w:val="auto"/>
              </w:rPr>
            </w:pPr>
            <w:r>
              <w:rPr>
                <w:rFonts w:ascii="Arial" w:cs="Arial" w:eastAsia="Arial" w:hAnsi="Arial"/>
                <w:sz w:val="16"/>
                <w:szCs w:val="16"/>
                <w:b w:val="1"/>
                <w:bCs w:val="1"/>
                <w:color w:val="auto"/>
                <w:w w:val="92"/>
              </w:rPr>
              <w:t>Exhibit 99.1</w:t>
            </w:r>
          </w:p>
        </w:tc>
      </w:tr>
      <w:tr>
        <w:trPr>
          <w:trHeight w:val="805"/>
        </w:trPr>
        <w:tc>
          <w:tcPr>
            <w:tcW w:w="2540" w:type="dxa"/>
            <w:vAlign w:val="bottom"/>
            <w:gridSpan w:val="2"/>
          </w:tcPr>
          <w:p>
            <w:pPr>
              <w:spacing w:after="0"/>
              <w:rPr>
                <w:sz w:val="20"/>
                <w:szCs w:val="20"/>
                <w:color w:val="auto"/>
              </w:rPr>
            </w:pPr>
            <w:r>
              <w:rPr>
                <w:rFonts w:ascii="Arial" w:cs="Arial" w:eastAsia="Arial" w:hAnsi="Arial"/>
                <w:sz w:val="16"/>
                <w:szCs w:val="16"/>
                <w:b w:val="1"/>
                <w:bCs w:val="1"/>
                <w:color w:val="auto"/>
              </w:rPr>
              <w:t>DuPont Investors:</w:t>
            </w:r>
          </w:p>
        </w:tc>
        <w:tc>
          <w:tcPr>
            <w:tcW w:w="2460" w:type="dxa"/>
            <w:vAlign w:val="bottom"/>
            <w:gridSpan w:val="2"/>
          </w:tcPr>
          <w:p>
            <w:pPr>
              <w:spacing w:after="0"/>
              <w:rPr>
                <w:sz w:val="20"/>
                <w:szCs w:val="20"/>
                <w:color w:val="auto"/>
              </w:rPr>
            </w:pPr>
            <w:r>
              <w:rPr>
                <w:rFonts w:ascii="Arial" w:cs="Arial" w:eastAsia="Arial" w:hAnsi="Arial"/>
                <w:sz w:val="16"/>
                <w:szCs w:val="16"/>
                <w:b w:val="1"/>
                <w:bCs w:val="1"/>
                <w:color w:val="auto"/>
              </w:rPr>
              <w:t>DuPont Media:</w:t>
            </w:r>
          </w:p>
        </w:tc>
      </w:tr>
      <w:tr>
        <w:trPr>
          <w:trHeight w:val="196"/>
        </w:trPr>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Lori Koch</w:t>
            </w:r>
          </w:p>
        </w:tc>
        <w:tc>
          <w:tcPr>
            <w:tcW w:w="1300" w:type="dxa"/>
            <w:vAlign w:val="bottom"/>
          </w:tcPr>
          <w:p>
            <w:pPr>
              <w:spacing w:after="0"/>
              <w:rPr>
                <w:sz w:val="17"/>
                <w:szCs w:val="17"/>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Dan Turner</w:t>
            </w:r>
          </w:p>
        </w:tc>
        <w:tc>
          <w:tcPr>
            <w:tcW w:w="1400" w:type="dxa"/>
            <w:vAlign w:val="bottom"/>
          </w:tcPr>
          <w:p>
            <w:pPr>
              <w:spacing w:after="0"/>
              <w:rPr>
                <w:sz w:val="17"/>
                <w:szCs w:val="17"/>
                <w:color w:val="auto"/>
              </w:rPr>
            </w:pPr>
          </w:p>
        </w:tc>
      </w:tr>
      <w:tr>
        <w:trPr>
          <w:trHeight w:val="192"/>
        </w:trPr>
        <w:tc>
          <w:tcPr>
            <w:tcW w:w="2540" w:type="dxa"/>
            <w:vAlign w:val="bottom"/>
            <w:gridSpan w:val="2"/>
          </w:tcPr>
          <w:p>
            <w:pPr>
              <w:spacing w:after="0"/>
              <w:rPr>
                <w:sz w:val="20"/>
                <w:szCs w:val="20"/>
                <w:color w:val="auto"/>
              </w:rPr>
            </w:pPr>
            <w:r>
              <w:rPr>
                <w:rFonts w:ascii="Arial" w:cs="Arial" w:eastAsia="Arial" w:hAnsi="Arial"/>
                <w:sz w:val="16"/>
                <w:szCs w:val="16"/>
                <w:color w:val="auto"/>
              </w:rPr>
              <w:t>Lori.d.koch@dupont.com</w:t>
            </w:r>
          </w:p>
        </w:tc>
        <w:tc>
          <w:tcPr>
            <w:tcW w:w="2460" w:type="dxa"/>
            <w:vAlign w:val="bottom"/>
            <w:gridSpan w:val="2"/>
          </w:tcPr>
          <w:p>
            <w:pPr>
              <w:spacing w:after="0"/>
              <w:rPr>
                <w:sz w:val="20"/>
                <w:szCs w:val="20"/>
                <w:color w:val="auto"/>
              </w:rPr>
            </w:pPr>
            <w:r>
              <w:rPr>
                <w:rFonts w:ascii="Arial" w:cs="Arial" w:eastAsia="Arial" w:hAnsi="Arial"/>
                <w:sz w:val="16"/>
                <w:szCs w:val="16"/>
                <w:color w:val="auto"/>
              </w:rPr>
              <w:t>Daniel.a.turner@dupont.com</w:t>
            </w:r>
          </w:p>
        </w:tc>
      </w:tr>
      <w:tr>
        <w:trPr>
          <w:trHeight w:val="205"/>
        </w:trPr>
        <w:tc>
          <w:tcPr>
            <w:tcW w:w="1240" w:type="dxa"/>
            <w:vAlign w:val="bottom"/>
          </w:tcPr>
          <w:p>
            <w:pPr>
              <w:spacing w:after="0"/>
              <w:rPr>
                <w:sz w:val="20"/>
                <w:szCs w:val="20"/>
                <w:color w:val="auto"/>
              </w:rPr>
            </w:pPr>
            <w:r>
              <w:rPr>
                <w:rFonts w:ascii="Arial" w:cs="Arial" w:eastAsia="Arial" w:hAnsi="Arial"/>
                <w:sz w:val="16"/>
                <w:szCs w:val="16"/>
                <w:color w:val="auto"/>
                <w:w w:val="99"/>
              </w:rPr>
              <w:t>+1 302-999-5631</w:t>
            </w:r>
          </w:p>
        </w:tc>
        <w:tc>
          <w:tcPr>
            <w:tcW w:w="1300" w:type="dxa"/>
            <w:vAlign w:val="bottom"/>
          </w:tcPr>
          <w:p>
            <w:pPr>
              <w:spacing w:after="0"/>
              <w:rPr>
                <w:sz w:val="17"/>
                <w:szCs w:val="17"/>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rPr>
              <w:t>+1 302-996-8372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-1105535</wp:posOffset>
            </wp:positionV>
            <wp:extent cx="7302500"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00" w:space="420"/>
            <w:col w:w="5000"/>
          </w:cols>
          <w:pgMar w:left="1440" w:top="255" w:right="1039" w:bottom="1440" w:gutter="0" w:footer="0" w:header="0"/>
        </w:sectPr>
      </w:pPr>
    </w:p>
    <w:p>
      <w:pPr>
        <w:spacing w:after="0" w:line="12" w:lineRule="exact"/>
        <w:rPr>
          <w:sz w:val="20"/>
          <w:szCs w:val="20"/>
          <w:color w:val="auto"/>
        </w:rPr>
      </w:pPr>
    </w:p>
    <w:p>
      <w:pPr>
        <w:jc w:val="center"/>
        <w:ind w:left="2280"/>
        <w:spacing w:after="0"/>
        <w:rPr>
          <w:sz w:val="20"/>
          <w:szCs w:val="20"/>
          <w:color w:val="auto"/>
        </w:rPr>
      </w:pPr>
      <w:r>
        <w:rPr>
          <w:rFonts w:ascii="Arial" w:cs="Arial" w:eastAsia="Arial" w:hAnsi="Arial"/>
          <w:sz w:val="16"/>
          <w:szCs w:val="16"/>
          <w:b w:val="1"/>
          <w:bCs w:val="1"/>
          <w:color w:val="auto"/>
        </w:rPr>
        <w:t>IFF to Merge with DuPont’s Nutrition &amp; Biosciences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-105410</wp:posOffset>
            </wp:positionV>
            <wp:extent cx="785495" cy="564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85495" cy="564515"/>
                    </a:xfrm>
                    <a:prstGeom prst="rect">
                      <a:avLst/>
                    </a:prstGeom>
                    <a:noFill/>
                  </pic:spPr>
                </pic:pic>
              </a:graphicData>
            </a:graphic>
          </wp:anchor>
        </w:drawing>
      </w:r>
    </w:p>
    <w:p>
      <w:pPr>
        <w:spacing w:after="0" w:line="208" w:lineRule="exact"/>
        <w:rPr>
          <w:sz w:val="20"/>
          <w:szCs w:val="20"/>
          <w:color w:val="auto"/>
        </w:rPr>
      </w:pPr>
    </w:p>
    <w:p>
      <w:pPr>
        <w:jc w:val="center"/>
        <w:ind w:left="3380"/>
        <w:spacing w:after="0" w:line="277" w:lineRule="auto"/>
        <w:rPr>
          <w:sz w:val="20"/>
          <w:szCs w:val="20"/>
          <w:color w:val="auto"/>
        </w:rPr>
      </w:pPr>
      <w:r>
        <w:rPr>
          <w:rFonts w:ascii="Arial" w:cs="Arial" w:eastAsia="Arial" w:hAnsi="Arial"/>
          <w:sz w:val="16"/>
          <w:szCs w:val="16"/>
          <w:i w:val="1"/>
          <w:iCs w:val="1"/>
          <w:color w:val="auto"/>
        </w:rPr>
        <w:t>Creates New Global Integrated Solutions Leader Serving Consumer-Oriented Food &amp; Beverage, Home &amp; Personal Care and Health &amp; Wellness End Markets</w:t>
      </w:r>
    </w:p>
    <w:p>
      <w:pPr>
        <w:spacing w:after="0" w:line="176" w:lineRule="exact"/>
        <w:rPr>
          <w:sz w:val="20"/>
          <w:szCs w:val="20"/>
          <w:color w:val="auto"/>
        </w:rPr>
      </w:pPr>
    </w:p>
    <w:p>
      <w:pPr>
        <w:jc w:val="center"/>
        <w:ind w:left="3360" w:right="240"/>
        <w:spacing w:after="0" w:line="264" w:lineRule="auto"/>
        <w:rPr>
          <w:sz w:val="20"/>
          <w:szCs w:val="20"/>
          <w:color w:val="auto"/>
        </w:rPr>
      </w:pPr>
      <w:r>
        <w:rPr>
          <w:rFonts w:ascii="Arial" w:cs="Arial" w:eastAsia="Arial" w:hAnsi="Arial"/>
          <w:sz w:val="16"/>
          <w:szCs w:val="16"/>
          <w:i w:val="1"/>
          <w:iCs w:val="1"/>
          <w:color w:val="auto"/>
        </w:rPr>
        <w:t>The Deal Values the Combined Company at $45.4 billion on an Enterprise Value Basis, Reflecting a Value of $26.2 billion for the N&amp;B business with Combined Pro Forma 2019 Revenue of more than $11 billion and $2.6 billion of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-316230</wp:posOffset>
            </wp:positionV>
            <wp:extent cx="991870" cy="304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91870" cy="304800"/>
                    </a:xfrm>
                    <a:prstGeom prst="rect">
                      <a:avLst/>
                    </a:prstGeom>
                    <a:noFill/>
                  </pic:spPr>
                </pic:pic>
              </a:graphicData>
            </a:graphic>
          </wp:anchor>
        </w:drawing>
      </w:r>
    </w:p>
    <w:p>
      <w:pPr>
        <w:spacing w:after="0" w:line="166" w:lineRule="exact"/>
        <w:rPr>
          <w:sz w:val="20"/>
          <w:szCs w:val="20"/>
          <w:color w:val="auto"/>
        </w:rPr>
      </w:pPr>
    </w:p>
    <w:p>
      <w:pPr>
        <w:jc w:val="center"/>
        <w:ind w:left="2280"/>
        <w:spacing w:after="0"/>
        <w:rPr>
          <w:sz w:val="20"/>
          <w:szCs w:val="20"/>
          <w:color w:val="auto"/>
        </w:rPr>
      </w:pPr>
      <w:r>
        <w:rPr>
          <w:rFonts w:ascii="Arial" w:cs="Arial" w:eastAsia="Arial" w:hAnsi="Arial"/>
          <w:sz w:val="15"/>
          <w:szCs w:val="15"/>
          <w:i w:val="1"/>
          <w:iCs w:val="1"/>
          <w:color w:val="auto"/>
        </w:rPr>
        <w:t>Creates Significant Shareholder Value through Tax-Efficient Reverse Morris Trust Structure with Expected Cost</w:t>
      </w:r>
    </w:p>
    <w:p>
      <w:pPr>
        <w:spacing w:after="0" w:line="32" w:lineRule="exact"/>
        <w:rPr>
          <w:sz w:val="20"/>
          <w:szCs w:val="20"/>
          <w:color w:val="auto"/>
        </w:rPr>
      </w:pPr>
    </w:p>
    <w:p>
      <w:pPr>
        <w:jc w:val="center"/>
        <w:ind w:left="2280"/>
        <w:spacing w:after="0"/>
        <w:rPr>
          <w:sz w:val="20"/>
          <w:szCs w:val="20"/>
          <w:color w:val="auto"/>
        </w:rPr>
      </w:pPr>
      <w:r>
        <w:rPr>
          <w:rFonts w:ascii="Arial" w:cs="Arial" w:eastAsia="Arial" w:hAnsi="Arial"/>
          <w:sz w:val="15"/>
          <w:szCs w:val="15"/>
          <w:i w:val="1"/>
          <w:iCs w:val="1"/>
          <w:color w:val="auto"/>
        </w:rPr>
        <w:t>Synergies of ~$300 million and Revenue Synergies of About $400 million by End of Year Three Post Close</w:t>
      </w:r>
    </w:p>
    <w:p>
      <w:pPr>
        <w:spacing w:after="0" w:line="223" w:lineRule="exact"/>
        <w:rPr>
          <w:sz w:val="20"/>
          <w:szCs w:val="20"/>
          <w:color w:val="auto"/>
        </w:rPr>
      </w:pPr>
    </w:p>
    <w:p>
      <w:pPr>
        <w:jc w:val="center"/>
        <w:ind w:left="2280"/>
        <w:spacing w:after="0"/>
        <w:rPr>
          <w:sz w:val="20"/>
          <w:szCs w:val="20"/>
          <w:color w:val="auto"/>
        </w:rPr>
      </w:pPr>
      <w:r>
        <w:rPr>
          <w:rFonts w:ascii="Arial" w:cs="Arial" w:eastAsia="Arial" w:hAnsi="Arial"/>
          <w:sz w:val="16"/>
          <w:szCs w:val="16"/>
          <w:i w:val="1"/>
          <w:iCs w:val="1"/>
          <w:color w:val="auto"/>
        </w:rPr>
        <w:t>#1 or #2 Market Positions in High-Value Ingredients Categories and Best-in-Class R&amp;D Capabilities</w:t>
      </w:r>
    </w:p>
    <w:p>
      <w:pPr>
        <w:spacing w:after="0" w:line="224" w:lineRule="exact"/>
        <w:rPr>
          <w:sz w:val="20"/>
          <w:szCs w:val="20"/>
          <w:color w:val="auto"/>
        </w:rPr>
      </w:pPr>
    </w:p>
    <w:p>
      <w:pPr>
        <w:jc w:val="center"/>
        <w:ind w:left="2280"/>
        <w:spacing w:after="0"/>
        <w:rPr>
          <w:sz w:val="20"/>
          <w:szCs w:val="20"/>
          <w:color w:val="auto"/>
        </w:rPr>
      </w:pPr>
      <w:r>
        <w:rPr>
          <w:rFonts w:ascii="Arial" w:cs="Arial" w:eastAsia="Arial" w:hAnsi="Arial"/>
          <w:sz w:val="14"/>
          <w:szCs w:val="14"/>
          <w:i w:val="1"/>
          <w:iCs w:val="1"/>
          <w:color w:val="auto"/>
        </w:rPr>
        <w:t>Andreas Fibig to Serve as Chairman and CEO and Ed Breen Will Become Lead Independent Director; Combined</w:t>
      </w:r>
    </w:p>
    <w:p>
      <w:pPr>
        <w:spacing w:after="0" w:line="44" w:lineRule="exact"/>
        <w:rPr>
          <w:sz w:val="20"/>
          <w:szCs w:val="20"/>
          <w:color w:val="auto"/>
        </w:rPr>
      </w:pPr>
    </w:p>
    <w:p>
      <w:pPr>
        <w:jc w:val="center"/>
        <w:ind w:left="2280"/>
        <w:spacing w:after="0"/>
        <w:rPr>
          <w:sz w:val="20"/>
          <w:szCs w:val="20"/>
          <w:color w:val="auto"/>
        </w:rPr>
      </w:pPr>
      <w:r>
        <w:rPr>
          <w:rFonts w:ascii="Arial" w:cs="Arial" w:eastAsia="Arial" w:hAnsi="Arial"/>
          <w:sz w:val="16"/>
          <w:szCs w:val="16"/>
          <w:i w:val="1"/>
          <w:iCs w:val="1"/>
          <w:color w:val="auto"/>
        </w:rPr>
        <w:t>Company Board to Consist of Directors from IFF and DuPont</w:t>
      </w:r>
    </w:p>
    <w:p>
      <w:pPr>
        <w:spacing w:after="0" w:line="212" w:lineRule="exact"/>
        <w:rPr>
          <w:sz w:val="20"/>
          <w:szCs w:val="20"/>
          <w:color w:val="auto"/>
        </w:rPr>
      </w:pPr>
    </w:p>
    <w:p>
      <w:pPr>
        <w:jc w:val="center"/>
        <w:ind w:left="2280"/>
        <w:spacing w:after="0"/>
        <w:rPr>
          <w:sz w:val="20"/>
          <w:szCs w:val="20"/>
          <w:color w:val="auto"/>
        </w:rPr>
      </w:pPr>
      <w:r>
        <w:rPr>
          <w:rFonts w:ascii="Arial" w:cs="Arial" w:eastAsia="Arial" w:hAnsi="Arial"/>
          <w:sz w:val="15"/>
          <w:szCs w:val="15"/>
          <w:i w:val="1"/>
          <w:iCs w:val="1"/>
          <w:color w:val="auto"/>
        </w:rPr>
        <w:t>IFF’s Largest Shareholder, at ~19% of Shares Outstanding, Has Agreed to Vote in Favor of the Transaction</w:t>
      </w:r>
    </w:p>
    <w:p>
      <w:pPr>
        <w:spacing w:after="0" w:line="236" w:lineRule="exact"/>
        <w:rPr>
          <w:sz w:val="20"/>
          <w:szCs w:val="20"/>
          <w:color w:val="auto"/>
        </w:rPr>
      </w:pPr>
    </w:p>
    <w:p>
      <w:pPr>
        <w:jc w:val="center"/>
        <w:ind w:left="2280"/>
        <w:spacing w:after="0"/>
        <w:rPr>
          <w:sz w:val="20"/>
          <w:szCs w:val="20"/>
          <w:color w:val="auto"/>
        </w:rPr>
      </w:pPr>
      <w:r>
        <w:rPr>
          <w:rFonts w:ascii="Arial" w:cs="Arial" w:eastAsia="Arial" w:hAnsi="Arial"/>
          <w:sz w:val="14"/>
          <w:szCs w:val="14"/>
          <w:i w:val="1"/>
          <w:iCs w:val="1"/>
          <w:color w:val="auto"/>
        </w:rPr>
        <w:t>Committed to Maintaining Investment Grade Balance Sheet and Expected to Delever Below 3.0x by Year Two Post</w:t>
      </w:r>
    </w:p>
    <w:p>
      <w:pPr>
        <w:spacing w:after="0" w:line="44" w:lineRule="exact"/>
        <w:rPr>
          <w:sz w:val="20"/>
          <w:szCs w:val="20"/>
          <w:color w:val="auto"/>
        </w:rPr>
      </w:pPr>
    </w:p>
    <w:p>
      <w:pPr>
        <w:jc w:val="center"/>
        <w:ind w:left="2280"/>
        <w:spacing w:after="0"/>
        <w:rPr>
          <w:sz w:val="20"/>
          <w:szCs w:val="20"/>
          <w:color w:val="auto"/>
        </w:rPr>
      </w:pPr>
      <w:r>
        <w:rPr>
          <w:rFonts w:ascii="Arial" w:cs="Arial" w:eastAsia="Arial" w:hAnsi="Arial"/>
          <w:sz w:val="16"/>
          <w:szCs w:val="16"/>
          <w:i w:val="1"/>
          <w:iCs w:val="1"/>
          <w:color w:val="auto"/>
        </w:rPr>
        <w:t>Transaction Closing, While Maintaining IFF’s Existing Dividend Policy</w:t>
      </w:r>
    </w:p>
    <w:p>
      <w:pPr>
        <w:spacing w:after="0" w:line="208" w:lineRule="exact"/>
        <w:rPr>
          <w:sz w:val="20"/>
          <w:szCs w:val="20"/>
          <w:color w:val="auto"/>
        </w:rPr>
      </w:pPr>
    </w:p>
    <w:p>
      <w:pPr>
        <w:ind w:left="1880" w:right="120"/>
        <w:spacing w:after="0" w:line="274" w:lineRule="auto"/>
        <w:rPr>
          <w:sz w:val="20"/>
          <w:szCs w:val="20"/>
          <w:color w:val="auto"/>
        </w:rPr>
      </w:pPr>
      <w:r>
        <w:rPr>
          <w:rFonts w:ascii="Arial" w:cs="Arial" w:eastAsia="Arial" w:hAnsi="Arial"/>
          <w:sz w:val="15"/>
          <w:szCs w:val="15"/>
          <w:b w:val="1"/>
          <w:bCs w:val="1"/>
          <w:color w:val="auto"/>
        </w:rPr>
        <w:t xml:space="preserve">NEW YORK and WILMINGTON, Del. </w:t>
      </w:r>
      <w:r>
        <w:rPr>
          <w:rFonts w:ascii="Arial" w:cs="Arial" w:eastAsia="Arial" w:hAnsi="Arial"/>
          <w:sz w:val="15"/>
          <w:szCs w:val="15"/>
          <w:color w:val="auto"/>
        </w:rPr>
        <w:t>– December 15, 2019 – IFF (NYSE: IFF) (Euronext Paris: IFF) (TASE:</w:t>
      </w:r>
      <w:r>
        <w:rPr>
          <w:rFonts w:ascii="Arial" w:cs="Arial" w:eastAsia="Arial" w:hAnsi="Arial"/>
          <w:sz w:val="15"/>
          <w:szCs w:val="15"/>
          <w:b w:val="1"/>
          <w:bCs w:val="1"/>
          <w:color w:val="auto"/>
        </w:rPr>
        <w:t xml:space="preserve"> </w:t>
      </w:r>
      <w:r>
        <w:rPr>
          <w:rFonts w:ascii="Arial" w:cs="Arial" w:eastAsia="Arial" w:hAnsi="Arial"/>
          <w:sz w:val="15"/>
          <w:szCs w:val="15"/>
          <w:color w:val="auto"/>
        </w:rPr>
        <w:t>IFF) and DuPont (NYSE: DD) today announced that they have entered into a definitive agreement for the merger of IFF and DuPont’s Nutrition &amp; Biosciences (N&amp;B) business in a Reverse Morris Trust transaction. The deal values the combined company at $45.4 billion on an enterprise value basis, reflecting a value of $26.2 billion for the N&amp;B business based on IFF’s share price as of December 13, 2019. Under the terms of the agreement, which has been unanimously approved by both Boards of Directors, DuPont shareholders will own 55.4% of the shares of the new company and existing IFF shareholders will own 44.6%. Upon completion of the transaction, DuPont will receive a one-time $7.3 billion special cash payment, subject to certain adjustments.</w:t>
      </w:r>
    </w:p>
    <w:p>
      <w:pPr>
        <w:spacing w:after="0" w:line="182" w:lineRule="exact"/>
        <w:rPr>
          <w:sz w:val="20"/>
          <w:szCs w:val="20"/>
          <w:color w:val="auto"/>
        </w:rPr>
      </w:pPr>
    </w:p>
    <w:p>
      <w:pPr>
        <w:ind w:left="1880" w:right="160"/>
        <w:spacing w:after="0" w:line="259" w:lineRule="auto"/>
        <w:rPr>
          <w:sz w:val="20"/>
          <w:szCs w:val="20"/>
          <w:color w:val="auto"/>
        </w:rPr>
      </w:pPr>
      <w:r>
        <w:rPr>
          <w:rFonts w:ascii="Arial" w:cs="Arial" w:eastAsia="Arial" w:hAnsi="Arial"/>
          <w:sz w:val="16"/>
          <w:szCs w:val="16"/>
          <w:color w:val="auto"/>
        </w:rPr>
        <w:t>The combination of IFF and N&amp;B creates a global leader in high-value ingredients and solutions for global Food &amp; Beverage, Home &amp; Personal Care and Health &amp; Wellness markets, with estimated 2019 pro forma revenue of more than $11 billion and EBITDA of $2.6 billion, excluding synergies. The complementary portfolios will give the company</w:t>
      </w:r>
    </w:p>
    <w:p>
      <w:pPr>
        <w:sectPr>
          <w:pgSz w:w="11900" w:h="16838" w:orient="portrait"/>
          <w:cols w:equalWidth="0" w:num="1">
            <w:col w:w="9420"/>
          </w:cols>
          <w:pgMar w:left="1440" w:top="255" w:right="1039" w:bottom="1440" w:gutter="0" w:footer="0" w:header="0"/>
          <w:type w:val="continuous"/>
        </w:sectPr>
      </w:pPr>
    </w:p>
    <w:bookmarkStart w:id="7" w:name="page8"/>
    <w:bookmarkEnd w:id="7"/>
    <w:p>
      <w:pPr>
        <w:ind w:left="1880" w:right="60"/>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leadership positions across key Taste, Texture, Scent, Nutrition, Enzymes, Cultures, Soy Proteins and Probiotics categories. The combined company’s global reach and enhanced set of capabilities will enable the creation of innovative solutions to respond to customer demands and increasing consumer preferences for natural, healthier, and “better for you” products.</w:t>
      </w:r>
    </w:p>
    <w:p>
      <w:pPr>
        <w:spacing w:after="0" w:line="191" w:lineRule="exact"/>
        <w:rPr>
          <w:sz w:val="20"/>
          <w:szCs w:val="20"/>
          <w:color w:val="auto"/>
        </w:rPr>
      </w:pPr>
    </w:p>
    <w:p>
      <w:pPr>
        <w:ind w:left="1880"/>
        <w:spacing w:after="0" w:line="274" w:lineRule="auto"/>
        <w:rPr>
          <w:sz w:val="20"/>
          <w:szCs w:val="20"/>
          <w:color w:val="auto"/>
        </w:rPr>
      </w:pPr>
      <w:r>
        <w:rPr>
          <w:rFonts w:ascii="Arial" w:cs="Arial" w:eastAsia="Arial" w:hAnsi="Arial"/>
          <w:sz w:val="15"/>
          <w:szCs w:val="15"/>
          <w:color w:val="auto"/>
        </w:rPr>
        <w:t>“The combination of IFF and N&amp;B is a pivotal moment in our journey to lead our industry as an invaluable innovation and creative partner for our customers. Together, we will create a leading ingredients and solutions provider with a broader set of capabilities to meet our customers’ evolving needs,” said IFF Chairman and CEO, Andreas Fibig. “With highly complementary portfolios, we will have global scale and leading positions in key growth categories to capitalize on positive market trends, drive strong profitable growth for our shareholders and create opportunities for our employees. I have been impressed by N&amp;B’s management team, which shares our culture and values, and we look forward to welcoming them to the IFF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-805815</wp:posOffset>
            </wp:positionV>
            <wp:extent cx="785495" cy="564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85495" cy="56451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-104140</wp:posOffset>
            </wp:positionV>
            <wp:extent cx="991870" cy="304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91870" cy="304800"/>
                    </a:xfrm>
                    <a:prstGeom prst="rect">
                      <a:avLst/>
                    </a:prstGeom>
                    <a:noFill/>
                  </pic:spPr>
                </pic:pic>
              </a:graphicData>
            </a:graphic>
          </wp:anchor>
        </w:drawing>
      </w:r>
    </w:p>
    <w:p>
      <w:pPr>
        <w:spacing w:after="0" w:line="163" w:lineRule="exact"/>
        <w:rPr>
          <w:sz w:val="20"/>
          <w:szCs w:val="20"/>
          <w:color w:val="auto"/>
        </w:rPr>
      </w:pPr>
    </w:p>
    <w:p>
      <w:pPr>
        <w:ind w:left="1880"/>
        <w:spacing w:after="0" w:line="256" w:lineRule="auto"/>
        <w:rPr>
          <w:sz w:val="20"/>
          <w:szCs w:val="20"/>
          <w:color w:val="auto"/>
        </w:rPr>
      </w:pPr>
      <w:r>
        <w:rPr>
          <w:rFonts w:ascii="Arial" w:cs="Arial" w:eastAsia="Arial" w:hAnsi="Arial"/>
          <w:sz w:val="16"/>
          <w:szCs w:val="16"/>
          <w:color w:val="auto"/>
        </w:rPr>
        <w:t>“DuPont and IFF share long and successful histories of customer-driven innovation and cultures of excellence, which is why I am confident that N&amp;B will be well-positioned for its next phase of growth. I am pleased to join the Board of the combined organization and remain involved in unlocking the potential of this new company,” said Ed Breen, Executive Chairman of DuPont. “We conducted a very thorough process leading us to the selection of IFF as the preferred strategic partner for N&amp;B. I am excited about the future of the new company and all the opportunities it has for long-term value creation.”</w:t>
      </w:r>
    </w:p>
    <w:p>
      <w:pPr>
        <w:spacing w:after="0" w:line="300" w:lineRule="exact"/>
        <w:rPr>
          <w:sz w:val="20"/>
          <w:szCs w:val="20"/>
          <w:color w:val="auto"/>
        </w:rPr>
      </w:pPr>
    </w:p>
    <w:p>
      <w:pPr>
        <w:ind w:left="1880"/>
        <w:spacing w:after="0"/>
        <w:rPr>
          <w:sz w:val="20"/>
          <w:szCs w:val="20"/>
          <w:color w:val="auto"/>
        </w:rPr>
      </w:pPr>
      <w:r>
        <w:rPr>
          <w:rFonts w:ascii="Arial" w:cs="Arial" w:eastAsia="Arial" w:hAnsi="Arial"/>
          <w:sz w:val="16"/>
          <w:szCs w:val="16"/>
          <w:u w:val="single" w:color="auto"/>
          <w:color w:val="auto"/>
        </w:rPr>
        <w:t>Strategic Rationale</w:t>
      </w:r>
    </w:p>
    <w:p>
      <w:pPr>
        <w:spacing w:after="0" w:line="116" w:lineRule="exact"/>
        <w:rPr>
          <w:sz w:val="20"/>
          <w:szCs w:val="20"/>
          <w:color w:val="auto"/>
        </w:rPr>
      </w:pPr>
    </w:p>
    <w:p>
      <w:pPr>
        <w:ind w:left="1880" w:right="20"/>
        <w:spacing w:after="0" w:line="264" w:lineRule="auto"/>
        <w:rPr>
          <w:sz w:val="20"/>
          <w:szCs w:val="20"/>
          <w:color w:val="auto"/>
        </w:rPr>
      </w:pPr>
      <w:r>
        <w:rPr>
          <w:rFonts w:ascii="Arial" w:cs="Arial" w:eastAsia="Arial" w:hAnsi="Arial"/>
          <w:sz w:val="16"/>
          <w:szCs w:val="16"/>
          <w:color w:val="auto"/>
        </w:rPr>
        <w:t>The new company will be ideally equipped to deliver in-demand differentiated solutions for more natural, healthy products to an expanded customer base spanning both large multinationals and fast-growing small and medium-sized customers.</w:t>
      </w:r>
    </w:p>
    <w:p>
      <w:pPr>
        <w:spacing w:after="0" w:line="78" w:lineRule="exact"/>
        <w:rPr>
          <w:sz w:val="20"/>
          <w:szCs w:val="20"/>
          <w:color w:val="auto"/>
        </w:rPr>
      </w:pPr>
    </w:p>
    <w:p>
      <w:pPr>
        <w:ind w:left="2520" w:hanging="248"/>
        <w:spacing w:after="0" w:line="256" w:lineRule="auto"/>
        <w:tabs>
          <w:tab w:leader="none" w:pos="2506"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Best-in-Class Innovation Portfolio Creates Differentiated Offering and Compelling Value Proposition</w:t>
      </w:r>
      <w:r>
        <w:rPr>
          <w:rFonts w:ascii="Arial" w:cs="Arial" w:eastAsia="Arial" w:hAnsi="Arial"/>
          <w:sz w:val="16"/>
          <w:szCs w:val="16"/>
          <w:color w:val="auto"/>
        </w:rPr>
        <w:t xml:space="preserve"> – The company will be an immediate leader in the rapid consumer-driven industry evolution toward healthier, “better for you” products. With leading R&amp;D and applications development capabilities and an expanded customer base, the combined company is expected to significantly increase customer speed to market, create new efficiencies in product development and provide critical consumer insights for next-generation products.</w:t>
      </w:r>
    </w:p>
    <w:p>
      <w:pPr>
        <w:spacing w:after="0" w:line="83" w:lineRule="exact"/>
        <w:rPr>
          <w:rFonts w:ascii="Arial" w:cs="Arial" w:eastAsia="Arial" w:hAnsi="Arial"/>
          <w:sz w:val="16"/>
          <w:szCs w:val="16"/>
          <w:color w:val="auto"/>
        </w:rPr>
      </w:pPr>
    </w:p>
    <w:p>
      <w:pPr>
        <w:ind w:left="2520" w:right="40" w:hanging="248"/>
        <w:spacing w:after="0" w:line="264" w:lineRule="auto"/>
        <w:tabs>
          <w:tab w:leader="none" w:pos="2506"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Leading Positions Across High-Value Added Ingredient Categories</w:t>
      </w:r>
      <w:r>
        <w:rPr>
          <w:rFonts w:ascii="Arial" w:cs="Arial" w:eastAsia="Arial" w:hAnsi="Arial"/>
          <w:sz w:val="16"/>
          <w:szCs w:val="16"/>
          <w:color w:val="auto"/>
        </w:rPr>
        <w:t xml:space="preserve"> – The company will have #1 or #2 positions across attractive Taste, Texture, Scent, Nutrition, Cultures, Enzymes, Soy Proteins and Probiotics categories.</w:t>
      </w:r>
    </w:p>
    <w:p>
      <w:pPr>
        <w:spacing w:after="0" w:line="77" w:lineRule="exact"/>
        <w:rPr>
          <w:rFonts w:ascii="Arial" w:cs="Arial" w:eastAsia="Arial" w:hAnsi="Arial"/>
          <w:sz w:val="16"/>
          <w:szCs w:val="16"/>
          <w:color w:val="auto"/>
        </w:rPr>
      </w:pPr>
    </w:p>
    <w:p>
      <w:pPr>
        <w:ind w:left="2520" w:right="80" w:hanging="248"/>
        <w:spacing w:after="0" w:line="259" w:lineRule="auto"/>
        <w:tabs>
          <w:tab w:leader="none" w:pos="2506"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Highly Attractive Financial Profile</w:t>
      </w:r>
      <w:r>
        <w:rPr>
          <w:rFonts w:ascii="Arial" w:cs="Arial" w:eastAsia="Arial" w:hAnsi="Arial"/>
          <w:sz w:val="16"/>
          <w:szCs w:val="16"/>
          <w:color w:val="auto"/>
        </w:rPr>
        <w:t xml:space="preserve"> – Shareholders will benefit from a highly profitable business with strong cash generation. The company expects to generate attractive top-line growth and enhanced margins with further benefit from cost synergies and revenue growth opportunities. The combined company will maintain IFF’s current dividend policy.</w:t>
      </w:r>
    </w:p>
    <w:p>
      <w:pPr>
        <w:spacing w:after="0" w:line="82" w:lineRule="exact"/>
        <w:rPr>
          <w:rFonts w:ascii="Arial" w:cs="Arial" w:eastAsia="Arial" w:hAnsi="Arial"/>
          <w:sz w:val="16"/>
          <w:szCs w:val="16"/>
          <w:color w:val="auto"/>
        </w:rPr>
      </w:pPr>
    </w:p>
    <w:p>
      <w:pPr>
        <w:ind w:left="2520" w:hanging="248"/>
        <w:spacing w:after="0" w:line="257" w:lineRule="auto"/>
        <w:tabs>
          <w:tab w:leader="none" w:pos="2506"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Shared Culture and Vision, a Strategic Asset to Execution</w:t>
      </w:r>
      <w:r>
        <w:rPr>
          <w:rFonts w:ascii="Arial" w:cs="Arial" w:eastAsia="Arial" w:hAnsi="Arial"/>
          <w:sz w:val="16"/>
          <w:szCs w:val="16"/>
          <w:color w:val="auto"/>
        </w:rPr>
        <w:t xml:space="preserve"> – IFF and N&amp;B are customer-focused organizations with cultures that emphasize science and creativity. The combined company will benefit from the best of both organizations’ experienced leaders and talented teams. Our shared commitment to sustainability, along with the combination of our complementary capabilities, will allow us to positively shape the evolution of the industry.</w:t>
      </w:r>
    </w:p>
    <w:p>
      <w:pPr>
        <w:sectPr>
          <w:pgSz w:w="11900" w:h="16838" w:orient="portrait"/>
          <w:cols w:equalWidth="0" w:num="1">
            <w:col w:w="9400"/>
          </w:cols>
          <w:pgMar w:left="1440" w:top="259" w:right="1059" w:bottom="1440" w:gutter="0" w:footer="0" w:header="0"/>
        </w:sectPr>
      </w:pPr>
    </w:p>
    <w:bookmarkStart w:id="8" w:name="page9"/>
    <w:bookmarkEnd w:id="8"/>
    <w:p>
      <w:pPr>
        <w:ind w:left="1880"/>
        <w:spacing w:after="0" w:line="28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“My team and I are excited about the opportunity to build the new company and create a new world-class leader. Our expertise together with IFF will best position us to address customer needs and ultimately redefine our industry,” said N&amp;B President, Matthias Heinzel. “IFF’s innovation and customer-centric culture is remarkably similar to ours and we look forward to working with them for a smooth integration of our two organizations.”</w:t>
      </w:r>
    </w:p>
    <w:p>
      <w:pPr>
        <w:spacing w:after="0" w:line="282" w:lineRule="exact"/>
        <w:rPr>
          <w:sz w:val="20"/>
          <w:szCs w:val="20"/>
          <w:color w:val="auto"/>
        </w:rPr>
      </w:pPr>
    </w:p>
    <w:p>
      <w:pPr>
        <w:ind w:left="1880"/>
        <w:spacing w:after="0"/>
        <w:rPr>
          <w:sz w:val="20"/>
          <w:szCs w:val="20"/>
          <w:color w:val="auto"/>
        </w:rPr>
      </w:pPr>
      <w:r>
        <w:rPr>
          <w:rFonts w:ascii="Arial" w:cs="Arial" w:eastAsia="Arial" w:hAnsi="Arial"/>
          <w:sz w:val="16"/>
          <w:szCs w:val="16"/>
          <w:u w:val="single" w:color="auto"/>
          <w:color w:val="auto"/>
        </w:rPr>
        <w:t>Governance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-115570</wp:posOffset>
            </wp:positionV>
            <wp:extent cx="785495" cy="564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85495" cy="564515"/>
                    </a:xfrm>
                    <a:prstGeom prst="rect">
                      <a:avLst/>
                    </a:prstGeom>
                    <a:noFill/>
                  </pic:spPr>
                </pic:pic>
              </a:graphicData>
            </a:graphic>
          </wp:anchor>
        </w:drawing>
      </w:r>
    </w:p>
    <w:p>
      <w:pPr>
        <w:spacing w:after="0" w:line="96" w:lineRule="exact"/>
        <w:rPr>
          <w:sz w:val="20"/>
          <w:szCs w:val="20"/>
          <w:color w:val="auto"/>
        </w:rPr>
      </w:pPr>
    </w:p>
    <w:p>
      <w:pPr>
        <w:ind w:left="1880" w:right="60"/>
        <w:spacing w:after="0" w:line="256" w:lineRule="auto"/>
        <w:rPr>
          <w:sz w:val="20"/>
          <w:szCs w:val="20"/>
          <w:color w:val="auto"/>
        </w:rPr>
      </w:pPr>
      <w:r>
        <w:rPr>
          <w:rFonts w:ascii="Arial" w:cs="Arial" w:eastAsia="Arial" w:hAnsi="Arial"/>
          <w:sz w:val="16"/>
          <w:szCs w:val="16"/>
          <w:color w:val="auto"/>
        </w:rPr>
        <w:t>Upon closing, the new company’s Board of Directors will consist of 13 directors: 7 current IFF directors and 6 DuPont director appointees until the Annual Meeting in 2022, when there will be 6 directors from each company. Andreas Fibig will continue to be the Chairman of the Board and an IFF appointee, he will also continue as Chief Executive Officer. The company will be headquartered in New York. DuPont Executive Chairman, Ed Breen, will join the board of the combined company as a DuPont appointee and will serve as Lead Independent Director starting June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-235585</wp:posOffset>
            </wp:positionV>
            <wp:extent cx="991870" cy="304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91870" cy="304800"/>
                    </a:xfrm>
                    <a:prstGeom prst="rect">
                      <a:avLst/>
                    </a:prstGeom>
                    <a:noFill/>
                  </pic:spPr>
                </pic:pic>
              </a:graphicData>
            </a:graphic>
          </wp:anchor>
        </w:drawing>
      </w:r>
    </w:p>
    <w:p>
      <w:pPr>
        <w:spacing w:after="0" w:line="172" w:lineRule="exact"/>
        <w:rPr>
          <w:sz w:val="20"/>
          <w:szCs w:val="20"/>
          <w:color w:val="auto"/>
        </w:rPr>
      </w:pPr>
    </w:p>
    <w:p>
      <w:pPr>
        <w:ind w:left="1880" w:right="280"/>
        <w:spacing w:after="0" w:line="277" w:lineRule="auto"/>
        <w:rPr>
          <w:sz w:val="20"/>
          <w:szCs w:val="20"/>
          <w:color w:val="auto"/>
        </w:rPr>
      </w:pPr>
      <w:r>
        <w:rPr>
          <w:rFonts w:ascii="Arial" w:cs="Arial" w:eastAsia="Arial" w:hAnsi="Arial"/>
          <w:sz w:val="16"/>
          <w:szCs w:val="16"/>
          <w:color w:val="auto"/>
        </w:rPr>
        <w:t>The new company will draw upon the best talent from both organizations. IFF and N&amp;B will form an Integration Office composed of leaders from both companies.</w:t>
      </w:r>
    </w:p>
    <w:p>
      <w:pPr>
        <w:spacing w:after="0" w:line="284" w:lineRule="exact"/>
        <w:rPr>
          <w:sz w:val="20"/>
          <w:szCs w:val="20"/>
          <w:color w:val="auto"/>
        </w:rPr>
      </w:pPr>
    </w:p>
    <w:p>
      <w:pPr>
        <w:ind w:left="1880"/>
        <w:spacing w:after="0"/>
        <w:rPr>
          <w:sz w:val="20"/>
          <w:szCs w:val="20"/>
          <w:color w:val="auto"/>
        </w:rPr>
      </w:pPr>
      <w:r>
        <w:rPr>
          <w:rFonts w:ascii="Arial" w:cs="Arial" w:eastAsia="Arial" w:hAnsi="Arial"/>
          <w:sz w:val="16"/>
          <w:szCs w:val="16"/>
          <w:u w:val="single" w:color="auto"/>
          <w:color w:val="auto"/>
        </w:rPr>
        <w:t>Financial Benefits</w:t>
      </w:r>
    </w:p>
    <w:p>
      <w:pPr>
        <w:spacing w:after="0" w:line="116"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The combined company will have a strong financial profile, including:</w:t>
      </w:r>
    </w:p>
    <w:p>
      <w:pPr>
        <w:spacing w:after="0" w:line="116" w:lineRule="exact"/>
        <w:rPr>
          <w:sz w:val="20"/>
          <w:szCs w:val="20"/>
          <w:color w:val="auto"/>
        </w:rPr>
      </w:pPr>
    </w:p>
    <w:p>
      <w:pPr>
        <w:ind w:left="2500" w:hanging="228"/>
        <w:spacing w:after="0"/>
        <w:tabs>
          <w:tab w:leader="none" w:pos="2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 forma revenues of more than $11 billion based on fiscal year 2019 estimated results</w:t>
      </w:r>
    </w:p>
    <w:p>
      <w:pPr>
        <w:spacing w:after="0" w:line="116" w:lineRule="exact"/>
        <w:rPr>
          <w:rFonts w:ascii="Arial" w:cs="Arial" w:eastAsia="Arial" w:hAnsi="Arial"/>
          <w:sz w:val="16"/>
          <w:szCs w:val="16"/>
          <w:color w:val="auto"/>
        </w:rPr>
      </w:pPr>
    </w:p>
    <w:p>
      <w:pPr>
        <w:ind w:left="2520" w:right="220" w:hanging="248"/>
        <w:spacing w:after="0" w:line="277" w:lineRule="auto"/>
        <w:tabs>
          <w:tab w:leader="none" w:pos="2497"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EBITDA margin of ~23% pre-synergies and ~26% with run-rate cost synergies based on fiscal 2019 pro forma estimated results</w:t>
      </w:r>
    </w:p>
    <w:p>
      <w:pPr>
        <w:spacing w:after="0" w:line="67" w:lineRule="exact"/>
        <w:rPr>
          <w:rFonts w:ascii="Arial" w:cs="Arial" w:eastAsia="Arial" w:hAnsi="Arial"/>
          <w:sz w:val="16"/>
          <w:szCs w:val="16"/>
          <w:color w:val="auto"/>
        </w:rPr>
      </w:pPr>
    </w:p>
    <w:p>
      <w:pPr>
        <w:ind w:left="2500" w:hanging="228"/>
        <w:spacing w:after="0"/>
        <w:tabs>
          <w:tab w:leader="none" w:pos="2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Expected revenue growth rate in the mid-single digits over the long-term</w:t>
      </w:r>
    </w:p>
    <w:p>
      <w:pPr>
        <w:spacing w:after="0" w:line="116" w:lineRule="exact"/>
        <w:rPr>
          <w:rFonts w:ascii="Arial" w:cs="Arial" w:eastAsia="Arial" w:hAnsi="Arial"/>
          <w:sz w:val="16"/>
          <w:szCs w:val="16"/>
          <w:color w:val="auto"/>
        </w:rPr>
      </w:pPr>
    </w:p>
    <w:p>
      <w:pPr>
        <w:ind w:left="2500" w:hanging="228"/>
        <w:spacing w:after="0"/>
        <w:tabs>
          <w:tab w:leader="none" w:pos="2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Strong cash flow generation supporting an investment grade credit profile</w:t>
      </w:r>
    </w:p>
    <w:p>
      <w:pPr>
        <w:spacing w:after="0" w:line="116" w:lineRule="exact"/>
        <w:rPr>
          <w:rFonts w:ascii="Arial" w:cs="Arial" w:eastAsia="Arial" w:hAnsi="Arial"/>
          <w:sz w:val="16"/>
          <w:szCs w:val="16"/>
          <w:color w:val="auto"/>
        </w:rPr>
      </w:pPr>
    </w:p>
    <w:p>
      <w:pPr>
        <w:ind w:left="2500" w:hanging="228"/>
        <w:spacing w:after="0"/>
        <w:tabs>
          <w:tab w:leader="none" w:pos="2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Commitment to the continuation of IFF’s historical dividend policy</w:t>
      </w:r>
    </w:p>
    <w:p>
      <w:pPr>
        <w:spacing w:after="0" w:line="224" w:lineRule="exact"/>
        <w:rPr>
          <w:sz w:val="20"/>
          <w:szCs w:val="20"/>
          <w:color w:val="auto"/>
        </w:rPr>
      </w:pPr>
    </w:p>
    <w:p>
      <w:pPr>
        <w:ind w:left="1880" w:right="220"/>
        <w:spacing w:after="0" w:line="278" w:lineRule="auto"/>
        <w:rPr>
          <w:sz w:val="20"/>
          <w:szCs w:val="20"/>
          <w:color w:val="auto"/>
        </w:rPr>
      </w:pPr>
      <w:r>
        <w:rPr>
          <w:rFonts w:ascii="Arial" w:cs="Arial" w:eastAsia="Arial" w:hAnsi="Arial"/>
          <w:sz w:val="15"/>
          <w:szCs w:val="15"/>
          <w:color w:val="auto"/>
        </w:rPr>
        <w:t>IFF expects to realize cost synergies of approximately $300 million on a run-rate basis by the end of the third year post-closing. These cost synergies will be driven by procurement excellence, streamlining overhead and manufacturing efficiencies. In addition, the combined company’s target is to deliver more than $400 million in run-rate revenue synergies, which would result in more than $175 million of EBITDA, driven by cross-selling opportunities and leveraging the expanded capabilities across a broader customer base.</w:t>
      </w:r>
    </w:p>
    <w:p>
      <w:pPr>
        <w:spacing w:after="0" w:line="178" w:lineRule="exact"/>
        <w:rPr>
          <w:sz w:val="20"/>
          <w:szCs w:val="20"/>
          <w:color w:val="auto"/>
        </w:rPr>
      </w:pPr>
    </w:p>
    <w:p>
      <w:pPr>
        <w:ind w:left="1880" w:right="260"/>
        <w:spacing w:after="0" w:line="264" w:lineRule="auto"/>
        <w:rPr>
          <w:sz w:val="20"/>
          <w:szCs w:val="20"/>
          <w:color w:val="auto"/>
        </w:rPr>
      </w:pPr>
      <w:r>
        <w:rPr>
          <w:rFonts w:ascii="Arial" w:cs="Arial" w:eastAsia="Arial" w:hAnsi="Arial"/>
          <w:sz w:val="16"/>
          <w:szCs w:val="16"/>
          <w:color w:val="auto"/>
        </w:rPr>
        <w:t>IFF is committed to maintaining an investment grade rating and plans to delever from approximately 4.0x at transaction close to below 3.0x by year two following closing. Following the close of the transaction, IFF expects that substantially all of the debt of the combined company will be pari passu.</w:t>
      </w:r>
    </w:p>
    <w:p>
      <w:pPr>
        <w:spacing w:after="0" w:line="294" w:lineRule="exact"/>
        <w:rPr>
          <w:sz w:val="20"/>
          <w:szCs w:val="20"/>
          <w:color w:val="auto"/>
        </w:rPr>
      </w:pPr>
    </w:p>
    <w:p>
      <w:pPr>
        <w:ind w:left="1880"/>
        <w:spacing w:after="0"/>
        <w:rPr>
          <w:sz w:val="20"/>
          <w:szCs w:val="20"/>
          <w:color w:val="auto"/>
        </w:rPr>
      </w:pPr>
      <w:r>
        <w:rPr>
          <w:rFonts w:ascii="Arial" w:cs="Arial" w:eastAsia="Arial" w:hAnsi="Arial"/>
          <w:sz w:val="16"/>
          <w:szCs w:val="16"/>
          <w:u w:val="single" w:color="auto"/>
          <w:color w:val="auto"/>
        </w:rPr>
        <w:t>Guidance</w:t>
      </w:r>
    </w:p>
    <w:p>
      <w:pPr>
        <w:spacing w:after="0" w:line="116" w:lineRule="exact"/>
        <w:rPr>
          <w:sz w:val="20"/>
          <w:szCs w:val="20"/>
          <w:color w:val="auto"/>
        </w:rPr>
      </w:pPr>
    </w:p>
    <w:p>
      <w:pPr>
        <w:ind w:left="1880" w:right="40"/>
        <w:spacing w:after="0" w:line="264" w:lineRule="auto"/>
        <w:rPr>
          <w:sz w:val="20"/>
          <w:szCs w:val="20"/>
          <w:color w:val="auto"/>
        </w:rPr>
      </w:pPr>
      <w:r>
        <w:rPr>
          <w:rFonts w:ascii="Arial" w:cs="Arial" w:eastAsia="Arial" w:hAnsi="Arial"/>
          <w:sz w:val="16"/>
          <w:szCs w:val="16"/>
          <w:color w:val="auto"/>
        </w:rPr>
        <w:t>IFF is affirming its existing 2019 full-year guidance. The company reconfirms its full-year projections for sales to be between $5.15 billion and $5.25 billion with adjusted EPS to be between $4.85 and $5.05 and adjusted EPS excluding amortization to be between $6.15 and $6.35.</w:t>
      </w:r>
    </w:p>
    <w:p>
      <w:pPr>
        <w:sectPr>
          <w:pgSz w:w="11900" w:h="16838" w:orient="portrait"/>
          <w:cols w:equalWidth="0" w:num="1">
            <w:col w:w="9400"/>
          </w:cols>
          <w:pgMar w:left="1440" w:top="259" w:right="1059" w:bottom="1440" w:gutter="0" w:footer="0" w:header="0"/>
        </w:sectPr>
      </w:pPr>
    </w:p>
    <w:bookmarkStart w:id="9" w:name="page10"/>
    <w:bookmarkEnd w:id="9"/>
    <w:p>
      <w:pPr>
        <w:ind w:left="1880" w:right="100"/>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DuPont reconfirms its expectations for total annual revenue of approximately $21.5 billion and an adjusted EPS</w:t>
      </w:r>
      <w:r>
        <w:rPr>
          <w:rFonts w:ascii="Arial" w:cs="Arial" w:eastAsia="Arial" w:hAnsi="Arial"/>
          <w:sz w:val="13"/>
          <w:szCs w:val="13"/>
          <w:color w:val="auto"/>
        </w:rPr>
        <w:t>1</w:t>
      </w:r>
      <w:r>
        <w:rPr>
          <w:rFonts w:ascii="Arial" w:cs="Arial" w:eastAsia="Arial" w:hAnsi="Arial"/>
          <w:sz w:val="16"/>
          <w:szCs w:val="16"/>
          <w:color w:val="auto"/>
        </w:rPr>
        <w:t xml:space="preserve"> range of $3.77 to $3.82. DuPont expects operating EBITDA to be at the low end of the previously provided range, primarily driven by temporary supply chain disruptions in Safety &amp; Construction (S&amp;C) and Electronics &amp; Imaging (E&amp;I).</w:t>
      </w:r>
    </w:p>
    <w:p>
      <w:pPr>
        <w:spacing w:after="0" w:line="300" w:lineRule="exact"/>
        <w:rPr>
          <w:sz w:val="20"/>
          <w:szCs w:val="20"/>
          <w:color w:val="auto"/>
        </w:rPr>
      </w:pPr>
    </w:p>
    <w:p>
      <w:pPr>
        <w:ind w:left="1880"/>
        <w:spacing w:after="0"/>
        <w:rPr>
          <w:sz w:val="20"/>
          <w:szCs w:val="20"/>
          <w:color w:val="auto"/>
        </w:rPr>
      </w:pPr>
      <w:r>
        <w:rPr>
          <w:rFonts w:ascii="Arial" w:cs="Arial" w:eastAsia="Arial" w:hAnsi="Arial"/>
          <w:sz w:val="16"/>
          <w:szCs w:val="16"/>
          <w:u w:val="single" w:color="auto"/>
          <w:color w:val="auto"/>
        </w:rPr>
        <w:t>Transaction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-115570</wp:posOffset>
            </wp:positionV>
            <wp:extent cx="785495" cy="564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85495" cy="564515"/>
                    </a:xfrm>
                    <a:prstGeom prst="rect">
                      <a:avLst/>
                    </a:prstGeom>
                    <a:noFill/>
                  </pic:spPr>
                </pic:pic>
              </a:graphicData>
            </a:graphic>
          </wp:anchor>
        </w:drawing>
      </w:r>
    </w:p>
    <w:p>
      <w:pPr>
        <w:spacing w:after="0" w:line="96" w:lineRule="exact"/>
        <w:rPr>
          <w:sz w:val="20"/>
          <w:szCs w:val="20"/>
          <w:color w:val="auto"/>
        </w:rPr>
      </w:pPr>
    </w:p>
    <w:p>
      <w:pPr>
        <w:ind w:left="1880" w:right="20"/>
        <w:spacing w:after="0" w:line="282" w:lineRule="auto"/>
        <w:rPr>
          <w:sz w:val="20"/>
          <w:szCs w:val="20"/>
          <w:color w:val="auto"/>
        </w:rPr>
      </w:pPr>
      <w:r>
        <w:rPr>
          <w:rFonts w:ascii="Arial" w:cs="Arial" w:eastAsia="Arial" w:hAnsi="Arial"/>
          <w:sz w:val="15"/>
          <w:szCs w:val="15"/>
          <w:color w:val="auto"/>
        </w:rPr>
        <w:t>The combination will be executed through a Reverse Morris Trust transaction. Upon completion, DuPont shareholders will own 55.4% of the combined company and IFF’s shareholders will own 44.6%. In addition, at the time of completion, DuPont will receive a one-time $7.3 billion cash payment, subject to adjustment. The transaction is expected to be tax-free to DuPont and its shareholders for U.S. federal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-2540</wp:posOffset>
            </wp:positionV>
            <wp:extent cx="991870" cy="304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91870" cy="304800"/>
                    </a:xfrm>
                    <a:prstGeom prst="rect">
                      <a:avLst/>
                    </a:prstGeom>
                    <a:noFill/>
                  </pic:spPr>
                </pic:pic>
              </a:graphicData>
            </a:graphic>
          </wp:anchor>
        </w:drawing>
      </w:r>
    </w:p>
    <w:p>
      <w:pPr>
        <w:spacing w:after="0" w:line="262" w:lineRule="exact"/>
        <w:rPr>
          <w:sz w:val="20"/>
          <w:szCs w:val="20"/>
          <w:color w:val="auto"/>
        </w:rPr>
      </w:pPr>
    </w:p>
    <w:p>
      <w:pPr>
        <w:ind w:left="1880"/>
        <w:spacing w:after="0"/>
        <w:rPr>
          <w:sz w:val="20"/>
          <w:szCs w:val="20"/>
          <w:color w:val="auto"/>
        </w:rPr>
      </w:pPr>
      <w:r>
        <w:rPr>
          <w:rFonts w:ascii="Arial" w:cs="Arial" w:eastAsia="Arial" w:hAnsi="Arial"/>
          <w:sz w:val="16"/>
          <w:szCs w:val="16"/>
          <w:u w:val="single" w:color="auto"/>
          <w:color w:val="auto"/>
        </w:rPr>
        <w:t>Financing and Approvals</w:t>
      </w:r>
    </w:p>
    <w:p>
      <w:pPr>
        <w:spacing w:after="0" w:line="116" w:lineRule="exact"/>
        <w:rPr>
          <w:sz w:val="20"/>
          <w:szCs w:val="20"/>
          <w:color w:val="auto"/>
        </w:rPr>
      </w:pPr>
    </w:p>
    <w:p>
      <w:pPr>
        <w:ind w:left="1880" w:right="40"/>
        <w:spacing w:after="0" w:line="257" w:lineRule="auto"/>
        <w:rPr>
          <w:sz w:val="20"/>
          <w:szCs w:val="20"/>
          <w:color w:val="auto"/>
        </w:rPr>
      </w:pPr>
      <w:r>
        <w:rPr>
          <w:rFonts w:ascii="Arial" w:cs="Arial" w:eastAsia="Arial" w:hAnsi="Arial"/>
          <w:sz w:val="16"/>
          <w:szCs w:val="16"/>
          <w:color w:val="auto"/>
        </w:rPr>
        <w:t>The transaction is subject to approval by IFF shareholders and other customary closing conditions, including regulatory approvals. As part of the transaction, IFF’s largest shareholder, Winder Investments, has agreed to vote in favor of the transaction. The parties target closing the deal by the end of the first quarter of 2021. IFF and N&amp;B have obtained fully-committed debt financing from Morgan Stanley and Credit Suisse. The combined company is committed to maintaining an investment grade rating.</w:t>
      </w:r>
    </w:p>
    <w:p>
      <w:pPr>
        <w:spacing w:after="0" w:line="300" w:lineRule="exact"/>
        <w:rPr>
          <w:sz w:val="20"/>
          <w:szCs w:val="20"/>
          <w:color w:val="auto"/>
        </w:rPr>
      </w:pPr>
    </w:p>
    <w:p>
      <w:pPr>
        <w:ind w:left="1880"/>
        <w:spacing w:after="0"/>
        <w:rPr>
          <w:sz w:val="20"/>
          <w:szCs w:val="20"/>
          <w:color w:val="auto"/>
        </w:rPr>
      </w:pPr>
      <w:r>
        <w:rPr>
          <w:rFonts w:ascii="Arial" w:cs="Arial" w:eastAsia="Arial" w:hAnsi="Arial"/>
          <w:sz w:val="16"/>
          <w:szCs w:val="16"/>
          <w:u w:val="single" w:color="auto"/>
          <w:color w:val="auto"/>
        </w:rPr>
        <w:t>Advisors</w:t>
      </w:r>
    </w:p>
    <w:p>
      <w:pPr>
        <w:spacing w:after="0" w:line="116" w:lineRule="exact"/>
        <w:rPr>
          <w:sz w:val="20"/>
          <w:szCs w:val="20"/>
          <w:color w:val="auto"/>
        </w:rPr>
      </w:pPr>
    </w:p>
    <w:p>
      <w:pPr>
        <w:ind w:left="1880" w:right="100"/>
        <w:spacing w:after="0" w:line="319" w:lineRule="auto"/>
        <w:rPr>
          <w:sz w:val="20"/>
          <w:szCs w:val="20"/>
          <w:color w:val="auto"/>
        </w:rPr>
      </w:pPr>
      <w:r>
        <w:rPr>
          <w:rFonts w:ascii="Arial" w:cs="Arial" w:eastAsia="Arial" w:hAnsi="Arial"/>
          <w:sz w:val="14"/>
          <w:szCs w:val="14"/>
          <w:color w:val="auto"/>
        </w:rPr>
        <w:t>Greenhill &amp; Co. LLC and Morgan Stanley &amp; Co. LLC are serving as IFF’s financial advisors and Cleary Gottlieb Steen &amp; Hamilton LLP is serving as legal counsel. Credit Suisse Securities (USA) LLC and Evercore are serving as DuPont’s financial advisors and Skadden, Arps, Slate, Meagher &amp; Flom LLP is serving as legal counsel.</w:t>
      </w:r>
    </w:p>
    <w:p>
      <w:pPr>
        <w:spacing w:after="0" w:line="259" w:lineRule="exact"/>
        <w:rPr>
          <w:sz w:val="20"/>
          <w:szCs w:val="20"/>
          <w:color w:val="auto"/>
        </w:rPr>
      </w:pPr>
    </w:p>
    <w:p>
      <w:pPr>
        <w:ind w:left="1880"/>
        <w:spacing w:after="0"/>
        <w:rPr>
          <w:sz w:val="20"/>
          <w:szCs w:val="20"/>
          <w:color w:val="auto"/>
        </w:rPr>
      </w:pPr>
      <w:r>
        <w:rPr>
          <w:rFonts w:ascii="Arial" w:cs="Arial" w:eastAsia="Arial" w:hAnsi="Arial"/>
          <w:sz w:val="16"/>
          <w:szCs w:val="16"/>
          <w:u w:val="single" w:color="auto"/>
          <w:color w:val="auto"/>
        </w:rPr>
        <w:t>Conference Call Details</w:t>
      </w:r>
    </w:p>
    <w:p>
      <w:pPr>
        <w:spacing w:after="0" w:line="116" w:lineRule="exact"/>
        <w:rPr>
          <w:sz w:val="20"/>
          <w:szCs w:val="20"/>
          <w:color w:val="auto"/>
        </w:rPr>
      </w:pPr>
    </w:p>
    <w:p>
      <w:pPr>
        <w:ind w:left="1880" w:right="40"/>
        <w:spacing w:after="0" w:line="264" w:lineRule="auto"/>
        <w:rPr>
          <w:sz w:val="20"/>
          <w:szCs w:val="20"/>
          <w:color w:val="auto"/>
        </w:rPr>
      </w:pPr>
      <w:r>
        <w:rPr>
          <w:rFonts w:ascii="Arial" w:cs="Arial" w:eastAsia="Arial" w:hAnsi="Arial"/>
          <w:sz w:val="16"/>
          <w:szCs w:val="16"/>
          <w:color w:val="auto"/>
        </w:rPr>
        <w:t xml:space="preserve">The two companies will host a joint conference call on Monday, December 16, 2019, at 7:30 am ET to discuss the announcement. The call will include a slide presentation and participants are encouraged to view the presentation via webcast at </w:t>
      </w:r>
      <w:r>
        <w:rPr>
          <w:rFonts w:ascii="Arial" w:cs="Arial" w:eastAsia="Arial" w:hAnsi="Arial"/>
          <w:sz w:val="16"/>
          <w:szCs w:val="16"/>
          <w:u w:val="single" w:color="auto"/>
          <w:color w:val="auto"/>
        </w:rPr>
        <w:t>www.strongerinnovationtogether.com/investors</w:t>
      </w:r>
      <w:r>
        <w:rPr>
          <w:rFonts w:ascii="Arial" w:cs="Arial" w:eastAsia="Arial" w:hAnsi="Arial"/>
          <w:sz w:val="16"/>
          <w:szCs w:val="16"/>
          <w:color w:val="auto"/>
        </w:rPr>
        <w:t>.</w:t>
      </w:r>
    </w:p>
    <w:p>
      <w:pPr>
        <w:spacing w:after="0" w:line="186"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The conference call may also be accessed by dialing: (877) 830-2586 (Toll Free) or (785) 424-1734 (International)</w:t>
      </w:r>
    </w:p>
    <w:p>
      <w:pPr>
        <w:spacing w:after="0" w:line="44"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and using the Conference ID: 121619. A replay will be available for approximately 90 days and can be accessed by</w:t>
      </w:r>
    </w:p>
    <w:p>
      <w:pPr>
        <w:spacing w:after="0" w:line="3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dialing: (800) 839-4199 (Toll Free) or (402) 220-2989 (International).</w:t>
      </w:r>
    </w:p>
    <w:p>
      <w:pPr>
        <w:spacing w:after="0" w:line="212" w:lineRule="exact"/>
        <w:rPr>
          <w:sz w:val="20"/>
          <w:szCs w:val="20"/>
          <w:color w:val="auto"/>
        </w:rPr>
      </w:pPr>
    </w:p>
    <w:p>
      <w:pPr>
        <w:ind w:left="1880" w:right="2460"/>
        <w:spacing w:after="0" w:line="277" w:lineRule="auto"/>
        <w:rPr>
          <w:sz w:val="20"/>
          <w:szCs w:val="20"/>
          <w:color w:val="auto"/>
        </w:rPr>
      </w:pPr>
      <w:r>
        <w:rPr>
          <w:rFonts w:ascii="Arial" w:cs="Arial" w:eastAsia="Arial" w:hAnsi="Arial"/>
          <w:sz w:val="16"/>
          <w:szCs w:val="16"/>
          <w:color w:val="auto"/>
        </w:rPr>
        <w:t xml:space="preserve">Additional information about the combination of IFF and N&amp;B can be found at </w:t>
      </w:r>
      <w:r>
        <w:rPr>
          <w:rFonts w:ascii="Arial" w:cs="Arial" w:eastAsia="Arial" w:hAnsi="Arial"/>
          <w:sz w:val="16"/>
          <w:szCs w:val="16"/>
          <w:u w:val="single" w:color="auto"/>
          <w:color w:val="auto"/>
        </w:rPr>
        <w:t>www.strongerinnovationtogether.com</w:t>
      </w:r>
      <w:r>
        <w:rPr>
          <w:rFonts w:ascii="Arial" w:cs="Arial" w:eastAsia="Arial" w:hAnsi="Arial"/>
          <w:sz w:val="16"/>
          <w:szCs w:val="16"/>
          <w:color w:val="auto"/>
        </w:rPr>
        <w:t>.</w:t>
      </w:r>
    </w:p>
    <w:p>
      <w:pPr>
        <w:spacing w:after="0" w:line="280"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About IFF</w:t>
      </w:r>
    </w:p>
    <w:p>
      <w:pPr>
        <w:spacing w:after="0" w:line="120" w:lineRule="exact"/>
        <w:rPr>
          <w:sz w:val="20"/>
          <w:szCs w:val="20"/>
          <w:color w:val="auto"/>
        </w:rPr>
      </w:pPr>
    </w:p>
    <w:p>
      <w:pPr>
        <w:ind w:left="1880"/>
        <w:spacing w:after="0" w:line="259" w:lineRule="auto"/>
        <w:rPr>
          <w:sz w:val="20"/>
          <w:szCs w:val="20"/>
          <w:color w:val="auto"/>
        </w:rPr>
      </w:pPr>
      <w:r>
        <w:rPr>
          <w:rFonts w:ascii="Arial" w:cs="Arial" w:eastAsia="Arial" w:hAnsi="Arial"/>
          <w:sz w:val="16"/>
          <w:szCs w:val="16"/>
          <w:color w:val="auto"/>
        </w:rPr>
        <w:t xml:space="preserve">At IFF (NYSE:IFF) (Euronext Paris:IFF) (TASE:IFF), we’re using Uncommon Sense to create what the world needs. As a collective of unconventional thinkers and creators, we put science and artistry to work to create unique and unexpected scents, tastes, experiences and ingredients for the products our world craves. Learn more at </w:t>
      </w:r>
      <w:r>
        <w:rPr>
          <w:rFonts w:ascii="Arial" w:cs="Arial" w:eastAsia="Arial" w:hAnsi="Arial"/>
          <w:sz w:val="16"/>
          <w:szCs w:val="16"/>
          <w:u w:val="single" w:color="auto"/>
          <w:color w:val="auto"/>
        </w:rPr>
        <w:t>iff.com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Facebook</w:t>
      </w:r>
      <w:r>
        <w:rPr>
          <w:rFonts w:ascii="Arial" w:cs="Arial" w:eastAsia="Arial" w:hAnsi="Arial"/>
          <w:sz w:val="16"/>
          <w:szCs w:val="16"/>
          <w:color w:val="auto"/>
        </w:rPr>
        <w:t xml:space="preserve">, </w:t>
      </w:r>
      <w:r>
        <w:rPr>
          <w:rFonts w:ascii="Arial" w:cs="Arial" w:eastAsia="Arial" w:hAnsi="Arial"/>
          <w:sz w:val="16"/>
          <w:szCs w:val="16"/>
          <w:u w:val="single" w:color="auto"/>
          <w:color w:val="auto"/>
        </w:rPr>
        <w:t>Instagram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LinkedIn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227965</wp:posOffset>
            </wp:positionV>
            <wp:extent cx="124523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45235" cy="7620"/>
                    </a:xfrm>
                    <a:prstGeom prst="rect">
                      <a:avLst/>
                    </a:prstGeom>
                    <a:noFill/>
                  </pic:spPr>
                </pic:pic>
              </a:graphicData>
            </a:graphic>
          </wp:anchor>
        </w:drawing>
      </w:r>
    </w:p>
    <w:p>
      <w:pPr>
        <w:spacing w:after="0" w:line="363" w:lineRule="exact"/>
        <w:rPr>
          <w:sz w:val="20"/>
          <w:szCs w:val="20"/>
          <w:color w:val="auto"/>
        </w:rPr>
      </w:pPr>
    </w:p>
    <w:p>
      <w:pPr>
        <w:ind w:left="2200" w:right="80" w:hanging="329"/>
        <w:spacing w:after="0" w:line="264" w:lineRule="auto"/>
        <w:tabs>
          <w:tab w:leader="none" w:pos="2189" w:val="left"/>
        </w:tabs>
        <w:numPr>
          <w:ilvl w:val="0"/>
          <w:numId w:val="7"/>
        </w:numPr>
        <w:rPr>
          <w:rFonts w:ascii="Arial" w:cs="Arial" w:eastAsia="Arial" w:hAnsi="Arial"/>
          <w:sz w:val="14"/>
          <w:szCs w:val="14"/>
          <w:color w:val="auto"/>
        </w:rPr>
      </w:pPr>
      <w:r>
        <w:rPr>
          <w:rFonts w:ascii="Arial" w:cs="Arial" w:eastAsia="Arial" w:hAnsi="Arial"/>
          <w:sz w:val="16"/>
          <w:szCs w:val="16"/>
          <w:color w:val="auto"/>
        </w:rPr>
        <w:t>Adjusted EPS is on a pro forma basis and is a non-GAAP measure. Refer to the Reconciliation of Adjusted Earnings Per Share Outlook included in DuPont’s third quarter earnings announcement released on October 31, 2019 which can be found on the Investors section of our website.</w:t>
      </w:r>
    </w:p>
    <w:p>
      <w:pPr>
        <w:sectPr>
          <w:pgSz w:w="11900" w:h="16838" w:orient="portrait"/>
          <w:cols w:equalWidth="0" w:num="1">
            <w:col w:w="9400"/>
          </w:cols>
          <w:pgMar w:left="1440" w:top="259" w:right="1059" w:bottom="1440" w:gutter="0" w:footer="0" w:header="0"/>
        </w:sectPr>
      </w:pPr>
    </w:p>
    <w:bookmarkStart w:id="10" w:name="page11"/>
    <w:bookmarkEnd w:id="10"/>
    <w:p>
      <w:pPr>
        <w:ind w:left="18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About DuPont</w:t>
      </w:r>
    </w:p>
    <w:p>
      <w:pPr>
        <w:spacing w:after="0" w:line="120" w:lineRule="exact"/>
        <w:rPr>
          <w:sz w:val="20"/>
          <w:szCs w:val="20"/>
          <w:color w:val="auto"/>
        </w:rPr>
      </w:pPr>
    </w:p>
    <w:p>
      <w:pPr>
        <w:ind w:left="1880" w:right="200"/>
        <w:spacing w:after="0" w:line="257" w:lineRule="auto"/>
        <w:rPr>
          <w:sz w:val="20"/>
          <w:szCs w:val="20"/>
          <w:color w:val="auto"/>
        </w:rPr>
      </w:pPr>
      <w:r>
        <w:rPr>
          <w:rFonts w:ascii="Arial" w:cs="Arial" w:eastAsia="Arial" w:hAnsi="Arial"/>
          <w:sz w:val="16"/>
          <w:szCs w:val="16"/>
          <w:color w:val="auto"/>
        </w:rPr>
        <w:t xml:space="preserve">DuPont (NYSE: DD) is a global innovation leader with technology-based materials, ingredients and solutions that help transform industries and everyday life. Our employees apply diverse science and expertise to help customers advance their best ideas and deliver essential innovations in key markets including electronics, transportation, construction, water, health and wellness, food and worker safety. More information can be found at </w:t>
      </w:r>
      <w:r>
        <w:rPr>
          <w:rFonts w:ascii="Arial" w:cs="Arial" w:eastAsia="Arial" w:hAnsi="Arial"/>
          <w:sz w:val="16"/>
          <w:szCs w:val="16"/>
          <w:u w:val="single" w:color="auto"/>
          <w:color w:val="auto"/>
        </w:rPr>
        <w:t>www.dupont.com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-121285</wp:posOffset>
            </wp:positionV>
            <wp:extent cx="785495" cy="564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85495" cy="564515"/>
                    </a:xfrm>
                    <a:prstGeom prst="rect">
                      <a:avLst/>
                    </a:prstGeom>
                    <a:noFill/>
                  </pic:spPr>
                </pic:pic>
              </a:graphicData>
            </a:graphic>
          </wp:anchor>
        </w:drawing>
      </w:r>
    </w:p>
    <w:p>
      <w:pPr>
        <w:spacing w:after="0" w:line="276"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About DuPont Nutrition &amp; Biosciences</w:t>
      </w:r>
    </w:p>
    <w:p>
      <w:pPr>
        <w:spacing w:after="0" w:line="120" w:lineRule="exact"/>
        <w:rPr>
          <w:sz w:val="20"/>
          <w:szCs w:val="20"/>
          <w:color w:val="auto"/>
        </w:rPr>
      </w:pPr>
    </w:p>
    <w:p>
      <w:pPr>
        <w:ind w:left="1880"/>
        <w:spacing w:after="0" w:line="256" w:lineRule="auto"/>
        <w:rPr>
          <w:sz w:val="20"/>
          <w:szCs w:val="20"/>
          <w:color w:val="auto"/>
        </w:rPr>
      </w:pPr>
      <w:r>
        <w:rPr>
          <w:rFonts w:ascii="Arial" w:cs="Arial" w:eastAsia="Arial" w:hAnsi="Arial"/>
          <w:sz w:val="16"/>
          <w:szCs w:val="16"/>
          <w:color w:val="auto"/>
        </w:rPr>
        <w:t xml:space="preserve">DuPont Nutrition &amp; Biosciences applies expert science to advance market-driven, healthy and sustainable solutions for the food, beverage, dietary supplement and pharmaceutical industries. We also use cutting-edge biotechnology across a range of markets to advance bio-based solutions to meet the needs of a growing population, while protecting our environment for future generations. We are innovative solvers who help our customers turn challenges into high-value business opportunities. For more information: </w:t>
      </w:r>
      <w:r>
        <w:rPr>
          <w:rFonts w:ascii="Arial" w:cs="Arial" w:eastAsia="Arial" w:hAnsi="Arial"/>
          <w:sz w:val="16"/>
          <w:szCs w:val="16"/>
          <w:u w:val="single" w:color="auto"/>
          <w:color w:val="auto"/>
        </w:rPr>
        <w:t>www.dupontnutritionandhealth.com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www.biosciences.dupont.com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-548640</wp:posOffset>
            </wp:positionV>
            <wp:extent cx="991870" cy="304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91870" cy="304800"/>
                    </a:xfrm>
                    <a:prstGeom prst="rect">
                      <a:avLst/>
                    </a:prstGeom>
                    <a:noFill/>
                  </pic:spPr>
                </pic:pic>
              </a:graphicData>
            </a:graphic>
          </wp:anchor>
        </w:drawing>
      </w:r>
    </w:p>
    <w:p>
      <w:pPr>
        <w:spacing w:after="0" w:line="276"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20" w:lineRule="exact"/>
        <w:rPr>
          <w:sz w:val="20"/>
          <w:szCs w:val="20"/>
          <w:color w:val="auto"/>
        </w:rPr>
      </w:pPr>
    </w:p>
    <w:p>
      <w:pPr>
        <w:ind w:left="1880"/>
        <w:spacing w:after="0" w:line="269" w:lineRule="auto"/>
        <w:rPr>
          <w:sz w:val="20"/>
          <w:szCs w:val="20"/>
          <w:color w:val="auto"/>
        </w:rPr>
      </w:pPr>
      <w:r>
        <w:rPr>
          <w:rFonts w:ascii="Arial" w:cs="Arial" w:eastAsia="Arial" w:hAnsi="Arial"/>
          <w:sz w:val="15"/>
          <w:szCs w:val="15"/>
          <w:color w:val="auto"/>
        </w:rPr>
        <w:t xml:space="preserve">This communication is not intended to and shall not constitute an offer to sell or the solicitation of an offer to sell or the solicitation of an offer to buy any securities or a solicitation of any vote of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In connection with the proposed combination of Nutrition &amp; Biosciences, Inc. (“N&amp;Bco”), a wholly owned subsidiary of DuPont de Nemours, Inc. (“DuPont”), and International Flavors &amp; Fragrances Inc. (“IFF”), which will immediately follow the proposed separation of N&amp;Bco from DuPont (the “proposed transaction”), N&amp;Bco, IFF, Neptune Merger Sub I Inc. (“Merger Sub I”) and Neptune Merger Sub II LLC (“Merger Sub II”) intend to file relevant materials with the SEC, including a registration statement on Form S-4 that will include a proxy statement/prospectus relating to the proposed transaction. In addition, N&amp;Bco expects to file a registration statement in connection with its separation from DuPont. INVESTORS AND SECURITY HOLDERS ARE URGED TO READ THE REGISTRATION STATEMENTS, PROXY STATEMENT/PROSPECTUS AND ANY OTHER RELEVANT DOCUMENTS WHEN THEY BECOME AVAILABLE BECAUSE THEY WILL CONTAIN IMPORTANT INFORMATION ABOUT IFF, N&amp;BCO, MERGER SUB I, MERGER SUB II AND THE PROPOSED TRANSACTION. A definitive proxy statement will be sent to shareholders of IFF seeking approval of the proposed transaction. The documents relating to the proposed transaction (when they are available) can be obtained free of charge from the SEC’s website at </w:t>
      </w:r>
      <w:r>
        <w:rPr>
          <w:rFonts w:ascii="Arial" w:cs="Arial" w:eastAsia="Arial" w:hAnsi="Arial"/>
          <w:sz w:val="15"/>
          <w:szCs w:val="15"/>
          <w:u w:val="single" w:color="auto"/>
          <w:color w:val="auto"/>
        </w:rPr>
        <w:t>www.sec.gov</w:t>
      </w:r>
      <w:r>
        <w:rPr>
          <w:rFonts w:ascii="Arial" w:cs="Arial" w:eastAsia="Arial" w:hAnsi="Arial"/>
          <w:sz w:val="15"/>
          <w:szCs w:val="15"/>
          <w:color w:val="auto"/>
        </w:rPr>
        <w:t>. Free copies of these documents, once available, and each of the companies’ other filings with the SEC may also be obtained from the respective companies by contacting the investor relations department of DuPont or IFF at the following:</w:t>
      </w:r>
    </w:p>
    <w:p>
      <w:pPr>
        <w:spacing w:after="0" w:line="298"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Cautionary Note on Forward-Looking Statements</w:t>
      </w:r>
    </w:p>
    <w:p>
      <w:pPr>
        <w:spacing w:after="0" w:line="120" w:lineRule="exact"/>
        <w:rPr>
          <w:sz w:val="20"/>
          <w:szCs w:val="20"/>
          <w:color w:val="auto"/>
        </w:rPr>
      </w:pPr>
    </w:p>
    <w:p>
      <w:pPr>
        <w:ind w:left="1880" w:right="480"/>
        <w:spacing w:after="0" w:line="277" w:lineRule="auto"/>
        <w:rPr>
          <w:sz w:val="20"/>
          <w:szCs w:val="20"/>
          <w:color w:val="auto"/>
        </w:rPr>
      </w:pPr>
      <w:r>
        <w:rPr>
          <w:rFonts w:ascii="Arial" w:cs="Arial" w:eastAsia="Arial" w:hAnsi="Arial"/>
          <w:sz w:val="16"/>
          <w:szCs w:val="16"/>
          <w:color w:val="auto"/>
        </w:rPr>
        <w:t>This communication contains “forward-looking statements” within the meaning of the federal securities laws, including Section 27A of the Securities Act, and Section 21E of</w:t>
      </w:r>
    </w:p>
    <w:p>
      <w:pPr>
        <w:sectPr>
          <w:pgSz w:w="11900" w:h="16838" w:orient="portrait"/>
          <w:cols w:equalWidth="0" w:num="1">
            <w:col w:w="9380"/>
          </w:cols>
          <w:pgMar w:left="1440" w:top="255" w:right="1079" w:bottom="1440" w:gutter="0" w:footer="0" w:header="0"/>
        </w:sectPr>
      </w:pPr>
    </w:p>
    <w:bookmarkStart w:id="11" w:name="page12"/>
    <w:bookmarkEnd w:id="11"/>
    <w:p>
      <w:pPr>
        <w:ind w:left="1880"/>
        <w:spacing w:after="0" w:line="28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Securities Exchange Act of 1934, as amended (the “Exchange Act”). In this context, forward-looking statements often address expected future business and financial performance and financial condition, and often contain words such as “expect,” “anticipate,” “intend,” “plan,” “believe,” “seek,” “see,” “will,” “would,” “target,” similar expressions, and variations or negatives of these words. Forward-looking statements by their nature address matters that are, to different degrees, uncertain, such as statements about the proposed transaction, the expected timetable for completing the proposed transaction, the benefits and synergies of the proposed transaction, future opportunities for the combined company and products and any other statements regarding DuPont’s, IFF’s and N&amp;Bco’s future operations, financial or operating results, capital allocation, dividend policy, debt ratio, anticipated business levels, future earnings, planned activities, anticipated growth, market opportunities, strategies, competitions, and other expectations and targets for future periods. There are several factors which could cause actual plans and results to differ materially from those expressed or implied in forward-looking statements. Such factors include, but are not limited to, (1) the parties’ ability to meet expectations regarding the timing, completion and accounting and tax treatments of the proposed transaction, (2) changes in relevant tax and other laws, (3) any failure to obtain necessary regulatory approvals, approval of IFF’s shareholders, anticipated tax treatment or any required financing or to satisfy any of the other conditions to the proposed transaction, (4) the possibility that unforeseen liabilities, future capital expenditures, revenues, expenses, earnings, synergies, economic performance, indebtedness, financial condition, losses, future prospects, business and management strategies that could impact the value, timing or pursuit of the proposed transaction, (5) risks and costs and pursuit and/or implementation of the separation of N&amp;Bco, including timing anticipated to complete the separation, any changes to the configuration of businesses included in the separation if implemented, (6) risks related to indemnification of certain legacy liabilities of E. I. du Pont de Nemours and Company (“Historical EID”) in connection with the distribution of Corteva Inc. on June 1, 2019 (the “Corteva Distribution”), (7) potential liability arising from fraudulent conveyance and similar laws in connection with DuPont’s distribution of Dow Inc. on April 1, 2019 and/or the Corteva Distributions (the “Previous Distributions”), (8) failure to effectively manage acquisitions, divestitures, alliances, joint ventures and other portfolio changes, including meeting conditions under the Letter Agreement entered in connection with the Corteva Distribution, related to the transfer of certain levels of assets and businesses, (9) uncertainty as to the long-term value of DuPont common stock, (10) potential inability or reduced access to the capital markets or increased cost of borrowings, including as a result of a credit rating downgrade, (11) inherent uncertainties involved in the estimates and judgments used in the preparation of financial statements and the providing of estimates of financial measures, in accordance with the accounting principles generally accepted in the United States of America and related standards, or on an adjusted basis, (12) the integration of IFF and its Frutarom business and/or N&amp;Bco being more difficult, time consuming or costly than expected, (13) the failure to achieve expected or targeted future financial and operating performance and results, (14) the possibility that IFF may be unable to achieve expected benefits, synergies and operating efficiencies in connection with the proposed transaction within the expected time frames or at all or to successfully integrate Frutarom and N&amp;Bco, (15) customer loss and business disruption being greater than expected following the proposed transaction, (16) the impact of divestitures required as a condition to consummation of the proposed transaction as well as other conditional commitments, (17) legislative, regulatory and economic developments; (18) an increase or decrease in the anticipated transaction taxes (including due to any changes to tax legislation and its impact on tax rates (and the timing of the effectiveness of any such changes)) to be paid in connection with the separation prior to the closing of the transactions could cause an adjustment to the exchange ratio, (19) potential litigation relating to the proposed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-4089400</wp:posOffset>
            </wp:positionV>
            <wp:extent cx="785495" cy="564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85495" cy="56451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-3387725</wp:posOffset>
            </wp:positionV>
            <wp:extent cx="991870" cy="304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91870" cy="304800"/>
                    </a:xfrm>
                    <a:prstGeom prst="rect">
                      <a:avLst/>
                    </a:prstGeom>
                    <a:noFill/>
                  </pic:spPr>
                </pic:pic>
              </a:graphicData>
            </a:graphic>
          </wp:anchor>
        </w:drawing>
      </w:r>
    </w:p>
    <w:p>
      <w:pPr>
        <w:sectPr>
          <w:pgSz w:w="11900" w:h="16838" w:orient="portrait"/>
          <w:cols w:equalWidth="0" w:num="1">
            <w:col w:w="9400"/>
          </w:cols>
          <w:pgMar w:left="1440" w:top="259" w:right="1059" w:bottom="1440" w:gutter="0" w:footer="0" w:header="0"/>
        </w:sectPr>
      </w:pPr>
    </w:p>
    <w:bookmarkStart w:id="12" w:name="page13"/>
    <w:bookmarkEnd w:id="12"/>
    <w:p>
      <w:pPr>
        <w:ind w:left="1880" w:right="160"/>
        <w:spacing w:after="0" w:line="29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transaction that could be instituted against DuPont, IFF or their respective directors, (20) risks associated with third party contracts containing consent and/or other provisions that may be triggered by the proposed transaction,</w:t>
      </w:r>
    </w:p>
    <w:p>
      <w:pPr>
        <w:spacing w:after="0" w:line="1" w:lineRule="exact"/>
        <w:rPr>
          <w:sz w:val="20"/>
          <w:szCs w:val="20"/>
          <w:color w:val="auto"/>
        </w:rPr>
      </w:pPr>
    </w:p>
    <w:p>
      <w:pPr>
        <w:ind w:left="1880" w:hanging="9"/>
        <w:spacing w:after="0" w:line="287" w:lineRule="auto"/>
        <w:tabs>
          <w:tab w:leader="none" w:pos="2187" w:val="left"/>
        </w:tabs>
        <w:numPr>
          <w:ilvl w:val="0"/>
          <w:numId w:val="8"/>
        </w:numPr>
        <w:rPr>
          <w:rFonts w:ascii="Arial" w:cs="Arial" w:eastAsia="Arial" w:hAnsi="Arial"/>
          <w:sz w:val="14"/>
          <w:szCs w:val="14"/>
          <w:color w:val="auto"/>
        </w:rPr>
      </w:pPr>
      <w:r>
        <w:rPr>
          <w:rFonts w:ascii="Arial" w:cs="Arial" w:eastAsia="Arial" w:hAnsi="Arial"/>
          <w:sz w:val="14"/>
          <w:szCs w:val="14"/>
          <w:color w:val="auto"/>
        </w:rPr>
        <w:t>negative effects of the announcement or the consummation of the transaction on the market price of DuPont’s and/or IFF’s common stock, (22) risks relating to the value of the IFF shares to be issued in the transaction and uncertainty as to the long-term value of IFF’s common stock, (23) risks relating to IFF’s ongoing investigations into improper payments made in Frutarom businesses principally operating in Russia and the Ukraine, including expenses incurred with respect to the investigations, the cost of any remedial measures or compliance programs arising out of the investigations, legal proceedings or government investigations that may arise relating to the subject of IFF’s investigations, and the outcome of any such legal or government investigations, such as the imposition of fines, penalties, orders, or injunctions, (24) the impact of the failure to comply with U.S. or foreign anti-corruption and anti-bribery laws and regulations, including with respect to IFF’s ongoing investigations into improper payments made in Frutarom businesses principally operating in Russia and the Ukraine, (25) the impact of the outcome of legal claims, regulatory investigations and litigation, including any that may arise out of IFF’s ongoing investigations into improper payments made in Frutarom businesses principally operating in Russia and the Ukraine, (26) the ability of N&amp;Bco or IFF to retain and hire key personnel, (27) the risk that N&amp;Bco, as a newly formed entity that currently has no credit rating, will not have access to the capital markets on acceptable terms, (28) the risk that N&amp;Bco and IFF will incur significant indebtedness in connection with the potential transaction, and the degree to which IFF will be leveraged following completion of the potential transaction may materially and adversely affect its business, financial condition and results of operations, (29) the ability to obtain or consummate financing or refinancing related to the transaction upon acceptable terms or at all, and (30) other risks to DuPont’s, N&amp;Bco’s and IFF’s business, operations and results of operations including from: failure to develop and market new products and optimally manage product life cycles; ability, cost and impact on business operations, including the supply chain, of responding to changes in market acceptance, rules, regulations and policies and failure to respond to such changes; outcome of significant litigation, environmental matters and other commitments and contingencies; failure to appropriately manage process safety and product stewardship issues; global economic and capital market conditions, including the continued availability of capital and financing, as well as inflation, interest and currency exchange rates; changes in political conditions, including tariffs, trade disputes and retaliatory actions; impairment of goodwill or intangible assets; the availability of and fluctuations in the cost of energy and raw materials; business or supply disruption, including in connection with the Previous Distributions; security threats, such as acts of sabotage, terrorism or war, natural disasters and weather events and patterns which could result in a significant operational event for DuPont, N&amp;Bco or IFF, adversely impact demand or production; ability to discover, develop and protect new technologies and to protect and enforce DuPont’s, N&amp;Bco’s or IFF’s intellectual property rights; unpredictability and severity of catastrophic events, including, but not limited to, acts of terrorism or outbreak of war or hostilities, as well as management’s response to any of the aforementioned factors. These risks, as well as other risks associated with the proposed merger, will be more fully discussed in the registration statement and merger proxy on Form S-4 to be filed by IFF and the registration statement on Form 10 to be filed by N&amp;Bco. While the list of factors presented here is, and the list of factors to be presented in any registration statement filed in connection with the transaction are, considered representative, no such list should be considered to be a complete statement of all potential risks and uncertainties. Unlisted factors may present significant additional obstacles to the realization of forward looking statements. Further lists and descriptions of risks and uncertainties can be found in each of IFF’s and DuPont’s Form 10-Q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-4080510</wp:posOffset>
            </wp:positionV>
            <wp:extent cx="785495" cy="564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85495" cy="56451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-3378200</wp:posOffset>
            </wp:positionV>
            <wp:extent cx="991870" cy="304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91870" cy="304800"/>
                    </a:xfrm>
                    <a:prstGeom prst="rect">
                      <a:avLst/>
                    </a:prstGeom>
                    <a:noFill/>
                  </pic:spPr>
                </pic:pic>
              </a:graphicData>
            </a:graphic>
          </wp:anchor>
        </w:drawing>
      </w:r>
    </w:p>
    <w:p>
      <w:pPr>
        <w:sectPr>
          <w:pgSz w:w="11900" w:h="16838" w:orient="portrait"/>
          <w:cols w:equalWidth="0" w:num="1">
            <w:col w:w="9420"/>
          </w:cols>
          <w:pgMar w:left="1440" w:top="259" w:right="1039" w:bottom="1440" w:gutter="0" w:footer="0" w:header="0"/>
        </w:sectPr>
      </w:pPr>
    </w:p>
    <w:bookmarkStart w:id="13" w:name="page14"/>
    <w:bookmarkEnd w:id="13"/>
    <w:p>
      <w:pPr>
        <w:ind w:left="1880"/>
        <w:spacing w:after="0" w:line="29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period ended September 30, 2019 and each of IFF’s and DuPont’s respective subsequent reports on Form 10-Q, Form 10-K and Form 8-K, the contents of which are not incorporated by reference into, nor do they form part of, this announcement. Any other risks associated with the proposed transaction will be more fully discussed in any registration statement filed with the SEC. While the list of factors presented here is, and the list of factors that may be presented in a registration statement of IFF or N&amp;Bco would be, considered representative, no such list should be considered to be a complete statement of all potential risks and uncertainties. Unlisted factors may present significant additional obstacles to the realization of forward 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IFF’s, DuPont’s or N&amp;Bco’s consolidated financial condition, results of operations, credit rating or liquidity. None of IFF, DuPont nor N&amp;Bco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-916305</wp:posOffset>
            </wp:positionV>
            <wp:extent cx="785495" cy="564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85495" cy="56451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-214630</wp:posOffset>
            </wp:positionV>
            <wp:extent cx="991870" cy="304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91870" cy="304800"/>
                    </a:xfrm>
                    <a:prstGeom prst="rect">
                      <a:avLst/>
                    </a:prstGeom>
                    <a:noFill/>
                  </pic:spPr>
                </pic:pic>
              </a:graphicData>
            </a:graphic>
          </wp:anchor>
        </w:drawing>
      </w:r>
    </w:p>
    <w:p>
      <w:pPr>
        <w:spacing w:after="0" w:line="261"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Participants in the Solicitation</w:t>
      </w:r>
    </w:p>
    <w:p>
      <w:pPr>
        <w:spacing w:after="0" w:line="120" w:lineRule="exact"/>
        <w:rPr>
          <w:sz w:val="20"/>
          <w:szCs w:val="20"/>
          <w:color w:val="auto"/>
        </w:rPr>
      </w:pPr>
    </w:p>
    <w:p>
      <w:pPr>
        <w:ind w:left="1880" w:right="20"/>
        <w:spacing w:after="0" w:line="294" w:lineRule="auto"/>
        <w:rPr>
          <w:sz w:val="20"/>
          <w:szCs w:val="20"/>
          <w:color w:val="auto"/>
        </w:rPr>
      </w:pPr>
      <w:r>
        <w:rPr>
          <w:rFonts w:ascii="Arial" w:cs="Arial" w:eastAsia="Arial" w:hAnsi="Arial"/>
          <w:sz w:val="14"/>
          <w:szCs w:val="14"/>
          <w:color w:val="auto"/>
        </w:rPr>
        <w:t>This communication is not a solicitation of a proxy from any investor or security holder. However, DuPont, IFF and certain of their respective directors and executive officers may be deemed to be participants in the solicitation of proxies in connection with the proposed transaction under the rules of the SEC. Information about the directors and executive officers of DuPont may be found in its Annual Report on Form 10-K filed with the SEC on February 11, 2019 and its definitive proxy statement filed with the SEC on May 1, 2019. Information about the directors and executive officers of IFF may be found in its definitive proxy statement filed with the SEC on March 18, 2019. Other information regarding the participants in the proxy solicitation and a description of their direct and indirect interests, by security holdings or otherwise, will be contained in the registration statements, prospectuses and proxy statement and other relevant materials to be filed with the SEC when they become available.</w:t>
      </w:r>
    </w:p>
    <w:p>
      <w:pPr>
        <w:sectPr>
          <w:pgSz w:w="11900" w:h="16838" w:orient="portrait"/>
          <w:cols w:equalWidth="0" w:num="1">
            <w:col w:w="9400"/>
          </w:cols>
          <w:pgMar w:left="1440" w:top="259" w:right="1059" w:bottom="1440" w:gutter="0" w:footer="0" w:header="0"/>
        </w:sectPr>
      </w:pPr>
    </w:p>
    <w:bookmarkStart w:id="14" w:name="page15"/>
    <w:bookmarkEnd w:id="14"/>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ind w:left="896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99.3</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Alexandria Clements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Abernathy Macgregor</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121619</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Alexandria Clements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Abernathy Macgregor</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12/16/19</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8:00 am ET</w:t>
      </w:r>
    </w:p>
    <w:p>
      <w:pPr>
        <w:sectPr>
          <w:pgSz w:w="11900" w:h="16838" w:orient="portrait"/>
          <w:cols w:equalWidth="0" w:num="1">
            <w:col w:w="9800"/>
          </w:cols>
          <w:pgMar w:left="1060" w:top="255" w:right="10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Moderator: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Welcome to today’s conference call to discuss the combination of IFF to combine with DuPont Nutrition and Biosciences. At this time, all participants are on a listen-only mode. Later, you will have the opportunity to ask questions during the question and answer session. You may register to ask a question any time by pressing the *1 on your touchtone phone. You may withdraw yourself from the queue by pressing the # key. Please note this call may be recorded. At this time, I would like to turn the call over to Michael Deveau, head of Investor Relations at IFF. Please go ahead.</w:t>
      </w:r>
    </w:p>
    <w:p>
      <w:pPr>
        <w:spacing w:after="0" w:line="80" w:lineRule="exact"/>
        <w:rPr>
          <w:sz w:val="20"/>
          <w:szCs w:val="20"/>
          <w:color w:val="auto"/>
        </w:rPr>
      </w:pPr>
    </w:p>
    <w:p>
      <w:pPr>
        <w:sectPr>
          <w:pgSz w:w="11900" w:h="16838" w:orient="portrait"/>
          <w:cols w:equalWidth="0" w:num="2">
            <w:col w:w="1320" w:space="720"/>
            <w:col w:w="7760"/>
          </w:cols>
          <w:pgMar w:left="1060" w:top="255"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Michael Deveau:</w:t>
      </w:r>
    </w:p>
    <w:p>
      <w:pPr>
        <w:spacing w:after="0" w:line="20" w:lineRule="exact"/>
        <w:rPr>
          <w:sz w:val="20"/>
          <w:szCs w:val="20"/>
          <w:color w:val="auto"/>
        </w:rPr>
      </w:pPr>
      <w:r>
        <w:rPr>
          <w:sz w:val="20"/>
          <w:szCs w:val="20"/>
          <w:color w:val="auto"/>
        </w:rPr>
        <w:br w:type="column"/>
      </w:r>
    </w:p>
    <w:p>
      <w:pPr>
        <w:ind w:right="160"/>
        <w:spacing w:after="0" w:line="282" w:lineRule="auto"/>
        <w:rPr>
          <w:sz w:val="20"/>
          <w:szCs w:val="20"/>
          <w:color w:val="auto"/>
        </w:rPr>
      </w:pPr>
      <w:r>
        <w:rPr>
          <w:rFonts w:ascii="Arial" w:cs="Arial" w:eastAsia="Arial" w:hAnsi="Arial"/>
          <w:sz w:val="15"/>
          <w:szCs w:val="15"/>
          <w:color w:val="auto"/>
        </w:rPr>
        <w:t>Thank you. Good morning, good afternoon, and good evening everyone. Thank you for joining our call to discuss the combination of IFF and DuPont’s Nutrition and Bioscience business. As a reminder, this call is being recorded and the press release and slide presentation regarding today’s news are available on the IR section of IFF and DuPont’s respective websites, as well as our transaction website: www.strongerinnovationtogether.com.</w:t>
      </w:r>
    </w:p>
    <w:p>
      <w:pPr>
        <w:spacing w:after="0" w:line="66" w:lineRule="exact"/>
        <w:rPr>
          <w:sz w:val="20"/>
          <w:szCs w:val="20"/>
          <w:color w:val="auto"/>
        </w:rPr>
      </w:pPr>
    </w:p>
    <w:p>
      <w:pPr>
        <w:sectPr>
          <w:pgSz w:w="11900" w:h="16838" w:orient="portrait"/>
          <w:cols w:equalWidth="0" w:num="2">
            <w:col w:w="1320" w:space="720"/>
            <w:col w:w="7760"/>
          </w:cols>
          <w:pgMar w:left="1060" w:top="255" w:right="1039" w:bottom="1440" w:gutter="0" w:footer="0" w:header="0"/>
          <w:type w:val="continuous"/>
        </w:sectPr>
      </w:pPr>
    </w:p>
    <w:p>
      <w:pPr>
        <w:ind w:left="2040" w:right="40"/>
        <w:spacing w:after="0" w:line="282" w:lineRule="auto"/>
        <w:rPr>
          <w:sz w:val="20"/>
          <w:szCs w:val="20"/>
          <w:color w:val="auto"/>
        </w:rPr>
      </w:pPr>
      <w:r>
        <w:rPr>
          <w:rFonts w:ascii="Arial" w:cs="Arial" w:eastAsia="Arial" w:hAnsi="Arial"/>
          <w:sz w:val="15"/>
          <w:szCs w:val="15"/>
          <w:color w:val="auto"/>
        </w:rPr>
        <w:t>Today’s presentation will include non-GAAP financial measures, which exclude those items that we believe affect comparability. A reconciliation of these non-GAAP financial measures to their respective GAAP measures is set forth in our press release that we issued today and is on our website. I would like to remind everyone that all statements made during the call that relate to future results and events, including the proposed</w:t>
      </w:r>
    </w:p>
    <w:p>
      <w:pPr>
        <w:sectPr>
          <w:pgSz w:w="11900" w:h="16838" w:orient="portrait"/>
          <w:cols w:equalWidth="0" w:num="1">
            <w:col w:w="9800"/>
          </w:cols>
          <w:pgMar w:left="1060" w:top="255" w:right="10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Alexandria Clements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Abernathy Macgregor</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w:t>
      </w:r>
    </w:p>
    <w:p>
      <w:pPr>
        <w:spacing w:after="0" w:line="128" w:lineRule="exact"/>
        <w:rPr>
          <w:sz w:val="20"/>
          <w:szCs w:val="20"/>
          <w:color w:val="auto"/>
        </w:rPr>
      </w:pPr>
    </w:p>
    <w:p>
      <w:pPr>
        <w:jc w:val="both"/>
        <w:ind w:left="2040" w:right="20"/>
        <w:spacing w:after="0" w:line="289" w:lineRule="auto"/>
        <w:rPr>
          <w:sz w:val="20"/>
          <w:szCs w:val="20"/>
          <w:color w:val="auto"/>
        </w:rPr>
      </w:pPr>
      <w:r>
        <w:rPr>
          <w:rFonts w:ascii="Arial" w:cs="Arial" w:eastAsia="Arial" w:hAnsi="Arial"/>
          <w:sz w:val="15"/>
          <w:szCs w:val="15"/>
          <w:color w:val="auto"/>
        </w:rPr>
        <w:t>transactions are forward-looking statements and are based on current expectations. Actual results and events could differ materially from those discussed here. Please refer to the information on the disclaimer slides in the presentation, as well as the additional information contained in the regulatory filings for both companies.</w:t>
      </w:r>
    </w:p>
    <w:p>
      <w:pPr>
        <w:spacing w:after="0" w:line="62" w:lineRule="exact"/>
        <w:rPr>
          <w:sz w:val="20"/>
          <w:szCs w:val="20"/>
          <w:color w:val="auto"/>
        </w:rPr>
      </w:pPr>
    </w:p>
    <w:p>
      <w:pPr>
        <w:ind w:left="2040" w:right="40"/>
        <w:spacing w:after="0" w:line="264" w:lineRule="auto"/>
        <w:rPr>
          <w:sz w:val="20"/>
          <w:szCs w:val="20"/>
          <w:color w:val="auto"/>
        </w:rPr>
      </w:pPr>
      <w:r>
        <w:rPr>
          <w:rFonts w:ascii="Arial" w:cs="Arial" w:eastAsia="Arial" w:hAnsi="Arial"/>
          <w:sz w:val="16"/>
          <w:szCs w:val="16"/>
          <w:color w:val="auto"/>
        </w:rPr>
        <w:t>Presenting on the call today will be: Andreas Fibig, IFF’s Chairman and CEO; Ed Breen, Executive Chairman of DuPont; Matthias Heinzel, President of DuPont’s Nutrition and Bioscience business; and Rich O’Leary, IFF’s Executive Vice President and CFO. With that, I would now like to introduce Andreas.</w:t>
      </w:r>
    </w:p>
    <w:p>
      <w:pPr>
        <w:spacing w:after="0" w:line="74" w:lineRule="exact"/>
        <w:rPr>
          <w:sz w:val="20"/>
          <w:szCs w:val="20"/>
          <w:color w:val="auto"/>
        </w:rPr>
      </w:pPr>
    </w:p>
    <w:p>
      <w:pPr>
        <w:ind w:left="2040" w:right="480" w:hanging="2052"/>
        <w:spacing w:after="0" w:line="319" w:lineRule="auto"/>
        <w:tabs>
          <w:tab w:leader="none" w:pos="2020" w:val="left"/>
        </w:tabs>
        <w:rPr>
          <w:sz w:val="20"/>
          <w:szCs w:val="20"/>
          <w:color w:val="auto"/>
        </w:rPr>
      </w:pPr>
      <w:r>
        <w:rPr>
          <w:rFonts w:ascii="Arial" w:cs="Arial" w:eastAsia="Arial" w:hAnsi="Arial"/>
          <w:sz w:val="16"/>
          <w:szCs w:val="16"/>
          <w:b w:val="1"/>
          <w:bCs w:val="1"/>
          <w:color w:val="auto"/>
        </w:rPr>
        <w:t>Andreas Fibig:</w:t>
      </w:r>
      <w:r>
        <w:rPr>
          <w:sz w:val="20"/>
          <w:szCs w:val="20"/>
          <w:color w:val="auto"/>
        </w:rPr>
        <w:tab/>
      </w:r>
      <w:r>
        <w:rPr>
          <w:rFonts w:ascii="Arial" w:cs="Arial" w:eastAsia="Arial" w:hAnsi="Arial"/>
          <w:sz w:val="14"/>
          <w:szCs w:val="14"/>
          <w:color w:val="auto"/>
        </w:rPr>
        <w:t>Thank you Mike. Today is an extraordinary day for both IFF and DuPont’s Nutrition and Bioscience business and represents a pivotal moment in IFF’s strategic journey to create a new global leader in providing differentiated, integrated solutions to the food and beverage, health and wellness, and home and personal care markets.</w:t>
      </w:r>
    </w:p>
    <w:p>
      <w:pPr>
        <w:spacing w:after="0" w:line="47" w:lineRule="exact"/>
        <w:rPr>
          <w:sz w:val="20"/>
          <w:szCs w:val="20"/>
          <w:color w:val="auto"/>
        </w:rPr>
      </w:pPr>
    </w:p>
    <w:p>
      <w:pPr>
        <w:ind w:left="2040" w:right="140"/>
        <w:spacing w:after="0" w:line="259" w:lineRule="auto"/>
        <w:rPr>
          <w:sz w:val="20"/>
          <w:szCs w:val="20"/>
          <w:color w:val="auto"/>
        </w:rPr>
      </w:pPr>
      <w:r>
        <w:rPr>
          <w:rFonts w:ascii="Arial" w:cs="Arial" w:eastAsia="Arial" w:hAnsi="Arial"/>
          <w:sz w:val="16"/>
          <w:szCs w:val="16"/>
          <w:color w:val="auto"/>
        </w:rPr>
        <w:t>We are extremely excited to combine the two customer-focused and consumer driven organizations with leading positions in high value categories. Together, we will have among the industry’s most robust and diverse set of products to deliver the innovation and growth to our customer’s demand and capitalize on increasing consumer demand for healthier, more natural ingredients and solutions.</w:t>
      </w:r>
    </w:p>
    <w:p>
      <w:pPr>
        <w:spacing w:after="0" w:line="83" w:lineRule="exact"/>
        <w:rPr>
          <w:sz w:val="20"/>
          <w:szCs w:val="20"/>
          <w:color w:val="auto"/>
        </w:rPr>
      </w:pPr>
    </w:p>
    <w:p>
      <w:pPr>
        <w:jc w:val="both"/>
        <w:ind w:left="2040" w:right="200"/>
        <w:spacing w:after="0" w:line="264" w:lineRule="auto"/>
        <w:rPr>
          <w:sz w:val="20"/>
          <w:szCs w:val="20"/>
          <w:color w:val="auto"/>
        </w:rPr>
      </w:pPr>
      <w:r>
        <w:rPr>
          <w:rFonts w:ascii="Arial" w:cs="Arial" w:eastAsia="Arial" w:hAnsi="Arial"/>
          <w:sz w:val="16"/>
          <w:szCs w:val="16"/>
          <w:color w:val="auto"/>
        </w:rPr>
        <w:t>I will take you through the highly compelling value we believe this combination will deliver to our business, our team and our shareholders, as well as the transaction terms that will outline the immediate value equation opportunities this powerful combination provides for DuPont’s</w:t>
      </w:r>
    </w:p>
    <w:p>
      <w:pPr>
        <w:sectPr>
          <w:pgSz w:w="11900" w:h="16838" w:orient="portrait"/>
          <w:cols w:equalWidth="0" w:num="1">
            <w:col w:w="9800"/>
          </w:cols>
          <w:pgMar w:left="1060" w:top="259" w:right="10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Alexandria Clements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Abernathy Macgregor</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3</w:t>
      </w:r>
    </w:p>
    <w:p>
      <w:pPr>
        <w:spacing w:after="0" w:line="128" w:lineRule="exact"/>
        <w:rPr>
          <w:sz w:val="20"/>
          <w:szCs w:val="20"/>
          <w:color w:val="auto"/>
        </w:rPr>
      </w:pPr>
    </w:p>
    <w:p>
      <w:pPr>
        <w:jc w:val="both"/>
        <w:ind w:left="1660" w:right="80"/>
        <w:spacing w:after="0" w:line="264" w:lineRule="auto"/>
        <w:rPr>
          <w:sz w:val="20"/>
          <w:szCs w:val="20"/>
          <w:color w:val="auto"/>
        </w:rPr>
      </w:pPr>
      <w:r>
        <w:rPr>
          <w:rFonts w:ascii="Arial" w:cs="Arial" w:eastAsia="Arial" w:hAnsi="Arial"/>
          <w:sz w:val="16"/>
          <w:szCs w:val="16"/>
          <w:color w:val="auto"/>
        </w:rPr>
        <w:t>shareholders and Matthias will talk through an overview of the N&amp;B business. Rich will cover the financial outlook for the combined business and I will go through it by diving into our integration planning and how we will bring this vision to life.</w:t>
      </w:r>
    </w:p>
    <w:p>
      <w:pPr>
        <w:spacing w:after="0" w:line="78" w:lineRule="exact"/>
        <w:rPr>
          <w:sz w:val="20"/>
          <w:szCs w:val="20"/>
          <w:color w:val="auto"/>
        </w:rPr>
      </w:pPr>
    </w:p>
    <w:p>
      <w:pPr>
        <w:ind w:left="1660" w:right="60"/>
        <w:spacing w:after="0" w:line="319" w:lineRule="auto"/>
        <w:rPr>
          <w:sz w:val="20"/>
          <w:szCs w:val="20"/>
          <w:color w:val="auto"/>
        </w:rPr>
      </w:pPr>
      <w:r>
        <w:rPr>
          <w:rFonts w:ascii="Arial" w:cs="Arial" w:eastAsia="Arial" w:hAnsi="Arial"/>
          <w:sz w:val="14"/>
          <w:szCs w:val="14"/>
          <w:color w:val="auto"/>
        </w:rPr>
        <w:t>Starting with slide 5. This combination is a true partnership of equals and has been unanimously approved by the boards of directors of IFF and DuPont. The transaction value values the N&amp;B business at approximately $26.2 billion and the combined company at $45.4 billion on an enterprise value basis, based on IFF’s share price as of December 13, 2019.</w:t>
      </w:r>
    </w:p>
    <w:p>
      <w:pPr>
        <w:spacing w:after="0" w:line="43" w:lineRule="exact"/>
        <w:rPr>
          <w:sz w:val="20"/>
          <w:szCs w:val="20"/>
          <w:color w:val="auto"/>
        </w:rPr>
      </w:pPr>
    </w:p>
    <w:p>
      <w:pPr>
        <w:ind w:left="1660" w:right="40"/>
        <w:spacing w:after="0" w:line="302" w:lineRule="auto"/>
        <w:rPr>
          <w:sz w:val="20"/>
          <w:szCs w:val="20"/>
          <w:color w:val="auto"/>
        </w:rPr>
      </w:pPr>
      <w:r>
        <w:rPr>
          <w:rFonts w:ascii="Arial" w:cs="Arial" w:eastAsia="Arial" w:hAnsi="Arial"/>
          <w:sz w:val="14"/>
          <w:szCs w:val="14"/>
          <w:color w:val="auto"/>
        </w:rPr>
        <w:t>Another term of the agreement, DuPont will receive a one-time $7.3 billion special cash payment subject to certain adjustments and DuPont’s shareholders will own 55.4% of the shares of the combined company. IFF’s shareholders will own 44.6% of the combined company. Once the transaction closes, I am pleased to say that I will be Chairman and CEO of the combined company. DuPont’s Executive Chairman, Ed Breen, will join the board as the DuPont appointee and become our Lead Independent Director in June of 2021. He will play a key role in integrating the businesses.</w:t>
      </w:r>
    </w:p>
    <w:p>
      <w:pPr>
        <w:spacing w:after="0" w:line="56" w:lineRule="exact"/>
        <w:rPr>
          <w:sz w:val="20"/>
          <w:szCs w:val="20"/>
          <w:color w:val="auto"/>
        </w:rPr>
      </w:pPr>
    </w:p>
    <w:p>
      <w:pPr>
        <w:ind w:left="1660" w:right="300"/>
        <w:spacing w:after="0" w:line="264" w:lineRule="auto"/>
        <w:rPr>
          <w:sz w:val="20"/>
          <w:szCs w:val="20"/>
          <w:color w:val="auto"/>
        </w:rPr>
      </w:pPr>
      <w:r>
        <w:rPr>
          <w:rFonts w:ascii="Arial" w:cs="Arial" w:eastAsia="Arial" w:hAnsi="Arial"/>
          <w:sz w:val="16"/>
          <w:szCs w:val="16"/>
          <w:color w:val="auto"/>
        </w:rPr>
        <w:t>Moving to slide 6. This is a truly powerful combination. Consumer demands are shifting towards natural, health and wellness products and the combination of IFF and N&amp;B will be among the only industry players able to lead and accelerate these trends. A key early move advantage.</w:t>
      </w:r>
    </w:p>
    <w:p>
      <w:pPr>
        <w:spacing w:after="0" w:line="78" w:lineRule="exact"/>
        <w:rPr>
          <w:sz w:val="20"/>
          <w:szCs w:val="20"/>
          <w:color w:val="auto"/>
        </w:rPr>
      </w:pPr>
    </w:p>
    <w:p>
      <w:pPr>
        <w:ind w:left="1660" w:right="20"/>
        <w:spacing w:after="0" w:line="277" w:lineRule="auto"/>
        <w:rPr>
          <w:sz w:val="20"/>
          <w:szCs w:val="20"/>
          <w:color w:val="auto"/>
        </w:rPr>
      </w:pPr>
      <w:r>
        <w:rPr>
          <w:rFonts w:ascii="Arial" w:cs="Arial" w:eastAsia="Arial" w:hAnsi="Arial"/>
          <w:sz w:val="16"/>
          <w:szCs w:val="16"/>
          <w:color w:val="auto"/>
        </w:rPr>
        <w:t>IFF’s leadership and natural solutions and N&amp;B’s leadership in clean label including cultures, enzymes, and soy proteins will be a vital component in the creating ingredients that meet consumer needs for better-for-you</w:t>
      </w:r>
    </w:p>
    <w:p>
      <w:pPr>
        <w:sectPr>
          <w:pgSz w:w="11900" w:h="16838" w:orient="portrait"/>
          <w:cols w:equalWidth="0" w:num="1">
            <w:col w:w="9420"/>
          </w:cols>
          <w:pgMar w:left="1440" w:top="259" w:right="10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Alexandria Clements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Abernathy Macgregor</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4</w:t>
      </w:r>
    </w:p>
    <w:p>
      <w:pPr>
        <w:spacing w:after="0" w:line="128" w:lineRule="exact"/>
        <w:rPr>
          <w:sz w:val="20"/>
          <w:szCs w:val="20"/>
          <w:color w:val="auto"/>
        </w:rPr>
      </w:pPr>
    </w:p>
    <w:p>
      <w:pPr>
        <w:ind w:left="2040" w:right="40"/>
        <w:spacing w:after="0" w:line="259" w:lineRule="auto"/>
        <w:rPr>
          <w:sz w:val="20"/>
          <w:szCs w:val="20"/>
          <w:color w:val="auto"/>
        </w:rPr>
      </w:pPr>
      <w:r>
        <w:rPr>
          <w:rFonts w:ascii="Arial" w:cs="Arial" w:eastAsia="Arial" w:hAnsi="Arial"/>
          <w:sz w:val="16"/>
          <w:szCs w:val="16"/>
          <w:color w:val="auto"/>
        </w:rPr>
        <w:t>products. This is not about scale. This is about first move advantage. To redefine our industry and deliver what our customers demand. Our complementary product portfolio will be among the most balanced in the industry. Together, we will have one or two positions in high value, most in-demand ingredient categories across our shared markets of food and beverage, health and wellness and home and personal care.</w:t>
      </w:r>
    </w:p>
    <w:p>
      <w:pPr>
        <w:spacing w:after="0" w:line="83" w:lineRule="exact"/>
        <w:rPr>
          <w:sz w:val="20"/>
          <w:szCs w:val="20"/>
          <w:color w:val="auto"/>
        </w:rPr>
      </w:pPr>
    </w:p>
    <w:p>
      <w:pPr>
        <w:ind w:left="2040" w:right="20"/>
        <w:spacing w:after="0" w:line="256" w:lineRule="auto"/>
        <w:rPr>
          <w:sz w:val="20"/>
          <w:szCs w:val="20"/>
          <w:color w:val="auto"/>
        </w:rPr>
      </w:pPr>
      <w:r>
        <w:rPr>
          <w:rFonts w:ascii="Arial" w:cs="Arial" w:eastAsia="Arial" w:hAnsi="Arial"/>
          <w:sz w:val="16"/>
          <w:szCs w:val="16"/>
          <w:color w:val="auto"/>
        </w:rPr>
        <w:t>Our team of more than 20,000 strong will have cutting edge innovation and powerful R&amp;D and application development capabilities to create industry-leading solutions for our customers. This is a category redefining opportunity for IFF and N&amp;B for our shareholders and our global teams. We will expand our region to 40,000 customers worldwide with a differentiated set of solutions to better serve both large multinationals and fast-growing small and medium size customers. By meeting our customer demands, we will be an invaluable partner to them and in turn generate strong financial returns for our shareholders.</w:t>
      </w:r>
    </w:p>
    <w:p>
      <w:pPr>
        <w:spacing w:after="0" w:line="84" w:lineRule="exact"/>
        <w:rPr>
          <w:sz w:val="20"/>
          <w:szCs w:val="20"/>
          <w:color w:val="auto"/>
        </w:rPr>
      </w:pPr>
    </w:p>
    <w:p>
      <w:pPr>
        <w:ind w:left="2040" w:right="60"/>
        <w:spacing w:after="0" w:line="259" w:lineRule="auto"/>
        <w:rPr>
          <w:sz w:val="20"/>
          <w:szCs w:val="20"/>
          <w:color w:val="auto"/>
        </w:rPr>
      </w:pPr>
      <w:r>
        <w:rPr>
          <w:rFonts w:ascii="Arial" w:cs="Arial" w:eastAsia="Arial" w:hAnsi="Arial"/>
          <w:sz w:val="16"/>
          <w:szCs w:val="16"/>
          <w:color w:val="auto"/>
        </w:rPr>
        <w:t>Slide 7 outlines the compelling financial profile of the combined business with strong margins and prospects for enhanced growth and margin extension. On a pro forma basis, we estimate combined 2019 revenues to be greater than $11 billion and EBITDA to be $2.6 billion US, and we are targeting an adjusted EBITDA margin of approximately 23% pre-synergies and approximately 26% as we capture our cost synergies.</w:t>
      </w:r>
    </w:p>
    <w:p>
      <w:pPr>
        <w:spacing w:after="0" w:line="83"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I would like now to turn it over to Ed to say a few words.</w:t>
      </w:r>
    </w:p>
    <w:p>
      <w:pPr>
        <w:sectPr>
          <w:pgSz w:w="11900" w:h="16838" w:orient="portrait"/>
          <w:cols w:equalWidth="0" w:num="1">
            <w:col w:w="9800"/>
          </w:cols>
          <w:pgMar w:left="1060" w:top="259" w:right="103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Great. Thanks, Andreas. Turning to Slide 8, I’m very pleased to be here today to announce the combination of these two strong businesses. We are creating an industry leader with the combined R&amp;D engine, product</w:t>
      </w:r>
    </w:p>
    <w:p>
      <w:pPr>
        <w:sectPr>
          <w:pgSz w:w="11900" w:h="16838" w:orient="portrait"/>
          <w:cols w:equalWidth="0" w:num="2">
            <w:col w:w="1320" w:space="720"/>
            <w:col w:w="7760"/>
          </w:cols>
          <w:pgMar w:left="1060" w:top="259" w:right="103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Alexandria Clements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Abernathy Macgregor</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5</w:t>
      </w:r>
    </w:p>
    <w:p>
      <w:pPr>
        <w:spacing w:after="0" w:line="128" w:lineRule="exact"/>
        <w:rPr>
          <w:sz w:val="20"/>
          <w:szCs w:val="20"/>
          <w:color w:val="auto"/>
        </w:rPr>
      </w:pPr>
    </w:p>
    <w:p>
      <w:pPr>
        <w:ind w:left="1660" w:right="100"/>
        <w:spacing w:after="0" w:line="256" w:lineRule="auto"/>
        <w:rPr>
          <w:sz w:val="20"/>
          <w:szCs w:val="20"/>
          <w:color w:val="auto"/>
        </w:rPr>
      </w:pPr>
      <w:r>
        <w:rPr>
          <w:rFonts w:ascii="Arial" w:cs="Arial" w:eastAsia="Arial" w:hAnsi="Arial"/>
          <w:sz w:val="16"/>
          <w:szCs w:val="16"/>
          <w:color w:val="auto"/>
        </w:rPr>
        <w:t>portfolio and common cultures to deliver the natural, healthy, sustainable solutions customers increasingly demand. We all know how the food, beverage, health and wellness and personal and homecare industries are evolving. We’ve seen the pace of change, the growing consumer expectation for products across the range of industries we serve that are healthier, naturally sourced and more sustainable. Together, we will be able to deliver the solutions that enable these products faster, better and more efficiently than anyone in the industry, and we’ll be able to quickly penetrate a larger segment of each market than any of our competitors.</w:t>
      </w:r>
    </w:p>
    <w:p>
      <w:pPr>
        <w:spacing w:after="0" w:line="192" w:lineRule="exact"/>
        <w:rPr>
          <w:sz w:val="20"/>
          <w:szCs w:val="20"/>
          <w:color w:val="auto"/>
        </w:rPr>
      </w:pPr>
    </w:p>
    <w:p>
      <w:pPr>
        <w:ind w:left="1660" w:right="80"/>
        <w:spacing w:after="0" w:line="255" w:lineRule="auto"/>
        <w:rPr>
          <w:sz w:val="20"/>
          <w:szCs w:val="20"/>
          <w:color w:val="auto"/>
        </w:rPr>
      </w:pPr>
      <w:r>
        <w:rPr>
          <w:rFonts w:ascii="Arial" w:cs="Arial" w:eastAsia="Arial" w:hAnsi="Arial"/>
          <w:sz w:val="16"/>
          <w:szCs w:val="16"/>
          <w:color w:val="auto"/>
        </w:rPr>
        <w:t>N&amp;B is a special business and our team has built incredible value, so we conducted a thorough process to find the right partner to advance that progress. IFF is the best partner in every respect. The transaction is truly a win-win. It creates growth opportunities that will benefit all stakeholders of both companies and it creates attractive value for shareholders over the short, medium and long-term. The transaction, as Andreas said, values N&amp;B at $26.2 billion, and most importantly, it is tax-efficient for our shareholders. It unlocks value that we could not have realized in the context of our other DuPont businesses. We will deliver approximately $300 million in cost synergies and about $400 million in growth synergies on a run-rate basis.</w:t>
      </w:r>
    </w:p>
    <w:p>
      <w:pPr>
        <w:spacing w:after="0" w:line="85" w:lineRule="exact"/>
        <w:rPr>
          <w:sz w:val="20"/>
          <w:szCs w:val="20"/>
          <w:color w:val="auto"/>
        </w:rPr>
      </w:pPr>
    </w:p>
    <w:p>
      <w:pPr>
        <w:ind w:left="1660" w:right="120"/>
        <w:spacing w:after="0" w:line="257" w:lineRule="auto"/>
        <w:rPr>
          <w:sz w:val="20"/>
          <w:szCs w:val="20"/>
          <w:color w:val="auto"/>
        </w:rPr>
      </w:pPr>
      <w:r>
        <w:rPr>
          <w:rFonts w:ascii="Arial" w:cs="Arial" w:eastAsia="Arial" w:hAnsi="Arial"/>
          <w:sz w:val="16"/>
          <w:szCs w:val="16"/>
          <w:color w:val="auto"/>
        </w:rPr>
        <w:t>We have learned over the past couple months that our management teams and cultures see the business and the opportunity very similarly, so it makes sense that we will also have a balanced board and we have a highly experienced leadership team with representation from both companies. I am personally looking forward to serving as lead independent director and to working closely with Andreas as Chairman and CEO as we help the team drive the integration process.</w:t>
      </w:r>
    </w:p>
    <w:p>
      <w:pPr>
        <w:sectPr>
          <w:pgSz w:w="11900" w:h="16838" w:orient="portrait"/>
          <w:cols w:equalWidth="0" w:num="1">
            <w:col w:w="9420"/>
          </w:cols>
          <w:pgMar w:left="1440" w:top="259" w:right="10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Alexandria Clements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Abernathy Macgregor</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6</w:t>
      </w:r>
    </w:p>
    <w:p>
      <w:pPr>
        <w:spacing w:after="0" w:line="128" w:lineRule="exact"/>
        <w:rPr>
          <w:sz w:val="20"/>
          <w:szCs w:val="20"/>
          <w:color w:val="auto"/>
        </w:rPr>
      </w:pPr>
    </w:p>
    <w:p>
      <w:pPr>
        <w:ind w:left="2040" w:right="40"/>
        <w:spacing w:after="0" w:line="308" w:lineRule="auto"/>
        <w:rPr>
          <w:sz w:val="20"/>
          <w:szCs w:val="20"/>
          <w:color w:val="auto"/>
        </w:rPr>
      </w:pPr>
      <w:r>
        <w:rPr>
          <w:rFonts w:ascii="Arial" w:cs="Arial" w:eastAsia="Arial" w:hAnsi="Arial"/>
          <w:sz w:val="14"/>
          <w:szCs w:val="14"/>
          <w:color w:val="auto"/>
        </w:rPr>
        <w:t>I am confident that given the highly complementary nature of these two businesses, the path to integration is clear. We’ll have the time necessary to do it right and do it efficiently and have a lot of collective experience to get it done on time. I look forward again to working closely with Andreas and the broader team as we move through the integration process and following that to realizing the many value creation opportunities we see from this combination.</w:t>
      </w:r>
    </w:p>
    <w:p>
      <w:pPr>
        <w:spacing w:after="0" w:line="50" w:lineRule="exact"/>
        <w:rPr>
          <w:sz w:val="20"/>
          <w:szCs w:val="20"/>
          <w:color w:val="auto"/>
        </w:rPr>
      </w:pPr>
    </w:p>
    <w:p>
      <w:pPr>
        <w:ind w:left="2040" w:right="60"/>
        <w:spacing w:after="0" w:line="259" w:lineRule="auto"/>
        <w:rPr>
          <w:sz w:val="20"/>
          <w:szCs w:val="20"/>
          <w:color w:val="auto"/>
        </w:rPr>
      </w:pPr>
      <w:r>
        <w:rPr>
          <w:rFonts w:ascii="Arial" w:cs="Arial" w:eastAsia="Arial" w:hAnsi="Arial"/>
          <w:sz w:val="16"/>
          <w:szCs w:val="16"/>
          <w:color w:val="auto"/>
        </w:rPr>
        <w:t>For DuPont, as I said, this unlocks the incredible value tied up in N&amp;B. We are very pleased to have found the right partner. Our remaining businesses will continue to create value by applying competitive advantages to solving customer problems in high-margin, fast-growing markets, and as this transaction indicates, active portfolio management will continue to be a key strategic value driver.</w:t>
      </w:r>
    </w:p>
    <w:p>
      <w:pPr>
        <w:spacing w:after="0" w:line="83"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Now, let me turn it over to Matthias.</w:t>
      </w:r>
    </w:p>
    <w:p>
      <w:pPr>
        <w:spacing w:after="0" w:line="112" w:lineRule="exact"/>
        <w:rPr>
          <w:sz w:val="20"/>
          <w:szCs w:val="20"/>
          <w:color w:val="auto"/>
        </w:rPr>
      </w:pPr>
    </w:p>
    <w:p>
      <w:pPr>
        <w:ind w:left="2040" w:right="60" w:hanging="2052"/>
        <w:spacing w:after="0" w:line="308" w:lineRule="auto"/>
        <w:tabs>
          <w:tab w:leader="none" w:pos="2020" w:val="left"/>
        </w:tabs>
        <w:rPr>
          <w:sz w:val="20"/>
          <w:szCs w:val="20"/>
          <w:color w:val="auto"/>
        </w:rPr>
      </w:pPr>
      <w:r>
        <w:rPr>
          <w:rFonts w:ascii="Arial" w:cs="Arial" w:eastAsia="Arial" w:hAnsi="Arial"/>
          <w:sz w:val="16"/>
          <w:szCs w:val="16"/>
          <w:b w:val="1"/>
          <w:bCs w:val="1"/>
          <w:color w:val="auto"/>
        </w:rPr>
        <w:t>Matthias Heinzel:</w:t>
      </w:r>
      <w:r>
        <w:rPr>
          <w:sz w:val="20"/>
          <w:szCs w:val="20"/>
          <w:color w:val="auto"/>
        </w:rPr>
        <w:tab/>
      </w:r>
      <w:r>
        <w:rPr>
          <w:rFonts w:ascii="Arial" w:cs="Arial" w:eastAsia="Arial" w:hAnsi="Arial"/>
          <w:sz w:val="14"/>
          <w:szCs w:val="14"/>
          <w:color w:val="auto"/>
        </w:rPr>
        <w:t>Thank you, Ed. For those who may not be as familiar with our N&amp;B business, we are truly a global, innovation-driven special ingredient business. Turning to Slide 9, our N&amp;B business continues to deliver strong results. We generate about $6 billion in annuals sales with an industry-leading 24% EBITDA margin. Additionally, we have a very strong R&amp;D pipeline and generate approximately 25% of our sales from products introduced within the last five years.</w:t>
      </w:r>
    </w:p>
    <w:p>
      <w:pPr>
        <w:spacing w:after="0" w:line="54" w:lineRule="exact"/>
        <w:rPr>
          <w:sz w:val="20"/>
          <w:szCs w:val="20"/>
          <w:color w:val="auto"/>
        </w:rPr>
      </w:pPr>
    </w:p>
    <w:p>
      <w:pPr>
        <w:ind w:left="2040" w:right="620"/>
        <w:spacing w:after="0" w:line="351" w:lineRule="auto"/>
        <w:rPr>
          <w:sz w:val="20"/>
          <w:szCs w:val="20"/>
          <w:color w:val="auto"/>
        </w:rPr>
      </w:pPr>
      <w:r>
        <w:rPr>
          <w:rFonts w:ascii="Arial" w:cs="Arial" w:eastAsia="Arial" w:hAnsi="Arial"/>
          <w:sz w:val="14"/>
          <w:szCs w:val="14"/>
          <w:color w:val="auto"/>
        </w:rPr>
        <w:t>N&amp;B has more than 10,000 employees spread globally with 70 manufacturing sites in more than 30 technology innovation centers across four continents. We serve more than 10,000 customers with a diversified</w:t>
      </w:r>
    </w:p>
    <w:p>
      <w:pPr>
        <w:sectPr>
          <w:pgSz w:w="11900" w:h="16838" w:orient="portrait"/>
          <w:cols w:equalWidth="0" w:num="1">
            <w:col w:w="9800"/>
          </w:cols>
          <w:pgMar w:left="1060" w:top="259" w:right="10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Alexandria Clements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Abernathy Macgregor</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7</w:t>
      </w:r>
    </w:p>
    <w:p>
      <w:pPr>
        <w:spacing w:after="0" w:line="128" w:lineRule="exact"/>
        <w:rPr>
          <w:sz w:val="20"/>
          <w:szCs w:val="20"/>
          <w:color w:val="auto"/>
        </w:rPr>
      </w:pPr>
    </w:p>
    <w:p>
      <w:pPr>
        <w:jc w:val="both"/>
        <w:ind w:left="2040" w:right="120"/>
        <w:spacing w:after="0" w:line="351" w:lineRule="auto"/>
        <w:rPr>
          <w:sz w:val="20"/>
          <w:szCs w:val="20"/>
          <w:color w:val="auto"/>
        </w:rPr>
      </w:pPr>
      <w:r>
        <w:rPr>
          <w:rFonts w:ascii="Arial" w:cs="Arial" w:eastAsia="Arial" w:hAnsi="Arial"/>
          <w:sz w:val="14"/>
          <w:szCs w:val="14"/>
          <w:color w:val="auto"/>
        </w:rPr>
        <w:t>portfolio in food and beverage, health and biosciences and pharma solutions. Slide 9 shows that we are a world-leading bioscience innovator with product [unintelligible] that deliver sustainable, clean-label and high-performance solutions.</w:t>
      </w:r>
    </w:p>
    <w:p>
      <w:pPr>
        <w:spacing w:after="0" w:line="22" w:lineRule="exact"/>
        <w:rPr>
          <w:sz w:val="20"/>
          <w:szCs w:val="20"/>
          <w:color w:val="auto"/>
        </w:rPr>
      </w:pPr>
    </w:p>
    <w:p>
      <w:pPr>
        <w:ind w:left="2040" w:right="20"/>
        <w:spacing w:after="0" w:line="274" w:lineRule="auto"/>
        <w:rPr>
          <w:sz w:val="20"/>
          <w:szCs w:val="20"/>
          <w:color w:val="auto"/>
        </w:rPr>
      </w:pPr>
      <w:r>
        <w:rPr>
          <w:rFonts w:ascii="Arial" w:cs="Arial" w:eastAsia="Arial" w:hAnsi="Arial"/>
          <w:sz w:val="15"/>
          <w:szCs w:val="15"/>
          <w:color w:val="auto"/>
        </w:rPr>
        <w:t>In our food and beverage segment, we have one of the broadest portfolios of natural and plant-based specialty food ingredients. This is where consumers are headed and we are leading the way. Our pharma solution segment is a global player in excipients for pharma and [dietary] supplements. Like IFF, our customer is at the center of everything we do. We share the same vision and are aligned on the same goal to be the world class leader, the premier choice for our customers, giving us a durable, long-term advantage in the specialty ingredients and solution space. My N&amp;B leadership team and I are very excited about the opportunities of the combined companies and we’re looking forward to working with Andreas and his team on a smooth integration.</w:t>
      </w:r>
    </w:p>
    <w:p>
      <w:pPr>
        <w:spacing w:after="0" w:line="75"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With that, I’ll turn it back to you, Andreas.</w:t>
      </w:r>
    </w:p>
    <w:p>
      <w:pPr>
        <w:spacing w:after="0" w:line="112" w:lineRule="exact"/>
        <w:rPr>
          <w:sz w:val="20"/>
          <w:szCs w:val="20"/>
          <w:color w:val="auto"/>
        </w:rPr>
      </w:pPr>
    </w:p>
    <w:p>
      <w:pPr>
        <w:ind w:left="2040" w:right="20" w:hanging="2052"/>
        <w:spacing w:after="0" w:line="259" w:lineRule="auto"/>
        <w:tabs>
          <w:tab w:leader="none" w:pos="2020" w:val="left"/>
        </w:tabs>
        <w:rPr>
          <w:sz w:val="20"/>
          <w:szCs w:val="20"/>
          <w:color w:val="auto"/>
        </w:rPr>
      </w:pPr>
      <w:r>
        <w:rPr>
          <w:rFonts w:ascii="Arial" w:cs="Arial" w:eastAsia="Arial" w:hAnsi="Arial"/>
          <w:sz w:val="16"/>
          <w:szCs w:val="16"/>
          <w:b w:val="1"/>
          <w:bCs w:val="1"/>
          <w:color w:val="auto"/>
        </w:rPr>
        <w:t>Andreas Fibig:</w:t>
      </w:r>
      <w:r>
        <w:rPr>
          <w:sz w:val="20"/>
          <w:szCs w:val="20"/>
          <w:color w:val="auto"/>
        </w:rPr>
        <w:tab/>
      </w:r>
      <w:r>
        <w:rPr>
          <w:rFonts w:ascii="Arial" w:cs="Arial" w:eastAsia="Arial" w:hAnsi="Arial"/>
          <w:sz w:val="16"/>
          <w:szCs w:val="16"/>
          <w:color w:val="auto"/>
        </w:rPr>
        <w:t>Thank you, Ed and Matthias. We are very delighted to have you here and to welcome the N&amp;B team to the IFF family as we work together to transform the industry with differentiated ingredients and solutions. Those of you who follow us closely know that IFF is a global leader in natural taste, scent and nutrition. We have a strong financial profile, a broad customer base and a diverse revenue base.</w:t>
      </w:r>
    </w:p>
    <w:p>
      <w:pPr>
        <w:spacing w:after="0" w:line="87" w:lineRule="exact"/>
        <w:rPr>
          <w:sz w:val="20"/>
          <w:szCs w:val="20"/>
          <w:color w:val="auto"/>
        </w:rPr>
      </w:pPr>
    </w:p>
    <w:p>
      <w:pPr>
        <w:ind w:left="2040" w:right="260"/>
        <w:spacing w:after="0" w:line="277" w:lineRule="auto"/>
        <w:rPr>
          <w:sz w:val="20"/>
          <w:szCs w:val="20"/>
          <w:color w:val="auto"/>
        </w:rPr>
      </w:pPr>
      <w:r>
        <w:rPr>
          <w:rFonts w:ascii="Arial" w:cs="Arial" w:eastAsia="Arial" w:hAnsi="Arial"/>
          <w:sz w:val="16"/>
          <w:szCs w:val="16"/>
          <w:color w:val="auto"/>
        </w:rPr>
        <w:t>Slide 12, we are a long-time industry leader in developing natural and synthetic fragrance ingredients. Coming out of our [unintelligible] position early last year, IFF strengthened its position as a top provider of</w:t>
      </w:r>
    </w:p>
    <w:p>
      <w:pPr>
        <w:sectPr>
          <w:pgSz w:w="11900" w:h="16838" w:orient="portrait"/>
          <w:cols w:equalWidth="0" w:num="1">
            <w:col w:w="9800"/>
          </w:cols>
          <w:pgMar w:left="1060" w:top="259" w:right="10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Alexandria Clements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Abernathy Macgregor</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8</w:t>
      </w:r>
    </w:p>
    <w:p>
      <w:pPr>
        <w:spacing w:after="0" w:line="128" w:lineRule="exact"/>
        <w:rPr>
          <w:sz w:val="20"/>
          <w:szCs w:val="20"/>
          <w:color w:val="auto"/>
        </w:rPr>
      </w:pPr>
    </w:p>
    <w:p>
      <w:pPr>
        <w:ind w:left="1660" w:right="280"/>
        <w:spacing w:after="0" w:line="289" w:lineRule="auto"/>
        <w:rPr>
          <w:sz w:val="20"/>
          <w:szCs w:val="20"/>
          <w:color w:val="auto"/>
        </w:rPr>
      </w:pPr>
      <w:r>
        <w:rPr>
          <w:rFonts w:ascii="Arial" w:cs="Arial" w:eastAsia="Arial" w:hAnsi="Arial"/>
          <w:sz w:val="15"/>
          <w:szCs w:val="15"/>
          <w:color w:val="auto"/>
        </w:rPr>
        <w:t>flavors, savory solutions and natural taste solutions for the food and beverage industry. With this combination, we’re also strengthening our position in the nutrition ingredient space where we are not delivering a full suite of natural product offerings to the fast-growing segment of small, mid-sized and private label customers.</w:t>
      </w:r>
    </w:p>
    <w:p>
      <w:pPr>
        <w:spacing w:after="0" w:line="62" w:lineRule="exact"/>
        <w:rPr>
          <w:sz w:val="20"/>
          <w:szCs w:val="20"/>
          <w:color w:val="auto"/>
        </w:rPr>
      </w:pPr>
    </w:p>
    <w:p>
      <w:pPr>
        <w:ind w:left="1660" w:right="100"/>
        <w:spacing w:after="0" w:line="289" w:lineRule="auto"/>
        <w:rPr>
          <w:sz w:val="20"/>
          <w:szCs w:val="20"/>
          <w:color w:val="auto"/>
        </w:rPr>
      </w:pPr>
      <w:r>
        <w:rPr>
          <w:rFonts w:ascii="Arial" w:cs="Arial" w:eastAsia="Arial" w:hAnsi="Arial"/>
          <w:sz w:val="15"/>
          <w:szCs w:val="15"/>
          <w:color w:val="auto"/>
        </w:rPr>
        <w:t>Further, this transaction is strongly aligned with our Vision 2021 goal. The customer is the focus of everything we do, and with this combination, we’re strengthening each of our four pillars of Vision 2021, unlocking growth opportunities, driving innovation, managing our portfolio and accelerating our business transformation.</w:t>
      </w:r>
    </w:p>
    <w:p>
      <w:pPr>
        <w:spacing w:after="0" w:line="62" w:lineRule="exact"/>
        <w:rPr>
          <w:sz w:val="20"/>
          <w:szCs w:val="20"/>
          <w:color w:val="auto"/>
        </w:rPr>
      </w:pPr>
    </w:p>
    <w:p>
      <w:pPr>
        <w:ind w:left="1660" w:right="20"/>
        <w:spacing w:after="0" w:line="308" w:lineRule="auto"/>
        <w:rPr>
          <w:sz w:val="20"/>
          <w:szCs w:val="20"/>
          <w:color w:val="auto"/>
        </w:rPr>
      </w:pPr>
      <w:r>
        <w:rPr>
          <w:rFonts w:ascii="Arial" w:cs="Arial" w:eastAsia="Arial" w:hAnsi="Arial"/>
          <w:sz w:val="14"/>
          <w:szCs w:val="14"/>
          <w:color w:val="auto"/>
        </w:rPr>
        <w:t>Slide 13, when I think of a company that can redefine its category, I think of the combination of these two businesses. We will be a powerful leader with even better R&amp;D and application development capabilities, and even deeper and more robust product development pipelines and a portfolio that will be among the most balanced in the industry, and we will have real strengths from our shared cultures led by science and creativity to unlock the potential of this combination.</w:t>
      </w:r>
    </w:p>
    <w:p>
      <w:pPr>
        <w:spacing w:after="0" w:line="50" w:lineRule="exact"/>
        <w:rPr>
          <w:sz w:val="20"/>
          <w:szCs w:val="20"/>
          <w:color w:val="auto"/>
        </w:rPr>
      </w:pPr>
    </w:p>
    <w:p>
      <w:pPr>
        <w:ind w:left="1660" w:right="120"/>
        <w:spacing w:after="0" w:line="257" w:lineRule="auto"/>
        <w:rPr>
          <w:sz w:val="20"/>
          <w:szCs w:val="20"/>
          <w:color w:val="auto"/>
        </w:rPr>
      </w:pPr>
      <w:r>
        <w:rPr>
          <w:rFonts w:ascii="Arial" w:cs="Arial" w:eastAsia="Arial" w:hAnsi="Arial"/>
          <w:sz w:val="16"/>
          <w:szCs w:val="16"/>
          <w:color w:val="auto"/>
        </w:rPr>
        <w:t>Slide 14 firmly demonstrates our combined leading positions in food and beverage, health and wellness and home and personal care which we believe will truly be the envy of the industry. While our peers may have strong positions in one category or a select few, the new IFF will have depth, breadth and strengths of capabilities across categories which will give us an exceptional competitive advantage. We have a clear path to become an invaluable partner of choice for our customers.</w:t>
      </w:r>
    </w:p>
    <w:p>
      <w:pPr>
        <w:sectPr>
          <w:pgSz w:w="11900" w:h="16838" w:orient="portrait"/>
          <w:cols w:equalWidth="0" w:num="1">
            <w:col w:w="9420"/>
          </w:cols>
          <w:pgMar w:left="1440" w:top="259" w:right="10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Alexandria Clements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Abernathy Macgregor</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9</w:t>
      </w:r>
    </w:p>
    <w:p>
      <w:pPr>
        <w:spacing w:after="0" w:line="128" w:lineRule="exact"/>
        <w:rPr>
          <w:sz w:val="20"/>
          <w:szCs w:val="20"/>
          <w:color w:val="auto"/>
        </w:rPr>
      </w:pPr>
    </w:p>
    <w:p>
      <w:pPr>
        <w:ind w:left="1660" w:right="40"/>
        <w:spacing w:after="0" w:line="278" w:lineRule="auto"/>
        <w:rPr>
          <w:sz w:val="20"/>
          <w:szCs w:val="20"/>
          <w:color w:val="auto"/>
        </w:rPr>
      </w:pPr>
      <w:r>
        <w:rPr>
          <w:rFonts w:ascii="Arial" w:cs="Arial" w:eastAsia="Arial" w:hAnsi="Arial"/>
          <w:sz w:val="15"/>
          <w:szCs w:val="15"/>
          <w:color w:val="auto"/>
        </w:rPr>
        <w:t>Turning to Slide 15, IFF and N&amp;B together will deliver a highly-compelling value proposition to all our customer types. For global multinationals, we will bring deep experience with high-growth segments, faster speed to market and deep consumer insights. For regional organizations, we will provide global reach to support regional and/or global expansion, paired with strong local presence and a culture of collaboration. For new brands, we will be their end-to-end partner from idea to creation providing the reliability of scale and the power of global reach.</w:t>
      </w:r>
    </w:p>
    <w:p>
      <w:pPr>
        <w:spacing w:after="0" w:line="70" w:lineRule="exact"/>
        <w:rPr>
          <w:sz w:val="20"/>
          <w:szCs w:val="20"/>
          <w:color w:val="auto"/>
        </w:rPr>
      </w:pPr>
    </w:p>
    <w:p>
      <w:pPr>
        <w:ind w:left="1660" w:right="120"/>
        <w:spacing w:after="0" w:line="259" w:lineRule="auto"/>
        <w:rPr>
          <w:sz w:val="20"/>
          <w:szCs w:val="20"/>
          <w:color w:val="auto"/>
        </w:rPr>
      </w:pPr>
      <w:r>
        <w:rPr>
          <w:rFonts w:ascii="Arial" w:cs="Arial" w:eastAsia="Arial" w:hAnsi="Arial"/>
          <w:sz w:val="16"/>
          <w:szCs w:val="16"/>
          <w:color w:val="auto"/>
        </w:rPr>
        <w:t>We will be exceptionally well-positioned to solve real problems of our customers. We will be able to meet our customers’ expectations for more integrated solutions. On day one, the combined company will immediately be positioned to capitalized on cross-selling opportunities, leveraging the breadth of our combined portfolio and expanded customer base to drive sales and profitability.</w:t>
      </w:r>
    </w:p>
    <w:p>
      <w:pPr>
        <w:spacing w:after="0" w:line="83" w:lineRule="exact"/>
        <w:rPr>
          <w:sz w:val="20"/>
          <w:szCs w:val="20"/>
          <w:color w:val="auto"/>
        </w:rPr>
      </w:pPr>
    </w:p>
    <w:p>
      <w:pPr>
        <w:ind w:left="1660" w:right="140"/>
        <w:spacing w:after="0" w:line="257" w:lineRule="auto"/>
        <w:rPr>
          <w:sz w:val="20"/>
          <w:szCs w:val="20"/>
          <w:color w:val="auto"/>
        </w:rPr>
      </w:pPr>
      <w:r>
        <w:rPr>
          <w:rFonts w:ascii="Arial" w:cs="Arial" w:eastAsia="Arial" w:hAnsi="Arial"/>
          <w:sz w:val="16"/>
          <w:szCs w:val="16"/>
          <w:color w:val="auto"/>
        </w:rPr>
        <w:t>Integrated solutions are not just one thing. By joining forces, our company will go from limited capability to leading capability in the core areas critical to fully integrated solutions. Those include bundling of two or more ingredients in a single solution, building food prototypes and, either off-the-shelf or in collaboration with customers, offering a full solution. Together, we will be among the only players in our space able to accelerate our capabilities further along this continuum of product integration.</w:t>
      </w:r>
    </w:p>
    <w:p>
      <w:pPr>
        <w:spacing w:after="0" w:line="84" w:lineRule="exact"/>
        <w:rPr>
          <w:sz w:val="20"/>
          <w:szCs w:val="20"/>
          <w:color w:val="auto"/>
        </w:rPr>
      </w:pPr>
    </w:p>
    <w:p>
      <w:pPr>
        <w:ind w:left="1660" w:right="460"/>
        <w:spacing w:after="0" w:line="312" w:lineRule="auto"/>
        <w:rPr>
          <w:sz w:val="20"/>
          <w:szCs w:val="20"/>
          <w:color w:val="auto"/>
        </w:rPr>
      </w:pPr>
      <w:r>
        <w:rPr>
          <w:rFonts w:ascii="Arial" w:cs="Arial" w:eastAsia="Arial" w:hAnsi="Arial"/>
          <w:sz w:val="15"/>
          <w:szCs w:val="15"/>
          <w:color w:val="auto"/>
        </w:rPr>
        <w:t>So how will we achieve this differentiated offering for our customers? Turning to Slide 16, we will have industry-leading R&amp;D capabilities and an even deeper product development pipeline to be a strong innovation</w:t>
      </w:r>
    </w:p>
    <w:p>
      <w:pPr>
        <w:sectPr>
          <w:pgSz w:w="11900" w:h="16838" w:orient="portrait"/>
          <w:cols w:equalWidth="0" w:num="1">
            <w:col w:w="9420"/>
          </w:cols>
          <w:pgMar w:left="1440" w:top="259" w:right="10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Alexandria Clements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Abernathy Macgregor</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10</w:t>
      </w:r>
    </w:p>
    <w:p>
      <w:pPr>
        <w:spacing w:after="0" w:line="128" w:lineRule="exact"/>
        <w:rPr>
          <w:sz w:val="20"/>
          <w:szCs w:val="20"/>
          <w:color w:val="auto"/>
        </w:rPr>
      </w:pPr>
    </w:p>
    <w:p>
      <w:pPr>
        <w:ind w:left="2040" w:right="60"/>
        <w:spacing w:after="0" w:line="289" w:lineRule="auto"/>
        <w:rPr>
          <w:sz w:val="20"/>
          <w:szCs w:val="20"/>
          <w:color w:val="auto"/>
        </w:rPr>
      </w:pPr>
      <w:r>
        <w:rPr>
          <w:rFonts w:ascii="Arial" w:cs="Arial" w:eastAsia="Arial" w:hAnsi="Arial"/>
          <w:sz w:val="15"/>
          <w:szCs w:val="15"/>
          <w:color w:val="auto"/>
        </w:rPr>
        <w:t>partner for our customers. This powerful capability will help our customers drive growth and meet their consumer demands, and we will be able to have some of the most exciting, fastest-growing consumer products succeed around the world. We will do all of this while continuing both companies’ leading commitments to sustainability.</w:t>
      </w:r>
    </w:p>
    <w:p>
      <w:pPr>
        <w:spacing w:after="0" w:line="62" w:lineRule="exact"/>
        <w:rPr>
          <w:sz w:val="20"/>
          <w:szCs w:val="20"/>
          <w:color w:val="auto"/>
        </w:rPr>
      </w:pPr>
    </w:p>
    <w:p>
      <w:pPr>
        <w:ind w:left="2040" w:right="60"/>
        <w:spacing w:after="0" w:line="274" w:lineRule="auto"/>
        <w:rPr>
          <w:sz w:val="20"/>
          <w:szCs w:val="20"/>
          <w:color w:val="auto"/>
        </w:rPr>
      </w:pPr>
      <w:r>
        <w:rPr>
          <w:rFonts w:ascii="Arial" w:cs="Arial" w:eastAsia="Arial" w:hAnsi="Arial"/>
          <w:sz w:val="15"/>
          <w:szCs w:val="15"/>
          <w:color w:val="auto"/>
        </w:rPr>
        <w:t>On Slide 17, here are two examples that illustrate what this will mean for our customers and the incredible opportunity ahead of us with this combination. Across our shared end market, we see meaningful opportunities for full service solutions to drive growth and innovation. Let me share these two examples. Today, IFF provides the flavor, seasoning, taste modulation and natural color for plant-based burgers, while N&amp;B provides the texturants, binders, enzymes and plant-based proteins. In personal care, IFF provides the encapsulation delivery system and scent products for detergents, with N&amp;B providing the enzymes for fluidity and stain removal. In each of these cases, together, we will be able to deliver all of these products in one solution to our customers.</w:t>
      </w:r>
    </w:p>
    <w:p>
      <w:pPr>
        <w:spacing w:after="0" w:line="75"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Now, I would like to turn the call over to Rich who will talk us through the financials.</w:t>
      </w:r>
    </w:p>
    <w:p>
      <w:pPr>
        <w:spacing w:after="0" w:line="112" w:lineRule="exact"/>
        <w:rPr>
          <w:sz w:val="20"/>
          <w:szCs w:val="20"/>
          <w:color w:val="auto"/>
        </w:rPr>
      </w:pPr>
    </w:p>
    <w:p>
      <w:pPr>
        <w:ind w:left="2040" w:hanging="2052"/>
        <w:spacing w:after="0" w:line="259" w:lineRule="auto"/>
        <w:tabs>
          <w:tab w:leader="none" w:pos="2020" w:val="left"/>
        </w:tabs>
        <w:rPr>
          <w:sz w:val="20"/>
          <w:szCs w:val="20"/>
          <w:color w:val="auto"/>
        </w:rPr>
      </w:pPr>
      <w:r>
        <w:rPr>
          <w:rFonts w:ascii="Arial" w:cs="Arial" w:eastAsia="Arial" w:hAnsi="Arial"/>
          <w:sz w:val="16"/>
          <w:szCs w:val="16"/>
          <w:b w:val="1"/>
          <w:bCs w:val="1"/>
          <w:color w:val="auto"/>
        </w:rPr>
        <w:t>Rich O’Leary:</w:t>
      </w:r>
      <w:r>
        <w:rPr>
          <w:sz w:val="20"/>
          <w:szCs w:val="20"/>
          <w:color w:val="auto"/>
        </w:rPr>
        <w:tab/>
      </w:r>
      <w:r>
        <w:rPr>
          <w:rFonts w:ascii="Arial" w:cs="Arial" w:eastAsia="Arial" w:hAnsi="Arial"/>
          <w:sz w:val="16"/>
          <w:szCs w:val="16"/>
          <w:color w:val="auto"/>
        </w:rPr>
        <w:t>Thanks, Andreas. Turning to Slide 18, IFF and N&amp;B are very complementary and we share many of the same end markets. The combined business will have a balanced geographic footprint and an extended customer base. We will have access to faster-growing, more profitable categories with an enhanced ability to drive sales by our cross-selling opportunities across the entire portfolio.</w:t>
      </w:r>
    </w:p>
    <w:p>
      <w:pPr>
        <w:sectPr>
          <w:pgSz w:w="11900" w:h="16838" w:orient="portrait"/>
          <w:cols w:equalWidth="0" w:num="1">
            <w:col w:w="9800"/>
          </w:cols>
          <w:pgMar w:left="1060" w:top="259" w:right="10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Alexandria Clements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Abernathy Macgregor</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11</w:t>
      </w:r>
    </w:p>
    <w:p>
      <w:pPr>
        <w:spacing w:after="0" w:line="128" w:lineRule="exact"/>
        <w:rPr>
          <w:sz w:val="20"/>
          <w:szCs w:val="20"/>
          <w:color w:val="auto"/>
        </w:rPr>
      </w:pPr>
    </w:p>
    <w:p>
      <w:pPr>
        <w:ind w:left="1660" w:right="100"/>
        <w:spacing w:after="0" w:line="257" w:lineRule="auto"/>
        <w:rPr>
          <w:sz w:val="20"/>
          <w:szCs w:val="20"/>
          <w:color w:val="auto"/>
        </w:rPr>
      </w:pPr>
      <w:r>
        <w:rPr>
          <w:rFonts w:ascii="Arial" w:cs="Arial" w:eastAsia="Arial" w:hAnsi="Arial"/>
          <w:sz w:val="16"/>
          <w:szCs w:val="16"/>
          <w:color w:val="auto"/>
        </w:rPr>
        <w:t>Slide 19 highlights our tangible path to drive approximately $400 million of gross revenue synergies by year three. We expect to achieve these synergies by targeting overlapping end markets to cross-sell flavor and fragrances into N&amp;B customers and vice-versa. Examples of this include meat replacement, ice cream, infant nutrition and fabric care. We also plan to cross-sell complementary solutions and leverage N&amp;B’s extensive product portfolio to increase penetration with IFF’s large SME customer base.</w:t>
      </w:r>
    </w:p>
    <w:p>
      <w:pPr>
        <w:spacing w:after="0" w:line="84" w:lineRule="exact"/>
        <w:rPr>
          <w:sz w:val="20"/>
          <w:szCs w:val="20"/>
          <w:color w:val="auto"/>
        </w:rPr>
      </w:pPr>
    </w:p>
    <w:p>
      <w:pPr>
        <w:ind w:left="1660" w:right="160"/>
        <w:spacing w:after="0" w:line="256" w:lineRule="auto"/>
        <w:rPr>
          <w:sz w:val="20"/>
          <w:szCs w:val="20"/>
          <w:color w:val="auto"/>
        </w:rPr>
      </w:pPr>
      <w:r>
        <w:rPr>
          <w:rFonts w:ascii="Arial" w:cs="Arial" w:eastAsia="Arial" w:hAnsi="Arial"/>
          <w:sz w:val="16"/>
          <w:szCs w:val="16"/>
          <w:color w:val="auto"/>
        </w:rPr>
        <w:t>For cost synergies, we’re targeting approximately pro forma cost synergies of $300 million on a run-rate basis by year three, driven by procurement excellence along with manufacturing and organizational efficiencies. Together, the combination will have pro forma 2019 estimated sales greater than $11 billion with the strongest pro forma 2019 EBITDA margin compared to our peers at almost 26% with run-rate cost synergies included. The combined entities’ attractive financial profile and highly-efficient business model will support both continued growth and reinvestment in higher return areas.</w:t>
      </w:r>
    </w:p>
    <w:p>
      <w:pPr>
        <w:spacing w:after="0" w:line="84" w:lineRule="exact"/>
        <w:rPr>
          <w:sz w:val="20"/>
          <w:szCs w:val="20"/>
          <w:color w:val="auto"/>
        </w:rPr>
      </w:pPr>
    </w:p>
    <w:p>
      <w:pPr>
        <w:ind w:left="1660"/>
        <w:spacing w:after="0" w:line="259" w:lineRule="auto"/>
        <w:rPr>
          <w:sz w:val="20"/>
          <w:szCs w:val="20"/>
          <w:color w:val="auto"/>
        </w:rPr>
      </w:pPr>
      <w:r>
        <w:rPr>
          <w:rFonts w:ascii="Arial" w:cs="Arial" w:eastAsia="Arial" w:hAnsi="Arial"/>
          <w:sz w:val="16"/>
          <w:szCs w:val="16"/>
          <w:color w:val="auto"/>
        </w:rPr>
        <w:t>Turning to Slide 20, we expect to have a moderate pro forma leverage of approximately four times at transaction close, and we will target a deleveraging profile to below three times by year two post-close. Deleveraging will be driven by our substantial free cash flow generation and we commit to maintain investment-grade credit rating and will continue our current dividend policy.</w:t>
      </w:r>
    </w:p>
    <w:p>
      <w:pPr>
        <w:spacing w:after="0" w:line="83"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With that, let me turn it back over to Andreas.</w:t>
      </w:r>
    </w:p>
    <w:p>
      <w:pPr>
        <w:sectPr>
          <w:pgSz w:w="11900" w:h="16838" w:orient="portrait"/>
          <w:cols w:equalWidth="0" w:num="1">
            <w:col w:w="9420"/>
          </w:cols>
          <w:pgMar w:left="1440" w:top="259" w:right="10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Alexandria Clements</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Abernathy Macgregor</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12</w:t>
      </w:r>
    </w:p>
    <w:p>
      <w:pPr>
        <w:sectPr>
          <w:pgSz w:w="11900" w:h="16838" w:orient="portrait"/>
          <w:cols w:equalWidth="0" w:num="1">
            <w:col w:w="9800"/>
          </w:cols>
          <w:pgMar w:left="1060" w:top="259" w:right="10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Andreas Fibig:</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Thank you, Rich. While we focus on separating the N&amp;B business from DuPont, we will be diligently working to execute our roadmap to integrate these businesses as described on Slide 22. This will happen in parallel with our ongoing food aroma integration work which is proceeding well and which will be expected to be completed in the third quarter of 2020. We will tap the combined integration muscle of both IFF and N&amp;B along with robust external subject matter experts.</w:t>
      </w:r>
    </w:p>
    <w:p>
      <w:pPr>
        <w:spacing w:after="0" w:line="84"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ind w:left="2040" w:right="220"/>
        <w:spacing w:after="0" w:line="319" w:lineRule="auto"/>
        <w:rPr>
          <w:sz w:val="20"/>
          <w:szCs w:val="20"/>
          <w:color w:val="auto"/>
        </w:rPr>
      </w:pPr>
      <w:r>
        <w:rPr>
          <w:rFonts w:ascii="Arial" w:cs="Arial" w:eastAsia="Arial" w:hAnsi="Arial"/>
          <w:sz w:val="14"/>
          <w:szCs w:val="14"/>
          <w:color w:val="auto"/>
        </w:rPr>
        <w:t>Our integration office, to be composed of leaders from both companies, will be planning for three main objectives for integration. These include delivering on our base plans for both businesses, establishing a dedicated team to ensure execution and synergy realization, and seamlessly combining activities to extract the best of both companies.</w:t>
      </w:r>
    </w:p>
    <w:p>
      <w:pPr>
        <w:spacing w:after="0" w:line="43" w:lineRule="exact"/>
        <w:rPr>
          <w:sz w:val="20"/>
          <w:szCs w:val="20"/>
          <w:color w:val="auto"/>
        </w:rPr>
      </w:pPr>
    </w:p>
    <w:p>
      <w:pPr>
        <w:ind w:left="2040" w:right="80"/>
        <w:spacing w:after="0" w:line="257" w:lineRule="auto"/>
        <w:rPr>
          <w:sz w:val="20"/>
          <w:szCs w:val="20"/>
          <w:color w:val="auto"/>
        </w:rPr>
      </w:pPr>
      <w:r>
        <w:rPr>
          <w:rFonts w:ascii="Arial" w:cs="Arial" w:eastAsia="Arial" w:hAnsi="Arial"/>
          <w:sz w:val="16"/>
          <w:szCs w:val="16"/>
          <w:color w:val="auto"/>
        </w:rPr>
        <w:t>In summary, today is a big day for our two companies. It is the culmination of a long strategic journey for IFF, and once the transaction is complete, we will become a global specialty ingredients and solution leader. We will instantly lead the race to develop integrated solutions and we will have greater global scale to meet what our customers demand – high quality products, innovative solutions and strategic partnerships to deliver growth. We are incredibly excited for what comes next.</w:t>
      </w:r>
    </w:p>
    <w:p>
      <w:pPr>
        <w:spacing w:after="0" w:line="84"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With that, let’s open for questions.</w:t>
      </w:r>
    </w:p>
    <w:p>
      <w:pPr>
        <w:sectPr>
          <w:pgSz w:w="11900" w:h="16838" w:orient="portrait"/>
          <w:cols w:equalWidth="0" w:num="1">
            <w:col w:w="9800"/>
          </w:cols>
          <w:pgMar w:left="1060" w:top="259" w:right="1039"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At this time, if you would like to ask a question, please press the * then 1 on your touchtone phone. You may withdraw your question at any time by pressing the # key. Again, it is *, then 1 to ask a question today. We will take our first question from Mark Astrachan with Stifel. Your line is open.</w:t>
      </w:r>
    </w:p>
    <w:p>
      <w:pPr>
        <w:sectPr>
          <w:pgSz w:w="11900" w:h="16838" w:orient="portrait"/>
          <w:cols w:equalWidth="0" w:num="2">
            <w:col w:w="1320" w:space="720"/>
            <w:col w:w="7760"/>
          </w:cols>
          <w:pgMar w:left="1060" w:top="259" w:right="10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Alexandria Clements</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Abernathy Macgregor</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13</w:t>
      </w:r>
    </w:p>
    <w:p>
      <w:pPr>
        <w:sectPr>
          <w:pgSz w:w="11900" w:h="16838" w:orient="portrait"/>
          <w:cols w:equalWidth="0" w:num="1">
            <w:col w:w="9800"/>
          </w:cols>
          <w:pgMar w:left="1060" w:top="259" w:right="10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 Astrachan:</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Good morning, everybody. I guess maybe one question for DuPont and one question for IFF. From DuPont’s standpoint, I guess I’m curious, what’s most compelling about IFF’s offer compared to others and what gives confidence to being tied to IFF shares as the best path for DuPont’s shareholders? Then for Andreas and Rich and team, how do you keep DuPont employees, customers motivated as well as customers happy and engaged over what’s likely to be a fairly disruptive process in demerging and merging [DNV] into your business? This seems to always be a bit more complex than expected at first, so maybe if you could give comfort that you have some idea of how you can handle that, that would be helpful.</w:t>
      </w:r>
    </w:p>
    <w:p>
      <w:pPr>
        <w:spacing w:after="0" w:line="81"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ind w:right="100"/>
        <w:spacing w:after="0" w:line="274" w:lineRule="auto"/>
        <w:rPr>
          <w:sz w:val="20"/>
          <w:szCs w:val="20"/>
          <w:color w:val="auto"/>
        </w:rPr>
      </w:pPr>
      <w:r>
        <w:rPr>
          <w:rFonts w:ascii="Arial" w:cs="Arial" w:eastAsia="Arial" w:hAnsi="Arial"/>
          <w:sz w:val="15"/>
          <w:szCs w:val="15"/>
          <w:color w:val="auto"/>
        </w:rPr>
        <w:t>Yes, Mark, this is Ed. I’ll start out and take the first part of your question. By the way, rather interesting process, I’ll describe it to you a little bit, but the punchline was we wanted the best strategic fit for the long haul, but let me come back to that because thank heavens, we didn’t have to scratch our head and make a decision based on price and value that we were getting for the business. We had three highly motivated bidders that wanted the company. All three offers literally sat financially on top of each other. The mix of cash was different in each one depending on size and EBITDA, but they literally sat right on top of each other, so I think it kind of proves we got the value for the business that the DuPont shareholder [unintelligible] and everyone viewed the value pretty much the same way.</w:t>
      </w:r>
    </w:p>
    <w:p>
      <w:pPr>
        <w:spacing w:after="0" w:line="75"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ind w:left="2040" w:right="280"/>
        <w:spacing w:after="0" w:line="312" w:lineRule="auto"/>
        <w:rPr>
          <w:sz w:val="20"/>
          <w:szCs w:val="20"/>
          <w:color w:val="auto"/>
        </w:rPr>
      </w:pPr>
      <w:r>
        <w:rPr>
          <w:rFonts w:ascii="Arial" w:cs="Arial" w:eastAsia="Arial" w:hAnsi="Arial"/>
          <w:sz w:val="15"/>
          <w:szCs w:val="15"/>
          <w:color w:val="auto"/>
        </w:rPr>
        <w:t>So it was nice not to have that as one of the considering items, and then it was really, to us, the most important thing, strategic fit. By the way, when I say that, there’re many aspects to it, but if I just give you the punchline</w:t>
      </w:r>
    </w:p>
    <w:p>
      <w:pPr>
        <w:sectPr>
          <w:pgSz w:w="11900" w:h="16838" w:orient="portrait"/>
          <w:cols w:equalWidth="0" w:num="1">
            <w:col w:w="9800"/>
          </w:cols>
          <w:pgMar w:left="1060" w:top="259" w:right="1039" w:bottom="144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Alexandria Clements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Abernathy Macgregor</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14</w:t>
      </w:r>
    </w:p>
    <w:p>
      <w:pPr>
        <w:spacing w:after="0" w:line="128" w:lineRule="exact"/>
        <w:rPr>
          <w:sz w:val="20"/>
          <w:szCs w:val="20"/>
          <w:color w:val="auto"/>
        </w:rPr>
      </w:pPr>
    </w:p>
    <w:p>
      <w:pPr>
        <w:ind w:left="2040" w:right="80"/>
        <w:spacing w:after="0" w:line="257" w:lineRule="auto"/>
        <w:rPr>
          <w:sz w:val="20"/>
          <w:szCs w:val="20"/>
          <w:color w:val="auto"/>
        </w:rPr>
      </w:pPr>
      <w:r>
        <w:rPr>
          <w:rFonts w:ascii="Arial" w:cs="Arial" w:eastAsia="Arial" w:hAnsi="Arial"/>
          <w:sz w:val="16"/>
          <w:szCs w:val="16"/>
          <w:color w:val="auto"/>
        </w:rPr>
        <w:t>on that, it’s the breadth of this portfolio that is so powerful that is going to give us a major competitive advantage moving forward. By the way, I would just point back to the one chart with the two examples on it with the meatless burger and the detergent. There are dozens of examples like that where we’re going to be combining significant ingredients together for customers, so just the power of this, you can’t duplicate again easily. No one can go merge with somebody else in one deal and create this combination that we now have.</w:t>
      </w:r>
    </w:p>
    <w:p>
      <w:pPr>
        <w:spacing w:after="0" w:line="84" w:lineRule="exact"/>
        <w:rPr>
          <w:sz w:val="20"/>
          <w:szCs w:val="20"/>
          <w:color w:val="auto"/>
        </w:rPr>
      </w:pPr>
    </w:p>
    <w:p>
      <w:pPr>
        <w:ind w:left="2040" w:right="80"/>
        <w:spacing w:after="0" w:line="276" w:lineRule="auto"/>
        <w:rPr>
          <w:sz w:val="20"/>
          <w:szCs w:val="20"/>
          <w:color w:val="auto"/>
        </w:rPr>
      </w:pPr>
      <w:r>
        <w:rPr>
          <w:rFonts w:ascii="Arial" w:cs="Arial" w:eastAsia="Arial" w:hAnsi="Arial"/>
          <w:sz w:val="15"/>
          <w:szCs w:val="15"/>
          <w:color w:val="auto"/>
        </w:rPr>
        <w:t>So that was the number one key, and then I would say very much importantly, because I’ve done many mergers before and things like this in my career, culture is extremely important here and I can say this to a person – and Matthias is already smiling, he knows what I’m going to say – our team unanimously has been bugging Mark and I to please do the deal with IFF because we think the same, our R&amp;D machine is kind of the same, the way we go about it, the way we focus on our customers, and the two teams get along, and obviously, they know each other from the industry. So that cultural fit becomes really important to us, so that was the big reason.</w:t>
      </w:r>
    </w:p>
    <w:p>
      <w:pPr>
        <w:spacing w:after="0" w:line="67" w:lineRule="exact"/>
        <w:rPr>
          <w:sz w:val="20"/>
          <w:szCs w:val="20"/>
          <w:color w:val="auto"/>
        </w:rPr>
      </w:pPr>
    </w:p>
    <w:p>
      <w:pPr>
        <w:ind w:left="2040" w:right="20" w:hanging="2052"/>
        <w:spacing w:after="0" w:line="277" w:lineRule="auto"/>
        <w:tabs>
          <w:tab w:leader="none" w:pos="2020" w:val="left"/>
        </w:tabs>
        <w:rPr>
          <w:sz w:val="20"/>
          <w:szCs w:val="20"/>
          <w:color w:val="auto"/>
        </w:rPr>
      </w:pPr>
      <w:r>
        <w:rPr>
          <w:rFonts w:ascii="Arial" w:cs="Arial" w:eastAsia="Arial" w:hAnsi="Arial"/>
          <w:sz w:val="16"/>
          <w:szCs w:val="16"/>
          <w:b w:val="1"/>
          <w:bCs w:val="1"/>
          <w:color w:val="auto"/>
        </w:rPr>
        <w:t>Andreas Fibig:</w:t>
      </w:r>
      <w:r>
        <w:rPr>
          <w:sz w:val="20"/>
          <w:szCs w:val="20"/>
          <w:color w:val="auto"/>
        </w:rPr>
        <w:tab/>
      </w:r>
      <w:r>
        <w:rPr>
          <w:rFonts w:ascii="Arial" w:cs="Arial" w:eastAsia="Arial" w:hAnsi="Arial"/>
          <w:sz w:val="16"/>
          <w:szCs w:val="16"/>
          <w:color w:val="auto"/>
        </w:rPr>
        <w:t>Mark, before I take it, I would like to give it to Matthias because I think it’s important that he gives us his perspective on that.</w:t>
      </w:r>
    </w:p>
    <w:p>
      <w:pPr>
        <w:spacing w:after="0" w:line="68" w:lineRule="exact"/>
        <w:rPr>
          <w:sz w:val="20"/>
          <w:szCs w:val="20"/>
          <w:color w:val="auto"/>
        </w:rPr>
      </w:pPr>
    </w:p>
    <w:p>
      <w:pPr>
        <w:ind w:left="2040" w:right="100" w:hanging="2052"/>
        <w:spacing w:after="0" w:line="257" w:lineRule="auto"/>
        <w:tabs>
          <w:tab w:leader="none" w:pos="2020" w:val="left"/>
        </w:tabs>
        <w:rPr>
          <w:sz w:val="20"/>
          <w:szCs w:val="20"/>
          <w:color w:val="auto"/>
        </w:rPr>
      </w:pPr>
      <w:r>
        <w:rPr>
          <w:rFonts w:ascii="Arial" w:cs="Arial" w:eastAsia="Arial" w:hAnsi="Arial"/>
          <w:sz w:val="16"/>
          <w:szCs w:val="16"/>
          <w:b w:val="1"/>
          <w:bCs w:val="1"/>
          <w:color w:val="auto"/>
        </w:rPr>
        <w:t>Matthias Heinzel:</w:t>
      </w:r>
      <w:r>
        <w:rPr>
          <w:sz w:val="20"/>
          <w:szCs w:val="20"/>
          <w:color w:val="auto"/>
        </w:rPr>
        <w:tab/>
      </w:r>
      <w:r>
        <w:rPr>
          <w:rFonts w:ascii="Arial" w:cs="Arial" w:eastAsia="Arial" w:hAnsi="Arial"/>
          <w:sz w:val="16"/>
          <w:szCs w:val="16"/>
          <w:color w:val="auto"/>
        </w:rPr>
        <w:t>Yes, and you’re right, I’m smiling because I mean we’re really thrilled about the outcome. I mean the board unanimously approved, but I can also say my leadership team, we’re unanimously voting for that outcome because we are really excited about the strategic rationale to really offer combined [Unintelligible] for our customers but also about the fit in terms of [Unintelligible] the passion for innovation and science. Great outcome, and we’re really looking forward to building a great company together.</w:t>
      </w:r>
    </w:p>
    <w:p>
      <w:pPr>
        <w:sectPr>
          <w:pgSz w:w="11900" w:h="16838" w:orient="portrait"/>
          <w:cols w:equalWidth="0" w:num="1">
            <w:col w:w="9800"/>
          </w:cols>
          <w:pgMar w:left="1060" w:top="259" w:right="10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Alexandria Clements</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Abernathy Macgregor</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15</w:t>
      </w:r>
    </w:p>
    <w:p>
      <w:pPr>
        <w:sectPr>
          <w:pgSz w:w="11900" w:h="16838" w:orient="portrait"/>
          <w:cols w:equalWidth="0" w:num="1">
            <w:col w:w="9800"/>
          </w:cols>
          <w:pgMar w:left="1060" w:top="259" w:right="10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Andreas Fibig:</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60"/>
        <w:spacing w:after="0" w:line="294" w:lineRule="auto"/>
        <w:rPr>
          <w:sz w:val="20"/>
          <w:szCs w:val="20"/>
          <w:color w:val="auto"/>
        </w:rPr>
      </w:pPr>
      <w:r>
        <w:rPr>
          <w:rFonts w:ascii="Arial" w:cs="Arial" w:eastAsia="Arial" w:hAnsi="Arial"/>
          <w:sz w:val="14"/>
          <w:szCs w:val="14"/>
          <w:color w:val="auto"/>
        </w:rPr>
        <w:t>The good thing is, Mark, that we believe that teams will stay focused in the period until we close the deal. We will prepare very, very well for day one. We are all ready, Matthias and myself, thinking how we organize ourselves. I think we have a clear road map, and a clear plan are already in place. The good thing is if you look at the [Unintelligible], it is more about the enabling function because the business is already very, very [Unintelligible] and very, very separated, and they can focus on their customers and driving gross. The excitement is certainly very high on the IFF side as well because we are tipping our toes for more than a year and to cross [Unintelligible] and some complete solutions, and we just see the opportunities, and what we can generate here together, it’s unbelievable. The excitement on our side is, I believe, the professionalism, and the execution of it is high on both teams because N&amp;B has done integrations before IFF has done it before. I think we will form a highly professional team who can do that.</w:t>
      </w:r>
    </w:p>
    <w:p>
      <w:pPr>
        <w:spacing w:after="0" w:line="59"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We’re going next to David Begleiter with Deutsche Bank. Your line is now open.</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David Begleiter: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Thank you. Good morning.</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Good morning, David.</w:t>
      </w:r>
    </w:p>
    <w:p>
      <w:pPr>
        <w:spacing w:after="0" w:line="136"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David Begleiter:</w:t>
      </w:r>
    </w:p>
    <w:p>
      <w:pPr>
        <w:spacing w:after="0" w:line="20" w:lineRule="exact"/>
        <w:rPr>
          <w:sz w:val="20"/>
          <w:szCs w:val="20"/>
          <w:color w:val="auto"/>
        </w:rPr>
      </w:pPr>
      <w:r>
        <w:rPr>
          <w:sz w:val="20"/>
          <w:szCs w:val="20"/>
          <w:color w:val="auto"/>
        </w:rPr>
        <w:br w:type="column"/>
      </w:r>
    </w:p>
    <w:p>
      <w:pPr>
        <w:jc w:val="both"/>
        <w:ind w:right="60"/>
        <w:spacing w:after="0" w:line="264" w:lineRule="auto"/>
        <w:rPr>
          <w:sz w:val="20"/>
          <w:szCs w:val="20"/>
          <w:color w:val="auto"/>
        </w:rPr>
      </w:pPr>
      <w:r>
        <w:rPr>
          <w:rFonts w:ascii="Arial" w:cs="Arial" w:eastAsia="Arial" w:hAnsi="Arial"/>
          <w:sz w:val="16"/>
          <w:szCs w:val="16"/>
          <w:color w:val="auto"/>
        </w:rPr>
        <w:t>Good morning. What will the role be on current nutrition and bioscience imagine being in a new company? In terms of your role, why the delay in assuming the lead independent director position until June 2021. Why not immediately upon close?</w:t>
      </w:r>
    </w:p>
    <w:p>
      <w:pPr>
        <w:sectPr>
          <w:pgSz w:w="11900" w:h="16838" w:orient="portrait"/>
          <w:cols w:equalWidth="0" w:num="2">
            <w:col w:w="1320" w:space="720"/>
            <w:col w:w="7760"/>
          </w:cols>
          <w:pgMar w:left="1060" w:top="259" w:right="103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Alexandria Clements</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Abernathy Macgregor</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16</w:t>
      </w:r>
    </w:p>
    <w:p>
      <w:pPr>
        <w:sectPr>
          <w:pgSz w:w="11900" w:h="16838" w:orient="portrait"/>
          <w:cols w:equalWidth="0" w:num="1">
            <w:col w:w="9800"/>
          </w:cols>
          <w:pgMar w:left="1060" w:top="259" w:right="10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Well, that will have closed and then we’ll do it at the annual meeting which won’t be any later than June of 20, whatever that is, 2021.</w:t>
      </w:r>
    </w:p>
    <w:p>
      <w:pPr>
        <w:spacing w:after="0" w:line="64"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Andreas Fibig: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2021.</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ind w:right="60"/>
        <w:spacing w:after="0" w:line="291" w:lineRule="auto"/>
        <w:rPr>
          <w:sz w:val="20"/>
          <w:szCs w:val="20"/>
          <w:color w:val="auto"/>
        </w:rPr>
      </w:pPr>
      <w:r>
        <w:rPr>
          <w:rFonts w:ascii="Arial" w:cs="Arial" w:eastAsia="Arial" w:hAnsi="Arial"/>
          <w:sz w:val="14"/>
          <w:szCs w:val="14"/>
          <w:color w:val="auto"/>
        </w:rPr>
        <w:t>It’s just the transition at that point. It’s effectively around—we’ll be closed a few months at that point in time. By the way, I do plan on going to a few board meetings with IFF pre-closing the deal because we got a lot of integration work that will be going on. We’ll already be cross-pollinating and my gut is that I’ve done in past doing deals like this, as we start announcing the board members that we’ll be bringing on, they will also comment and meet with them, the board of IFF and all that. We’re already integrating, talking about strategy and everyone hits the road kind of day one, ready to move and understand what we want to accomplish and what’s going on. I’d also point out on the integration side, Andreas made a couple lead points but to highlight them, there’s heavy lifting to do with DuPont to get this done, carve outs, IT work and many of you on the phone have heard me ad nauseam on the last four years because that’s what [Laughter] we’ve been doing, legal entity work and all that, but it has nothing to do with Matthias and his team running the business. We do all that with separate teams at corporate and we’re pretty darn good at that kind of stuff, so it doesn’t distract them. I’d also make the point on the integration. Our team is highly efficient at this. You’ve watched us for four years. We’ve done some major, major deals here. I think from the outside, they went pretty smoothly and Matthias, by the way, was here for the Danisco integration with his team in the last two years. Remember, we</w:t>
      </w:r>
    </w:p>
    <w:p>
      <w:pPr>
        <w:sectPr>
          <w:pgSz w:w="11900" w:h="16838" w:orient="portrait"/>
          <w:cols w:equalWidth="0" w:num="2">
            <w:col w:w="1320" w:space="720"/>
            <w:col w:w="7760"/>
          </w:cols>
          <w:pgMar w:left="1060" w:top="259" w:right="1039" w:bottom="144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Alexandria Clements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Abernathy Macgregor</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17</w:t>
      </w:r>
    </w:p>
    <w:p>
      <w:pPr>
        <w:spacing w:after="0" w:line="128" w:lineRule="exact"/>
        <w:rPr>
          <w:sz w:val="20"/>
          <w:szCs w:val="20"/>
          <w:color w:val="auto"/>
        </w:rPr>
      </w:pPr>
    </w:p>
    <w:p>
      <w:pPr>
        <w:ind w:left="2040"/>
        <w:spacing w:after="0" w:line="257" w:lineRule="auto"/>
        <w:rPr>
          <w:sz w:val="20"/>
          <w:szCs w:val="20"/>
          <w:color w:val="auto"/>
        </w:rPr>
      </w:pPr>
      <w:r>
        <w:rPr>
          <w:rFonts w:ascii="Arial" w:cs="Arial" w:eastAsia="Arial" w:hAnsi="Arial"/>
          <w:sz w:val="16"/>
          <w:szCs w:val="16"/>
          <w:color w:val="auto"/>
        </w:rPr>
        <w:t>integrated the Dow business into N&amp;B. We put in the FMC business into this company and we also merged our IB business into this business all in the last two years. Again, it happened seamlessly, you didn’t really notice the behind the scenes. We will set-up the integration office just the way we’ve always done it with Andreas is in agreement with, and we will click and clock this thing every day as we go through the next year. I feel really good about it. We spent a lot of time already talking about how this is going to get accomplished.</w:t>
      </w:r>
    </w:p>
    <w:p>
      <w:pPr>
        <w:sectPr>
          <w:pgSz w:w="11900" w:h="16838" w:orient="portrait"/>
          <w:cols w:equalWidth="0" w:num="1">
            <w:col w:w="9800"/>
          </w:cols>
          <w:pgMar w:left="1060" w:top="259" w:right="1039" w:bottom="1440" w:gutter="0" w:footer="0" w:header="0"/>
        </w:sectPr>
      </w:pP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Rich O’Leary:</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I think on our side, it fits well from the timing standpoint. Also, you’ve heard us talking the third quarter call that from the front end of the business, your go-to market implementation from the food [room] side will be done by the second quarter of next year from an operational standpoint, and the integration on the footprint side will be about 90% done by the end of the third quarter of next year and that works well in terms of then being able to fully focus on this integration when the transaction closes in Q1 of 2021.</w:t>
      </w:r>
    </w:p>
    <w:p>
      <w:pPr>
        <w:spacing w:after="0" w:line="80"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Arial" w:cs="Arial" w:eastAsia="Arial" w:hAnsi="Arial"/>
          <w:sz w:val="15"/>
          <w:szCs w:val="15"/>
          <w:color w:val="auto"/>
        </w:rPr>
        <w:t>But we feel really good about that. By the way, many of you have noticed from mergers, we can layout everything except customer strategy. We kind of stayed away from that. We will stay away from that but everything else, operations, as Rich just said: factory footprints, overhead structures, who’s in management – all of that will get done as fast as we can move and the planning will be done by the time we actually do the merger.</w:t>
      </w:r>
    </w:p>
    <w:p>
      <w:pPr>
        <w:spacing w:after="0" w:line="62"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We will take our next question from Jeff Zukauskas with JPMorgan. Your line is open.</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Jeff Zukauskas: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Thanks very much.</w:t>
      </w:r>
    </w:p>
    <w:p>
      <w:pPr>
        <w:sectPr>
          <w:pgSz w:w="11900" w:h="16838" w:orient="portrait"/>
          <w:cols w:equalWidth="0" w:num="2">
            <w:col w:w="1320" w:space="720"/>
            <w:col w:w="7760"/>
          </w:cols>
          <w:pgMar w:left="1060" w:top="259" w:right="1039"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Alexandria Clements</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Abernathy Macgregor</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18</w:t>
      </w:r>
    </w:p>
    <w:p>
      <w:pPr>
        <w:sectPr>
          <w:pgSz w:w="11900" w:h="16838" w:orient="portrait"/>
          <w:cols w:equalWidth="0" w:num="1">
            <w:col w:w="9800"/>
          </w:cols>
          <w:pgMar w:left="1060" w:top="259" w:right="10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Male: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Good morning Jeff.</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Jeff Zukauskas:</w:t>
      </w:r>
    </w:p>
    <w:p>
      <w:pPr>
        <w:spacing w:after="0" w:line="20" w:lineRule="exact"/>
        <w:rPr>
          <w:sz w:val="20"/>
          <w:szCs w:val="20"/>
          <w:color w:val="auto"/>
        </w:rPr>
      </w:pPr>
      <w:r>
        <w:rPr>
          <w:sz w:val="20"/>
          <w:szCs w:val="20"/>
          <w:color w:val="auto"/>
        </w:rPr>
        <w:br w:type="column"/>
      </w:r>
    </w:p>
    <w:p>
      <w:pPr>
        <w:jc w:val="both"/>
        <w:ind w:right="80"/>
        <w:spacing w:after="0" w:line="282" w:lineRule="auto"/>
        <w:rPr>
          <w:sz w:val="20"/>
          <w:szCs w:val="20"/>
          <w:color w:val="auto"/>
        </w:rPr>
      </w:pPr>
      <w:r>
        <w:rPr>
          <w:rFonts w:ascii="Arial" w:cs="Arial" w:eastAsia="Arial" w:hAnsi="Arial"/>
          <w:sz w:val="15"/>
          <w:szCs w:val="15"/>
          <w:color w:val="auto"/>
        </w:rPr>
        <w:t>Hi, good morning. Because IFF and the DuPont Nutrition and Health business don’t directly compete, but you probably have overlapping raw materials, can you I guess work together and understand your raw material position in advance of the closing of the deal and can progress be made on upgrading the ERP systems to make them more compatible so that in the first year of your combination, the realized synergies are larger rather than smaller?</w:t>
      </w:r>
    </w:p>
    <w:p>
      <w:pPr>
        <w:spacing w:after="0" w:line="62"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Rich O’Leary:</w:t>
      </w:r>
    </w:p>
    <w:p>
      <w:pPr>
        <w:spacing w:after="0" w:line="20" w:lineRule="exact"/>
        <w:rPr>
          <w:sz w:val="20"/>
          <w:szCs w:val="20"/>
          <w:color w:val="auto"/>
        </w:rPr>
      </w:pPr>
      <w:r>
        <w:rPr>
          <w:sz w:val="20"/>
          <w:szCs w:val="20"/>
          <w:color w:val="auto"/>
        </w:rPr>
        <w:br w:type="column"/>
      </w:r>
    </w:p>
    <w:p>
      <w:pPr>
        <w:ind w:right="80"/>
        <w:spacing w:after="0" w:line="272" w:lineRule="auto"/>
        <w:rPr>
          <w:sz w:val="20"/>
          <w:szCs w:val="20"/>
          <w:color w:val="auto"/>
        </w:rPr>
      </w:pPr>
      <w:r>
        <w:rPr>
          <w:rFonts w:ascii="Arial" w:cs="Arial" w:eastAsia="Arial" w:hAnsi="Arial"/>
          <w:sz w:val="15"/>
          <w:szCs w:val="15"/>
          <w:color w:val="auto"/>
        </w:rPr>
        <w:t>Yes, Jeff. As Andreas already talked about, that’s going to be a key focal point of the integration office and the program that’s in place. We use similar approaches already in both businesses. I think that’s the procurement side. What we can get into is specific economics in terms of pricing. We respect that both companies are independent until the closing, but we can work through clean room and work with the consultants. We’ve already done an extensive amount of work already and that really is a driver – the single biggest driver. About half of the savings are related to—the cost synergies are coming from the procurement side. So that’s certainly the focal point and we’ll have ample opportunity on the IT side to work on – while N&amp;B is getting carved out of DuPont, on our side, we have to do the planning in terms of how do we connect those systems into the IFF side. Again, as was mentioned earlier, these businesses, from an operational standpoint are already operating independently today so there’s a lot less disruption because it’s more complementary than overlap.</w:t>
      </w:r>
    </w:p>
    <w:p>
      <w:pPr>
        <w:spacing w:after="0" w:line="71"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Andreas Fibig:</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6"/>
          <w:szCs w:val="16"/>
          <w:color w:val="auto"/>
        </w:rPr>
        <w:t>Actually, coming back to the procurement piece of the raw mat, that is certainly something we did during the [DD] already to look at what could</w:t>
      </w:r>
    </w:p>
    <w:p>
      <w:pPr>
        <w:sectPr>
          <w:pgSz w:w="11900" w:h="16838" w:orient="portrait"/>
          <w:cols w:equalWidth="0" w:num="2">
            <w:col w:w="1320" w:space="720"/>
            <w:col w:w="7760"/>
          </w:cols>
          <w:pgMar w:left="1060" w:top="259" w:right="103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Alexandria Clements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Abernathy Macgregor</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19</w:t>
      </w:r>
    </w:p>
    <w:p>
      <w:pPr>
        <w:spacing w:after="0" w:line="128" w:lineRule="exact"/>
        <w:rPr>
          <w:sz w:val="20"/>
          <w:szCs w:val="20"/>
          <w:color w:val="auto"/>
        </w:rPr>
      </w:pPr>
    </w:p>
    <w:p>
      <w:pPr>
        <w:jc w:val="both"/>
        <w:ind w:left="2040" w:right="240"/>
        <w:spacing w:after="0" w:line="264" w:lineRule="auto"/>
        <w:rPr>
          <w:sz w:val="20"/>
          <w:szCs w:val="20"/>
          <w:color w:val="auto"/>
        </w:rPr>
      </w:pPr>
      <w:r>
        <w:rPr>
          <w:rFonts w:ascii="Arial" w:cs="Arial" w:eastAsia="Arial" w:hAnsi="Arial"/>
          <w:sz w:val="16"/>
          <w:szCs w:val="16"/>
          <w:color w:val="auto"/>
        </w:rPr>
        <w:t>be the magnitude of the savings. I would like to remind everybody that during the [Unintelligible] integration, we are overdelivering on our procurement savings so we feel very confident that what we have on the plan right now we can deliver.</w:t>
      </w:r>
    </w:p>
    <w:p>
      <w:pPr>
        <w:sectPr>
          <w:pgSz w:w="11900" w:h="16838" w:orient="portrait"/>
          <w:cols w:equalWidth="0" w:num="1">
            <w:col w:w="9800"/>
          </w:cols>
          <w:pgMar w:left="1060" w:top="259" w:right="1039"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Yes, and Jeff one of your points is key here. I think our timeline to close this transaction is very safe because there is not overlap. We’re broadening out the portfolio so anti-trust issues aren’t there. So we’re not going to have second reviews of things like that. I think that really helps the timeline.</w:t>
      </w:r>
    </w:p>
    <w:p>
      <w:pPr>
        <w:spacing w:after="0" w:line="74"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Jeff Zukauskas: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Okay, great. Thank you.</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We will take our next question from Jeffrey Sprague with Vertical Research. Your line is open.</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Jeffrey Sprague:</w:t>
      </w:r>
    </w:p>
    <w:p>
      <w:pPr>
        <w:spacing w:after="0" w:line="20" w:lineRule="exact"/>
        <w:rPr>
          <w:sz w:val="20"/>
          <w:szCs w:val="20"/>
          <w:color w:val="auto"/>
        </w:rPr>
      </w:pPr>
      <w:r>
        <w:rPr>
          <w:sz w:val="20"/>
          <w:szCs w:val="20"/>
          <w:color w:val="auto"/>
        </w:rPr>
        <w:br w:type="column"/>
      </w:r>
    </w:p>
    <w:p>
      <w:pPr>
        <w:ind w:right="20"/>
        <w:spacing w:after="0" w:line="264" w:lineRule="auto"/>
        <w:rPr>
          <w:sz w:val="20"/>
          <w:szCs w:val="20"/>
          <w:color w:val="auto"/>
        </w:rPr>
      </w:pPr>
      <w:r>
        <w:rPr>
          <w:rFonts w:ascii="Arial" w:cs="Arial" w:eastAsia="Arial" w:hAnsi="Arial"/>
          <w:sz w:val="16"/>
          <w:szCs w:val="16"/>
          <w:color w:val="auto"/>
        </w:rPr>
        <w:t>Thank you, good morning. Just the one follow-up on that last point and then a different question. So Ed, what is the long pole on the tent here then to getting to completion? It doesn’t sound like it’s regulatory. It sounds like it’s just the underlying blocking and tackling.</w:t>
      </w:r>
    </w:p>
    <w:p>
      <w:pPr>
        <w:spacing w:after="0" w:line="74"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6"/>
          <w:szCs w:val="16"/>
          <w:color w:val="auto"/>
        </w:rPr>
        <w:t>Yes, it’s really three – well two, about three things. It’s the carve out financial work that again happens at our corporate office, not in N&amp;B. It’s the IT capability to lift it out and transfer – you know, there’ll be test periods with IFF you go through to make sure everything is tick and tying and working and we can close our books and all that. As you know, we have great experience at that too. We’ve done many of them. Then the legal work, you’ve got to kind of go country by country and redo your legal structure to make sure you’re still being very tax efficient. You get everything right and all that. So that would be the three big buckets and again, they’re all done in Jeanmarie’s team up in corporate in Wilmington.</w:t>
      </w:r>
    </w:p>
    <w:p>
      <w:pPr>
        <w:sectPr>
          <w:pgSz w:w="11900" w:h="16838" w:orient="portrait"/>
          <w:cols w:equalWidth="0" w:num="2">
            <w:col w:w="1320" w:space="720"/>
            <w:col w:w="7760"/>
          </w:cols>
          <w:pgMar w:left="1060" w:top="259" w:right="1039" w:bottom="144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Alexandria Clements</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Abernathy Macgregor</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20</w:t>
      </w:r>
    </w:p>
    <w:p>
      <w:pPr>
        <w:sectPr>
          <w:pgSz w:w="11900" w:h="16838" w:orient="portrait"/>
          <w:cols w:equalWidth="0" w:num="1">
            <w:col w:w="9800"/>
          </w:cols>
          <w:pgMar w:left="1060" w:top="259" w:right="10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Jeffrey Sprague: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180"/>
        <w:spacing w:after="0" w:line="312" w:lineRule="auto"/>
        <w:rPr>
          <w:sz w:val="20"/>
          <w:szCs w:val="20"/>
          <w:color w:val="auto"/>
        </w:rPr>
      </w:pPr>
      <w:r>
        <w:rPr>
          <w:rFonts w:ascii="Arial" w:cs="Arial" w:eastAsia="Arial" w:hAnsi="Arial"/>
          <w:sz w:val="15"/>
          <w:szCs w:val="15"/>
          <w:color w:val="auto"/>
        </w:rPr>
        <w:t>Then, with this dividend that DuPont will receive, Ed, $7.3 billion I imagine you’re going to pay down some debt, but what about the remainder? Are you thinking share repurchase or…? What would be the game plan?</w:t>
      </w:r>
    </w:p>
    <w:p>
      <w:pPr>
        <w:spacing w:after="0" w:line="40"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ind w:right="180"/>
        <w:spacing w:after="0" w:line="278" w:lineRule="auto"/>
        <w:rPr>
          <w:sz w:val="20"/>
          <w:szCs w:val="20"/>
          <w:color w:val="auto"/>
        </w:rPr>
      </w:pPr>
      <w:r>
        <w:rPr>
          <w:rFonts w:ascii="Arial" w:cs="Arial" w:eastAsia="Arial" w:hAnsi="Arial"/>
          <w:sz w:val="15"/>
          <w:szCs w:val="15"/>
          <w:color w:val="auto"/>
        </w:rPr>
        <w:t>Yes, so we’re going to have to pay down a good kind of $5 billion to de-lever because of the EBITDA leaving the company. We still want to keep ourselves in a very strong financial profile so that will occur. Give or take, there’s $2 billion-$2.3 billion of excess cash. Look, you know our profile. We’re very shareholder friendly. There might be some [bolt] on M&amp;A we want to do here. You’ve watched us do a few interesting things lately in the water space, but generally speaking, we’re not going to sit on the cash. We’ll be shareholder friendly.</w:t>
      </w:r>
    </w:p>
    <w:p>
      <w:pPr>
        <w:spacing w:after="0" w:line="66"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Jeffrey Sprague: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Thanks. Congrats, great deal.</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Thanks, Jeff.</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We will take our next question from Lauren Lieberman with Barclays. Your line is open.</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Lauren Lieberman: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Great. Thank you. Good morning.</w:t>
      </w:r>
    </w:p>
    <w:p>
      <w:pPr>
        <w:spacing w:after="0" w:line="147" w:lineRule="exact"/>
        <w:rPr>
          <w:sz w:val="20"/>
          <w:szCs w:val="20"/>
          <w:color w:val="auto"/>
        </w:rPr>
      </w:pPr>
    </w:p>
    <w:p>
      <w:pPr>
        <w:sectPr>
          <w:pgSz w:w="11900" w:h="16838" w:orient="portrait"/>
          <w:cols w:equalWidth="0" w:num="2">
            <w:col w:w="1340" w:space="70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Good morning, Lauren.</w:t>
      </w:r>
    </w:p>
    <w:p>
      <w:pPr>
        <w:sectPr>
          <w:pgSz w:w="11900" w:h="16838" w:orient="portrait"/>
          <w:cols w:equalWidth="0" w:num="2">
            <w:col w:w="1320" w:space="720"/>
            <w:col w:w="7760"/>
          </w:cols>
          <w:pgMar w:left="1060" w:top="259" w:right="103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Alexandria Clements</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Abernathy Macgregor</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21</w:t>
      </w:r>
    </w:p>
    <w:p>
      <w:pPr>
        <w:sectPr>
          <w:pgSz w:w="11900" w:h="16838" w:orient="portrait"/>
          <w:cols w:equalWidth="0" w:num="1">
            <w:col w:w="9800"/>
          </w:cols>
          <w:pgMar w:left="1060" w:top="259" w:right="10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Lauren Lieberman:</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Two questions. Thanks. The first thing was just around the mid-single-digit revenue targets with the combined companies going forward. I just wanted to understand a bit what the expected growth is that you rolled for the two legacy businesses because my understanding is the DuPont business has sort of been flattish to up 1% more recently and even the last couple of years so just a little bit of visibility on that and why that business should accelerate would be great. Then the second thing was just on integration timeline. It just sounds like – because a couple of different times on the call you talked about getting going right away with integration planning and in RMTs that I’ve seen in the past, there’s really been a pretty heavy restriction on the companies being able to work together because of competitive dynamics. So I want to be clear there’s nowhere that the two companies currently compete so you really can start this planning work immediately. Thanks.</w:t>
      </w:r>
    </w:p>
    <w:p>
      <w:pPr>
        <w:spacing w:after="0" w:line="68" w:lineRule="exact"/>
        <w:rPr>
          <w:sz w:val="20"/>
          <w:szCs w:val="20"/>
          <w:color w:val="auto"/>
        </w:rPr>
      </w:pPr>
    </w:p>
    <w:p>
      <w:pPr>
        <w:sectPr>
          <w:pgSz w:w="11900" w:h="16838" w:orient="portrait"/>
          <w:cols w:equalWidth="0" w:num="2">
            <w:col w:w="1340" w:space="70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Rich O’Leary:</w:t>
      </w:r>
    </w:p>
    <w:p>
      <w:pPr>
        <w:spacing w:after="0" w:line="20" w:lineRule="exact"/>
        <w:rPr>
          <w:sz w:val="20"/>
          <w:szCs w:val="20"/>
          <w:color w:val="auto"/>
        </w:rPr>
      </w:pPr>
      <w:r>
        <w:rPr>
          <w:sz w:val="20"/>
          <w:szCs w:val="20"/>
          <w:color w:val="auto"/>
        </w:rPr>
        <w:br w:type="column"/>
      </w:r>
    </w:p>
    <w:p>
      <w:pPr>
        <w:ind w:right="20"/>
        <w:spacing w:after="0" w:line="273" w:lineRule="auto"/>
        <w:rPr>
          <w:sz w:val="20"/>
          <w:szCs w:val="20"/>
          <w:color w:val="auto"/>
        </w:rPr>
      </w:pPr>
      <w:r>
        <w:rPr>
          <w:rFonts w:ascii="Arial" w:cs="Arial" w:eastAsia="Arial" w:hAnsi="Arial"/>
          <w:sz w:val="15"/>
          <w:szCs w:val="15"/>
          <w:color w:val="auto"/>
        </w:rPr>
        <w:t>Yes, good morning, Lauren. Now, let me start with the second one. You’ve got exactly from a market standpoint, there’s almost no overlap so I think that’s why we feel very confident in our ability to, one, from a regulatory standpoint, no challenges. Second thing, it enables us to get into the details of the integration planning. In terms of the growth rates, I would say that post-closing, the growth rates that we’re projecting for the N&amp;B business is right in the middle of our organic growth rates that we’ve had historically a 3% to 5%. On the IFF side, yes, we’ve got sort of the same thing, the middle point of our 3% to 5% but clusters still have some of the cross-selling synergies from the Frutarom side so we’ll probably be at the higher end of that 3% to 5% range and then on top of that, you get the cross-selling – the $400 million of this combined deal that drives it above the 5% range.</w:t>
      </w:r>
    </w:p>
    <w:p>
      <w:pPr>
        <w:sectPr>
          <w:pgSz w:w="11900" w:h="16838" w:orient="portrait"/>
          <w:cols w:equalWidth="0" w:num="2">
            <w:col w:w="1320" w:space="720"/>
            <w:col w:w="7760"/>
          </w:cols>
          <w:pgMar w:left="1060" w:top="259" w:right="1039" w:bottom="1440"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Alexandria Clements</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Abernathy Macgregor</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22</w:t>
      </w:r>
    </w:p>
    <w:p>
      <w:pPr>
        <w:sectPr>
          <w:pgSz w:w="11900" w:h="16838" w:orient="portrait"/>
          <w:cols w:equalWidth="0" w:num="1">
            <w:col w:w="9800"/>
          </w:cols>
          <w:pgMar w:left="1060" w:top="259" w:right="10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Andreas Fibig:</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Maybe on the RMT?</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ind w:right="40"/>
        <w:spacing w:after="0" w:line="255" w:lineRule="auto"/>
        <w:rPr>
          <w:sz w:val="20"/>
          <w:szCs w:val="20"/>
          <w:color w:val="auto"/>
        </w:rPr>
      </w:pPr>
      <w:r>
        <w:rPr>
          <w:rFonts w:ascii="Arial" w:cs="Arial" w:eastAsia="Arial" w:hAnsi="Arial"/>
          <w:sz w:val="16"/>
          <w:szCs w:val="16"/>
          <w:color w:val="auto"/>
        </w:rPr>
        <w:t>Yes. Your comments, Lauren, on the RMT and doing the integration work, if you put it in a percent, about 90% of what we need to do we’re allowed to do during the next year and again, it’s really you’ve got to stay away from customer-customer profitability and sharing those types of things but all the other work, looking at overhead structure, factory efficiency, warehouse efficiency, procurement, all those things we’re going to preplan and literally, we’ll have a playbook line by line by line of exactly what’s the item, how are we going to get the cost synergy, who’s responsible for what’s the return on investment on each one of them and we’ll just very rigorously track them and that system will work very well for us.</w:t>
      </w:r>
    </w:p>
    <w:p>
      <w:pPr>
        <w:spacing w:after="0" w:line="81"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Andreas Fibig: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Matthias, your comment on the business?</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Matthias Heinzel:</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5"/>
          <w:szCs w:val="15"/>
          <w:color w:val="auto"/>
        </w:rPr>
        <w:t>Yes, I know. It’s Matthias here. Talking about the N&amp;B situation, I mean we have been up to [unintelligible] the digits over the last couple of years. If you look at the organic growth, there’s some very high growth in probiotics and enzymes business. 2019 is a bit of an adjustment year due to some market situations in China and in the US. We see already growth going back in Asia in probiotics so we’re very confident about our growth expectation going forward. We have put enough now capacity and the right capacity in place in the high growth areas in probiotics and cultures so we are very committed and getting back to this kind of growth curve going forward.</w:t>
      </w:r>
    </w:p>
    <w:p>
      <w:pPr>
        <w:spacing w:after="0" w:line="6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ind w:right="60"/>
        <w:spacing w:after="0" w:line="264" w:lineRule="auto"/>
        <w:rPr>
          <w:sz w:val="20"/>
          <w:szCs w:val="20"/>
          <w:color w:val="auto"/>
        </w:rPr>
      </w:pPr>
      <w:r>
        <w:rPr>
          <w:rFonts w:ascii="Arial" w:cs="Arial" w:eastAsia="Arial" w:hAnsi="Arial"/>
          <w:sz w:val="16"/>
          <w:szCs w:val="16"/>
          <w:color w:val="auto"/>
        </w:rPr>
        <w:t>Yes and by the way, for those not familiar among the call, we just finished three months ago, $100-million expansion on our probiotics line. We are flat out on capability from a production standpoint. So we just completed that and that will help us now over the next few years.</w:t>
      </w:r>
    </w:p>
    <w:p>
      <w:pPr>
        <w:sectPr>
          <w:pgSz w:w="11900" w:h="16838" w:orient="portrait"/>
          <w:cols w:equalWidth="0" w:num="2">
            <w:col w:w="1320" w:space="720"/>
            <w:col w:w="7760"/>
          </w:cols>
          <w:pgMar w:left="1060" w:top="259" w:right="1039"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Alexandria Clements</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Abernathy Macgregor</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23</w:t>
      </w:r>
    </w:p>
    <w:p>
      <w:pPr>
        <w:sectPr>
          <w:pgSz w:w="11900" w:h="16838" w:orient="portrait"/>
          <w:cols w:equalWidth="0" w:num="1">
            <w:col w:w="9800"/>
          </w:cols>
          <w:pgMar w:left="1060" w:top="259" w:right="10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We will take our next question from Vincent Andrews with Morgan Stanley. Your line is open.</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Vincent Andrews: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Thank you. Good morning, everyone, and congratulations.</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Thanks.</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Vincent Andrews:</w:t>
      </w:r>
    </w:p>
    <w:p>
      <w:pPr>
        <w:spacing w:after="0" w:line="20" w:lineRule="exact"/>
        <w:rPr>
          <w:sz w:val="20"/>
          <w:szCs w:val="20"/>
          <w:color w:val="auto"/>
        </w:rPr>
      </w:pPr>
      <w:r>
        <w:rPr>
          <w:sz w:val="20"/>
          <w:szCs w:val="20"/>
          <w:color w:val="auto"/>
        </w:rPr>
        <w:br w:type="column"/>
      </w:r>
    </w:p>
    <w:p>
      <w:pPr>
        <w:ind w:right="180"/>
        <w:spacing w:after="0" w:line="259" w:lineRule="auto"/>
        <w:rPr>
          <w:sz w:val="20"/>
          <w:szCs w:val="20"/>
          <w:color w:val="auto"/>
        </w:rPr>
      </w:pPr>
      <w:r>
        <w:rPr>
          <w:rFonts w:ascii="Arial" w:cs="Arial" w:eastAsia="Arial" w:hAnsi="Arial"/>
          <w:sz w:val="16"/>
          <w:szCs w:val="16"/>
          <w:color w:val="auto"/>
        </w:rPr>
        <w:t>Ed, maybe you could talk to us about how you’re thinking about next steps at RemainCo, DuPont. IFF is showing you they can do two transactions at once. Is that something you think you could potentially do if it made sense with one of the other segments or do we have to wait before Nutrition and Biosciences is separated before you might consider another large-scale event?</w:t>
      </w:r>
    </w:p>
    <w:p>
      <w:pPr>
        <w:spacing w:after="0" w:line="79"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spacing w:after="0" w:line="295" w:lineRule="auto"/>
        <w:rPr>
          <w:sz w:val="20"/>
          <w:szCs w:val="20"/>
          <w:color w:val="auto"/>
        </w:rPr>
      </w:pPr>
      <w:r>
        <w:rPr>
          <w:rFonts w:ascii="Arial" w:cs="Arial" w:eastAsia="Arial" w:hAnsi="Arial"/>
          <w:sz w:val="14"/>
          <w:szCs w:val="14"/>
          <w:color w:val="auto"/>
        </w:rPr>
        <w:t>Well, I will say this to you, I’m going to definitely try to get some downtime over this holiday so [laughter] don’t expect anything in the next couple of weeks. No, look, we’re capable of doing more than one thing at a time and we said that before and look, I think we’ve been very transparent that we’re going to actively manage the portfolio. By the way, I like what’s in new DuPont. I guess some people are calling it RemainCo right now. There’s a great set of assets and we will do whatever we need to do to create value long term for our shareholders. We’re obviously not afraid to make moves like this. If there’s something there that’s good for our shareholders, we will clearly look at it and make a move against that. On the other hand, we like growing our business organically. We have some interesting bolt-on opportunities. We like in the company, there are good returns for us and we’ll be looking at that also.</w:t>
      </w:r>
    </w:p>
    <w:p>
      <w:pPr>
        <w:sectPr>
          <w:pgSz w:w="11900" w:h="16838" w:orient="portrait"/>
          <w:cols w:equalWidth="0" w:num="2">
            <w:col w:w="1320" w:space="720"/>
            <w:col w:w="7760"/>
          </w:cols>
          <w:pgMar w:left="1060" w:top="259" w:right="1039"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Alexandria Clements</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Abernathy Macgregor</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24</w:t>
      </w:r>
    </w:p>
    <w:p>
      <w:pPr>
        <w:sectPr>
          <w:pgSz w:w="11900" w:h="16838" w:orient="portrait"/>
          <w:cols w:equalWidth="0" w:num="1">
            <w:col w:w="9800"/>
          </w:cols>
          <w:pgMar w:left="1060" w:top="259" w:right="10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Vincent Andrews: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Thank you and enjoy your vacation.</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Yes. [Laughter]</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We will go next to Faiza Alwy with Deutsch Bank. Your line is open.</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Faiza Alwy: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Great. Thank you. Good morning.</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Good morning.</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Faiza Alwy:</w:t>
      </w:r>
    </w:p>
    <w:p>
      <w:pPr>
        <w:spacing w:after="0" w:line="20" w:lineRule="exact"/>
        <w:rPr>
          <w:sz w:val="20"/>
          <w:szCs w:val="20"/>
          <w:color w:val="auto"/>
        </w:rPr>
      </w:pPr>
      <w:r>
        <w:rPr>
          <w:sz w:val="20"/>
          <w:szCs w:val="20"/>
          <w:color w:val="auto"/>
        </w:rPr>
        <w:br w:type="column"/>
      </w:r>
    </w:p>
    <w:p>
      <w:pPr>
        <w:ind w:right="100"/>
        <w:spacing w:after="0" w:line="289" w:lineRule="auto"/>
        <w:rPr>
          <w:sz w:val="20"/>
          <w:szCs w:val="20"/>
          <w:color w:val="auto"/>
        </w:rPr>
      </w:pPr>
      <w:r>
        <w:rPr>
          <w:rFonts w:ascii="Arial" w:cs="Arial" w:eastAsia="Arial" w:hAnsi="Arial"/>
          <w:sz w:val="15"/>
          <w:szCs w:val="15"/>
          <w:color w:val="auto"/>
        </w:rPr>
        <w:t>Morning. Andreas, I wanted to ask about first on the potential disruption point and maybe it would help if you could compare and contrast relative to Frutarom because I think you would agree that in year one, Frutarom hasn’t performed in line with expectations. So how do you ensure that the same thing doesn’t happen again?</w:t>
      </w:r>
    </w:p>
    <w:p>
      <w:pPr>
        <w:spacing w:after="0" w:line="58"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Andreas Fibig:</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6"/>
          <w:szCs w:val="16"/>
          <w:color w:val="auto"/>
        </w:rPr>
        <w:t>Look, Faiza, I think that’s a very, very valid question. I believe that we have made good learnings over the last couple of months and I would say what has worked extremely well was everything related to cost synergies whether it is procurement, manufacturing footprint or overhead cost. That’s the reason why we are overdelivering and we will take this blueprint and we’re already talking to Matthias how we basically can do this for the new combined company. I think we are good on this and both companies as we said before have great experience. On the other hand, the things which didn’t work so well were some one-time effects on the sales side and then the compliance in Russia so I would say here, we are very,</w:t>
      </w:r>
    </w:p>
    <w:p>
      <w:pPr>
        <w:sectPr>
          <w:pgSz w:w="11900" w:h="16838" w:orient="portrait"/>
          <w:cols w:equalWidth="0" w:num="2">
            <w:col w:w="1320" w:space="720"/>
            <w:col w:w="7760"/>
          </w:cols>
          <w:pgMar w:left="1060" w:top="259" w:right="1039" w:bottom="144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Alexandria Clements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Abernathy Macgregor</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25</w:t>
      </w:r>
    </w:p>
    <w:p>
      <w:pPr>
        <w:spacing w:after="0" w:line="128" w:lineRule="exact"/>
        <w:rPr>
          <w:sz w:val="20"/>
          <w:szCs w:val="20"/>
          <w:color w:val="auto"/>
        </w:rPr>
      </w:pPr>
    </w:p>
    <w:p>
      <w:pPr>
        <w:ind w:left="2040" w:right="120"/>
        <w:spacing w:after="0" w:line="273" w:lineRule="auto"/>
        <w:rPr>
          <w:sz w:val="20"/>
          <w:szCs w:val="20"/>
          <w:color w:val="auto"/>
        </w:rPr>
      </w:pPr>
      <w:r>
        <w:rPr>
          <w:rFonts w:ascii="Arial" w:cs="Arial" w:eastAsia="Arial" w:hAnsi="Arial"/>
          <w:sz w:val="15"/>
          <w:szCs w:val="15"/>
          <w:color w:val="auto"/>
        </w:rPr>
        <w:t>very secure because we don’t expect any compliance topics. We have two US entities and US companies emerging together as number one. Number two, we will go with nice tailwind into that – sales-wise into that integration because we expect a good rebound as Matthias just said in his business for next year. We are pretty set what we can expect for our business so I believe that’s good and we will see no of these one-time effects. The major, major topic, and maybe Matthias can comment on that one as well, it’s the combined culture because it is – when I, during the DD, walked into some of the DuPont facilities, it felt like home. We were talking the same language and we have same capabilities in different areas but it’s very science-driven, science-led so we believe that this is something which is very, very strong going forward but Matthias, please, you comment.</w:t>
      </w:r>
    </w:p>
    <w:p>
      <w:pPr>
        <w:sectPr>
          <w:pgSz w:w="11900" w:h="16838" w:orient="portrait"/>
          <w:cols w:equalWidth="0" w:num="1">
            <w:col w:w="9800"/>
          </w:cols>
          <w:pgMar w:left="1060" w:top="259" w:right="1039" w:bottom="1440" w:gutter="0" w:footer="0" w:header="0"/>
        </w:sectPr>
      </w:pP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Matthias Heinzel:</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Yes. Thank you, Andreas. I mean like Ed mentioned over the years, we’ve had quite a bit of expertise starting with the [business] integration which I was involved in, the FMC, the Dow [Dupont] and pharma so I think my leadership team which is a very global, very diverse team as well the expertise, we would apply the right processes but at the end of the day, it’s I think the people working together and the shared vision, the passion, the [unintelligible] [footprint], innovation and customers. So certainly, I can echo what Andreas said. I mean [unintelligible] through the two divisions, we came up with a very collaborative and again shared vision for the future.</w:t>
      </w:r>
    </w:p>
    <w:p>
      <w:pPr>
        <w:spacing w:after="0" w:line="6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ind w:right="160"/>
        <w:spacing w:after="0" w:line="264" w:lineRule="auto"/>
        <w:rPr>
          <w:sz w:val="20"/>
          <w:szCs w:val="20"/>
          <w:color w:val="auto"/>
        </w:rPr>
      </w:pPr>
      <w:r>
        <w:rPr>
          <w:rFonts w:ascii="Arial" w:cs="Arial" w:eastAsia="Arial" w:hAnsi="Arial"/>
          <w:sz w:val="16"/>
          <w:szCs w:val="16"/>
          <w:color w:val="auto"/>
        </w:rPr>
        <w:t>By the way, I think that’s a big distinction. Frutarom brought a lot of great ingredients and products and all to the table but there’s no depth. The depth of the N&amp;B team is very, very strong and I mean this in a positive way. It’s a very process-driven. They know what they’re doing. They</w:t>
      </w:r>
    </w:p>
    <w:p>
      <w:pPr>
        <w:sectPr>
          <w:pgSz w:w="11900" w:h="16838" w:orient="portrait"/>
          <w:cols w:equalWidth="0" w:num="2">
            <w:col w:w="1320" w:space="720"/>
            <w:col w:w="7760"/>
          </w:cols>
          <w:pgMar w:left="1060" w:top="259" w:right="1039" w:bottom="144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Alexandria Clements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Abernathy Macgregor</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26</w:t>
      </w:r>
    </w:p>
    <w:p>
      <w:pPr>
        <w:spacing w:after="0" w:line="128" w:lineRule="exact"/>
        <w:rPr>
          <w:sz w:val="20"/>
          <w:szCs w:val="20"/>
          <w:color w:val="auto"/>
        </w:rPr>
      </w:pPr>
    </w:p>
    <w:p>
      <w:pPr>
        <w:jc w:val="both"/>
        <w:ind w:left="2040" w:right="80"/>
        <w:spacing w:after="0" w:line="264" w:lineRule="auto"/>
        <w:rPr>
          <w:sz w:val="20"/>
          <w:szCs w:val="20"/>
          <w:color w:val="auto"/>
        </w:rPr>
      </w:pPr>
      <w:r>
        <w:rPr>
          <w:rFonts w:ascii="Arial" w:cs="Arial" w:eastAsia="Arial" w:hAnsi="Arial"/>
          <w:sz w:val="16"/>
          <w:szCs w:val="16"/>
          <w:color w:val="auto"/>
        </w:rPr>
        <w:t>know how to do this. I think that’s a huge distinction and there’s another big distinction. We have a full year to plan this one which was not the case in the others so that’s a lot of planning time to get this right. We will definitely use that time to our advantage.</w:t>
      </w:r>
    </w:p>
    <w:p>
      <w:pPr>
        <w:sectPr>
          <w:pgSz w:w="11900" w:h="16838" w:orient="portrait"/>
          <w:cols w:equalWidth="0" w:num="1">
            <w:col w:w="9800"/>
          </w:cols>
          <w:pgMar w:left="1060" w:top="259" w:right="1039"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We will go next to Steve Bryan with Bank of America. Your line is open.</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Steve Bryan:</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6"/>
          <w:szCs w:val="16"/>
          <w:color w:val="auto"/>
        </w:rPr>
        <w:t>Yes. On slide 14, you list 10 businesses where the combination here results in a category leader, just wanted to ask whether that category leadership in any of those 10 businesses was a result of the combination and then also wanted to ask Matthias, which of your businesses do you see the most potential for revenue synergy by tapping into IFF’s customer relationships?</w:t>
      </w:r>
    </w:p>
    <w:p>
      <w:pPr>
        <w:spacing w:after="0" w:line="79"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Andreas Fibig: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Maybe Matthias, you can take it right away.</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Matthias Heinzel:</w:t>
      </w:r>
    </w:p>
    <w:p>
      <w:pPr>
        <w:spacing w:after="0" w:line="20" w:lineRule="exact"/>
        <w:rPr>
          <w:sz w:val="20"/>
          <w:szCs w:val="20"/>
          <w:color w:val="auto"/>
        </w:rPr>
      </w:pPr>
      <w:r>
        <w:rPr>
          <w:sz w:val="20"/>
          <w:szCs w:val="20"/>
          <w:color w:val="auto"/>
        </w:rPr>
        <w:br w:type="column"/>
      </w:r>
    </w:p>
    <w:p>
      <w:pPr>
        <w:ind w:right="60"/>
        <w:spacing w:after="0" w:line="276" w:lineRule="auto"/>
        <w:rPr>
          <w:sz w:val="20"/>
          <w:szCs w:val="20"/>
          <w:color w:val="auto"/>
        </w:rPr>
      </w:pPr>
      <w:r>
        <w:rPr>
          <w:rFonts w:ascii="Arial" w:cs="Arial" w:eastAsia="Arial" w:hAnsi="Arial"/>
          <w:sz w:val="15"/>
          <w:szCs w:val="15"/>
          <w:color w:val="auto"/>
        </w:rPr>
        <w:t>Yes. Look, I mean if you look at the food and beverage segment, that’s certainly where we see strong synergies. At the end of the day, we are all consumers every day and we like products with the right texture, with the right [mouthful] and at the end of the day, they need to taste that. I think, with this combination, we will be able to really bring even better innovation on food, which we, as consumers, would like even more. The other aspect is like, for example, home and personal care. We would, again, serve the similar customer base but we really bring out expertise together. We’re really tremendously looking forward to this, unleashing now the potential going forward.</w:t>
      </w:r>
    </w:p>
    <w:p>
      <w:pPr>
        <w:spacing w:after="0" w:line="6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Andreas Fibig:</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6"/>
          <w:szCs w:val="16"/>
          <w:color w:val="auto"/>
        </w:rPr>
        <w:t>It makes it, actually, Steve, easier for us because we have limited overlap in some of these categories, but the categories play very well together, and</w:t>
      </w:r>
    </w:p>
    <w:p>
      <w:pPr>
        <w:sectPr>
          <w:pgSz w:w="11900" w:h="16838" w:orient="portrait"/>
          <w:cols w:equalWidth="0" w:num="2">
            <w:col w:w="1320" w:space="720"/>
            <w:col w:w="7760"/>
          </w:cols>
          <w:pgMar w:left="1060" w:top="259" w:right="1039" w:bottom="1440" w:gutter="0" w:footer="0" w:header="0"/>
          <w:type w:val="continuous"/>
        </w:sectPr>
      </w:pPr>
    </w:p>
    <w:bookmarkStart w:id="65" w:name="page66"/>
    <w:bookmarkEnd w:id="65"/>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Alexandria Clements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Abernathy Macgregor</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27</w:t>
      </w:r>
    </w:p>
    <w:p>
      <w:pPr>
        <w:spacing w:after="0" w:line="128" w:lineRule="exact"/>
        <w:rPr>
          <w:sz w:val="20"/>
          <w:szCs w:val="20"/>
          <w:color w:val="auto"/>
        </w:rPr>
      </w:pPr>
    </w:p>
    <w:p>
      <w:pPr>
        <w:ind w:left="2040" w:right="60"/>
        <w:spacing w:after="0" w:line="289" w:lineRule="auto"/>
        <w:rPr>
          <w:sz w:val="20"/>
          <w:szCs w:val="20"/>
          <w:color w:val="auto"/>
        </w:rPr>
      </w:pPr>
      <w:r>
        <w:rPr>
          <w:rFonts w:ascii="Arial" w:cs="Arial" w:eastAsia="Arial" w:hAnsi="Arial"/>
          <w:sz w:val="15"/>
          <w:szCs w:val="15"/>
          <w:color w:val="auto"/>
        </w:rPr>
        <w:t>I think that’s a huge difference. I’m glad you picked slide 14 because that’s, for me, the pivotal slide because it shows the strength of the combined company, which is not replicable easily by any of our competitors, and that will drive us as a very invaluable partner for many, many of our customers, whether they’re big or small customers.</w:t>
      </w:r>
    </w:p>
    <w:p>
      <w:pPr>
        <w:sectPr>
          <w:pgSz w:w="11900" w:h="16838" w:orient="portrait"/>
          <w:cols w:equalWidth="0" w:num="1">
            <w:col w:w="9800"/>
          </w:cols>
          <w:pgMar w:left="1060" w:top="259" w:right="103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Steve Byrne: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Ed, any of your corporate costs going to be allocated to this deal?</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ind w:right="20"/>
        <w:spacing w:after="0" w:line="278" w:lineRule="auto"/>
        <w:rPr>
          <w:sz w:val="20"/>
          <w:szCs w:val="20"/>
          <w:color w:val="auto"/>
        </w:rPr>
      </w:pPr>
      <w:r>
        <w:rPr>
          <w:rFonts w:ascii="Arial" w:cs="Arial" w:eastAsia="Arial" w:hAnsi="Arial"/>
          <w:sz w:val="15"/>
          <w:szCs w:val="15"/>
          <w:color w:val="auto"/>
        </w:rPr>
        <w:t>No, we’re going to end up having some stranded cost on the DuPont. Jean’s already got a team [Laughter] as we’ve been through this before, has the team working to identify all the stranded cost that we’ll have. Obviously, we’ll have to deal with that, but we’re well on top of it, we know what we’re doing. By the way, it’s probably in the ballpark of give or take $100 million. I mean, in the scheme of the company, it’s not a big number, but we have some lifting to do to clean that up. Nothing from “corporate”. We’ll, obviously, go over to IFF. That won’t happen.</w:t>
      </w:r>
    </w:p>
    <w:p>
      <w:pPr>
        <w:spacing w:after="0" w:line="66"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Steve Byrne: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Good. Thank you.</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Thank you. [Laughter] I could give you some. [Laughter]</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We will take our next question from John Roberts with EBS. Your line is open.</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John Roberts:</w:t>
      </w:r>
    </w:p>
    <w:p>
      <w:pPr>
        <w:spacing w:after="0" w:line="20" w:lineRule="exact"/>
        <w:rPr>
          <w:sz w:val="20"/>
          <w:szCs w:val="20"/>
          <w:color w:val="auto"/>
        </w:rPr>
      </w:pPr>
      <w:r>
        <w:rPr>
          <w:sz w:val="20"/>
          <w:szCs w:val="20"/>
          <w:color w:val="auto"/>
        </w:rPr>
        <w:br w:type="column"/>
      </w:r>
    </w:p>
    <w:p>
      <w:pPr>
        <w:jc w:val="both"/>
        <w:ind w:right="140"/>
        <w:spacing w:after="0" w:line="264" w:lineRule="auto"/>
        <w:rPr>
          <w:sz w:val="20"/>
          <w:szCs w:val="20"/>
          <w:color w:val="auto"/>
        </w:rPr>
      </w:pPr>
      <w:r>
        <w:rPr>
          <w:rFonts w:ascii="Arial" w:cs="Arial" w:eastAsia="Arial" w:hAnsi="Arial"/>
          <w:sz w:val="16"/>
          <w:szCs w:val="16"/>
          <w:color w:val="auto"/>
        </w:rPr>
        <w:t>Thank you. It doesn’t seem like there are any cost savings in R&amp;D. I was thinking this might have been a little bit like the crop protection combinations from Cortev where R&amp;D might have been a synergy area. If you could talk a little bit about that, because I assume you work on a lot of the same type of programs.</w:t>
      </w:r>
    </w:p>
    <w:p>
      <w:pPr>
        <w:sectPr>
          <w:pgSz w:w="11900" w:h="16838" w:orient="portrait"/>
          <w:cols w:equalWidth="0" w:num="2">
            <w:col w:w="1320" w:space="720"/>
            <w:col w:w="7760"/>
          </w:cols>
          <w:pgMar w:left="1060" w:top="259" w:right="1039" w:bottom="1440" w:gutter="0" w:footer="0" w:header="0"/>
          <w:type w:val="continuous"/>
        </w:sectPr>
      </w:pPr>
    </w:p>
    <w:bookmarkStart w:id="66" w:name="page67"/>
    <w:bookmarkEnd w:id="66"/>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Alexandria Clements</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Abernathy Macgregor</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28</w:t>
      </w:r>
    </w:p>
    <w:p>
      <w:pPr>
        <w:sectPr>
          <w:pgSz w:w="11900" w:h="16838" w:orient="portrait"/>
          <w:cols w:equalWidth="0" w:num="1">
            <w:col w:w="9800"/>
          </w:cols>
          <w:pgMar w:left="1060" w:top="259" w:right="10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Yes, I’ll let IFF talk a little more detail, but this is a very key point. By and large, you keep the R&amp;D from both organizations here. It’s over $700 million. They give you a couple data points. If you line up all the pure companies in the industry, the next spend is just a little over half of our R&amp;D spend, and the next three players, it’s literally like a third of the spend. So this goes back to Andreas’ point – so we have the breadth of the portfolio now, but for this company to be spending R&amp;D at that clip – which by the way, is the same percentage that the two companies have been running at is a really competitive advantage over the next set of years. So it’s not an area where you’re going to take a lot of your synergies from. There will probably be some overlap where you would look at and redivert those dollars but as Rich said in where the synergies are coming from, it’s really in a lot of other overhead structure, procurement, factory consolidation, looks – those types of things are the bigger lift.</w:t>
      </w:r>
    </w:p>
    <w:p>
      <w:pPr>
        <w:spacing w:after="0" w:line="68"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Rich O’Leary:</w:t>
      </w:r>
    </w:p>
    <w:p>
      <w:pPr>
        <w:spacing w:after="0" w:line="20" w:lineRule="exact"/>
        <w:rPr>
          <w:sz w:val="20"/>
          <w:szCs w:val="20"/>
          <w:color w:val="auto"/>
        </w:rPr>
      </w:pPr>
      <w:r>
        <w:rPr>
          <w:sz w:val="20"/>
          <w:szCs w:val="20"/>
          <w:color w:val="auto"/>
        </w:rPr>
        <w:br w:type="column"/>
      </w:r>
    </w:p>
    <w:p>
      <w:pPr>
        <w:ind w:right="100"/>
        <w:spacing w:after="0" w:line="259" w:lineRule="auto"/>
        <w:rPr>
          <w:sz w:val="20"/>
          <w:szCs w:val="20"/>
          <w:color w:val="auto"/>
        </w:rPr>
      </w:pPr>
      <w:r>
        <w:rPr>
          <w:rFonts w:ascii="Arial" w:cs="Arial" w:eastAsia="Arial" w:hAnsi="Arial"/>
          <w:sz w:val="16"/>
          <w:szCs w:val="16"/>
          <w:color w:val="auto"/>
        </w:rPr>
        <w:t>Yes, I think there’s a little bit in there, I mean, more from a program standpoint, but I mean when you look at the strategic rationality of this deal, it’s about the growth. It’s about the product portfolio, innovation and we don’t want to cut corners on that. I think there are some programs that both sides are working on that we can take the best of both and get some of it but it’s not a key driver, no.</w:t>
      </w:r>
    </w:p>
    <w:p>
      <w:pPr>
        <w:spacing w:after="0" w:line="79"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Andreas Fibig:</w:t>
      </w:r>
    </w:p>
    <w:p>
      <w:pPr>
        <w:spacing w:after="0" w:line="20" w:lineRule="exact"/>
        <w:rPr>
          <w:sz w:val="20"/>
          <w:szCs w:val="20"/>
          <w:color w:val="auto"/>
        </w:rPr>
      </w:pPr>
      <w:r>
        <w:rPr>
          <w:sz w:val="20"/>
          <w:szCs w:val="20"/>
          <w:color w:val="auto"/>
        </w:rPr>
        <w:br w:type="column"/>
      </w:r>
    </w:p>
    <w:p>
      <w:pPr>
        <w:ind w:right="140"/>
        <w:spacing w:after="0" w:line="257" w:lineRule="auto"/>
        <w:rPr>
          <w:sz w:val="20"/>
          <w:szCs w:val="20"/>
          <w:color w:val="auto"/>
        </w:rPr>
      </w:pPr>
      <w:r>
        <w:rPr>
          <w:rFonts w:ascii="Arial" w:cs="Arial" w:eastAsia="Arial" w:hAnsi="Arial"/>
          <w:sz w:val="16"/>
          <w:szCs w:val="16"/>
          <w:color w:val="auto"/>
        </w:rPr>
        <w:t>Actually, the focus on where we want to spend is go to market, make sure that we bring in the sales and having a really great R&amp;D machine here. That’s a good thing. That’s actually one of the first things we will do and John, you will like that, that we review again, after [Unintelligible] what our programs in R&amp;D and how can we roll out these combined technologies and just look at the IP portfolio we’re having right now. This is as well completely unmatched by any of our competitors.</w:t>
      </w:r>
    </w:p>
    <w:p>
      <w:pPr>
        <w:sectPr>
          <w:pgSz w:w="11900" w:h="16838" w:orient="portrait"/>
          <w:cols w:equalWidth="0" w:num="2">
            <w:col w:w="1320" w:space="720"/>
            <w:col w:w="7760"/>
          </w:cols>
          <w:pgMar w:left="1060" w:top="259" w:right="103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Alexandria Clements</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Abernathy Macgregor</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29</w:t>
      </w:r>
    </w:p>
    <w:p>
      <w:pPr>
        <w:sectPr>
          <w:pgSz w:w="11900" w:h="16838" w:orient="portrait"/>
          <w:cols w:equalWidth="0" w:num="1">
            <w:col w:w="9800"/>
          </w:cols>
          <w:pgMar w:left="1060" w:top="259" w:right="10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Male: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And Ed, the tail end of the release reiterates your fourth quarter guidance but notes that the mix is going to be a little bit different than we earlier thought. Maybe you could just give us the offsets to the continued weakness in the transportation, and industrial, and electronics area?</w:t>
      </w:r>
    </w:p>
    <w:p>
      <w:pPr>
        <w:spacing w:after="0" w:line="74"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ind w:right="20"/>
        <w:spacing w:after="0" w:line="273" w:lineRule="auto"/>
        <w:rPr>
          <w:sz w:val="20"/>
          <w:szCs w:val="20"/>
          <w:color w:val="auto"/>
        </w:rPr>
      </w:pPr>
      <w:r>
        <w:rPr>
          <w:rFonts w:ascii="Arial" w:cs="Arial" w:eastAsia="Arial" w:hAnsi="Arial"/>
          <w:sz w:val="15"/>
          <w:szCs w:val="15"/>
          <w:color w:val="auto"/>
        </w:rPr>
        <w:t>A couple issues were in S&amp;C and in E&amp;I. We had some supply disruption in E&amp;I mostly on the [Unintelligible] side that just slowed us down a little. It goes into our [Unintelligible] happens to be a high margin category for us so it affected us more as you noticed. Our sales guidance we left but we had a little bit of a mixed shift in the EBIDTA because of that. Then we had a very key customer – I don’t want to say names, but it was very public – had a fire and that slowed down on our [no-mix] side and all that. That’s a very high margin business also. One of them is kind of resolved; the other one is almost resolved. The other was just one-offs but it hit us by a little bit. So, we reconfirmed sales. We reconfirmed meeting our EPS guidance and we just wanted to let you know, maybe just a little drift to the lower end of our guidance range on EBITDA but no change in business tone out there. T&amp;I is running where we said it would. Really, no change is how you see the demand out there in the global market.</w:t>
      </w:r>
    </w:p>
    <w:p>
      <w:pPr>
        <w:spacing w:after="0" w:line="68"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Operator:</w:t>
      </w:r>
    </w:p>
    <w:p>
      <w:pPr>
        <w:spacing w:after="0" w:line="20" w:lineRule="exact"/>
        <w:rPr>
          <w:sz w:val="20"/>
          <w:szCs w:val="20"/>
          <w:color w:val="auto"/>
        </w:rPr>
      </w:pPr>
      <w:r>
        <w:rPr>
          <w:sz w:val="20"/>
          <w:szCs w:val="20"/>
          <w:color w:val="auto"/>
        </w:rPr>
        <w:br w:type="column"/>
      </w:r>
    </w:p>
    <w:p>
      <w:pPr>
        <w:ind w:right="20"/>
        <w:spacing w:after="0" w:line="351" w:lineRule="auto"/>
        <w:rPr>
          <w:sz w:val="20"/>
          <w:szCs w:val="20"/>
          <w:color w:val="auto"/>
        </w:rPr>
      </w:pPr>
      <w:r>
        <w:rPr>
          <w:rFonts w:ascii="Arial" w:cs="Arial" w:eastAsia="Arial" w:hAnsi="Arial"/>
          <w:sz w:val="14"/>
          <w:szCs w:val="14"/>
          <w:color w:val="auto"/>
        </w:rPr>
        <w:t>We will take our next question from Kevin McCarthy with Vertical Research. Your line is open. [Pause] Kevin, your line is open. Please check your mute function. Once again, Kevin, if you can hear us, please check your mute function.</w:t>
      </w:r>
    </w:p>
    <w:p>
      <w:pPr>
        <w:spacing w:after="0" w:line="18"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Michael Deveau: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Hi. Operator, we can go to the next question please.</w:t>
      </w:r>
    </w:p>
    <w:p>
      <w:pPr>
        <w:sectPr>
          <w:pgSz w:w="11900" w:h="16838" w:orient="portrait"/>
          <w:cols w:equalWidth="0" w:num="2">
            <w:col w:w="1320" w:space="720"/>
            <w:col w:w="7760"/>
          </w:cols>
          <w:pgMar w:left="1060" w:top="259" w:right="1039" w:bottom="1440" w:gutter="0" w:footer="0" w:header="0"/>
          <w:type w:val="continuous"/>
        </w:sectPr>
      </w:pPr>
    </w:p>
    <w:bookmarkStart w:id="68" w:name="page69"/>
    <w:bookmarkEnd w:id="68"/>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Alexandria Clements</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Abernathy Macgregor</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30</w:t>
      </w:r>
    </w:p>
    <w:p>
      <w:pPr>
        <w:sectPr>
          <w:pgSz w:w="11900" w:h="16838" w:orient="portrait"/>
          <w:cols w:equalWidth="0" w:num="1">
            <w:col w:w="9800"/>
          </w:cols>
          <w:pgMar w:left="1060" w:top="259" w:right="10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As a reminder, it is *1 to ask a question today. We will take our next question from Mike Tyson with Wells Fargo. Your line is open.</w:t>
      </w:r>
    </w:p>
    <w:p>
      <w:pPr>
        <w:spacing w:after="0" w:line="64"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Mike Tyson:</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6"/>
          <w:szCs w:val="16"/>
          <w:color w:val="auto"/>
        </w:rPr>
        <w:t>Hey, guys. Congrats on the deal. I wanted to get a feel for what you think the long term value creation metrics are going to be. Your EBITDA’s $2.6 billion combined, you add in a lot of the synergy if you get the growth. Is the EBITDA potential billion plus over the next three years? Is that the math you get to generate the value, you think this entity will do over time?</w:t>
      </w:r>
    </w:p>
    <w:p>
      <w:pPr>
        <w:spacing w:after="0" w:line="79"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Michael Deveau:</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5"/>
          <w:szCs w:val="15"/>
          <w:color w:val="auto"/>
        </w:rPr>
        <w:t>Yes, Mike. I think again, what I see the way I think about it, showing me the single-digit topline growth, significant margin expansion as we’ve talked about going from – both businesses are in the 22%-23% range today with just the cost synergies alone of basically 26%. That’s going to drive the value creation and drive the increase in EBITDA. That’s why I expect us to see long-term EBITDA growth in the high single-digit range. That’s the fundamentals of it and then we quickly build it, [Unintelligible] as we’ve talked about, giving the strong cash flows. Over that period of time, that’s going to drive incremental benefit from a shareholder standpoint.</w:t>
      </w:r>
    </w:p>
    <w:p>
      <w:pPr>
        <w:spacing w:after="0" w:line="6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Arial" w:cs="Arial" w:eastAsia="Arial" w:hAnsi="Arial"/>
          <w:sz w:val="15"/>
          <w:szCs w:val="15"/>
          <w:color w:val="auto"/>
        </w:rPr>
        <w:t>What we should not, Mike, underestimate that, with this portfolio and I focus again on Slide 14, we have certainly different profitability categories in our portfolio and we will certainly focus on the more profitable ones. We did this already during the IFF time and I know that Matthias did the same on his portfolio but now we have great opportunity to basically, enhance our mix and that will drive at least mid and long-term profitability as well.</w:t>
      </w:r>
    </w:p>
    <w:p>
      <w:pPr>
        <w:sectPr>
          <w:pgSz w:w="11900" w:h="16838" w:orient="portrait"/>
          <w:cols w:equalWidth="0" w:num="2">
            <w:col w:w="1320" w:space="720"/>
            <w:col w:w="7760"/>
          </w:cols>
          <w:pgMar w:left="1060" w:top="259" w:right="1039" w:bottom="144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Alexandria Clements</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Abernathy Macgregor</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31</w:t>
      </w:r>
    </w:p>
    <w:p>
      <w:pPr>
        <w:sectPr>
          <w:pgSz w:w="11900" w:h="16838" w:orient="portrait"/>
          <w:cols w:equalWidth="0" w:num="1">
            <w:col w:w="9800"/>
          </w:cols>
          <w:pgMar w:left="1060" w:top="259" w:right="10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Michael Deveau:</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both"/>
        <w:ind w:right="180"/>
        <w:spacing w:after="0" w:line="264" w:lineRule="auto"/>
        <w:rPr>
          <w:sz w:val="20"/>
          <w:szCs w:val="20"/>
          <w:color w:val="auto"/>
        </w:rPr>
      </w:pPr>
      <w:r>
        <w:rPr>
          <w:rFonts w:ascii="Arial" w:cs="Arial" w:eastAsia="Arial" w:hAnsi="Arial"/>
          <w:sz w:val="16"/>
          <w:szCs w:val="16"/>
          <w:color w:val="auto"/>
        </w:rPr>
        <w:t>Okay, a quick follow-up. In terms of the DuPont businesses, the customers have been continually focused on naturals and natural products, how much of the DuPont asset supports that trend with customers and when you combine it with IFF, the total portfolio going forward, how much of that is natural-related?</w:t>
      </w:r>
    </w:p>
    <w:p>
      <w:pPr>
        <w:spacing w:after="0" w:line="74"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Matthias Heinzel:</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5"/>
          <w:szCs w:val="15"/>
          <w:color w:val="auto"/>
        </w:rPr>
        <w:t>It’s Matthias. You’re certainly right. We do see a vastly-growing trend with health and natural. We are very well-positioned with our board portfolio. I’ll give you a few examples. For example, the enzymes using in the bakery industry are a great example. I think the whole plant-based trend where we are positioned with our soy proteins with additional ingredients. We’re also making sure that other products have a longer shelf life. We are using the full suite of offerings and then combining that with the IFF natural offering. We are well-positioned to really grow the trend. In my view, there is no other company positioned like us and this combination to serve this trend going forward.</w:t>
      </w:r>
    </w:p>
    <w:p>
      <w:pPr>
        <w:spacing w:after="0" w:line="6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Andreas Fibig: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As we said during our discussions, you could improve the flavor on the plant-based burger but we can do this now.</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We will take our next question from Jonas Oxgaard with Bernstein. Your line is open.</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Jonas Oxgaard: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Good morning.</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Andreas Fibig: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Good morning, Jonas.</w:t>
      </w:r>
    </w:p>
    <w:p>
      <w:pPr>
        <w:spacing w:after="0" w:line="14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Matthias Heinzel: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Good morning, Jonas.</w:t>
      </w:r>
    </w:p>
    <w:p>
      <w:pPr>
        <w:sectPr>
          <w:pgSz w:w="11900" w:h="16838" w:orient="portrait"/>
          <w:cols w:equalWidth="0" w:num="2">
            <w:col w:w="1320" w:space="720"/>
            <w:col w:w="7760"/>
          </w:cols>
          <w:pgMar w:left="1060" w:top="259" w:right="1039" w:bottom="1440" w:gutter="0" w:footer="0" w:header="0"/>
          <w:type w:val="continuous"/>
        </w:sectPr>
      </w:pPr>
    </w:p>
    <w:bookmarkStart w:id="70" w:name="page71"/>
    <w:bookmarkEnd w:id="70"/>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Alexandria Clements</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Abernathy Macgregor</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32</w:t>
      </w:r>
    </w:p>
    <w:p>
      <w:pPr>
        <w:sectPr>
          <w:pgSz w:w="11900" w:h="16838" w:orient="portrait"/>
          <w:cols w:equalWidth="0" w:num="1">
            <w:col w:w="9800"/>
          </w:cols>
          <w:pgMar w:left="1060" w:top="259" w:right="10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Jonas Oxgaard:</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both"/>
        <w:ind w:right="40"/>
        <w:spacing w:after="0" w:line="264" w:lineRule="auto"/>
        <w:rPr>
          <w:sz w:val="20"/>
          <w:szCs w:val="20"/>
          <w:color w:val="auto"/>
        </w:rPr>
      </w:pPr>
      <w:r>
        <w:rPr>
          <w:rFonts w:ascii="Arial" w:cs="Arial" w:eastAsia="Arial" w:hAnsi="Arial"/>
          <w:sz w:val="16"/>
          <w:szCs w:val="16"/>
          <w:color w:val="auto"/>
        </w:rPr>
        <w:t>It looks to me like Nutrition &amp; Biosciences is going through a lot over the last couple of years, merger and more merger, reorganization, spend and now we’re doing this. IFF seems to have gone through some through their own. How are you thinking about fatigue at the employee level for those?</w:t>
      </w:r>
    </w:p>
    <w:p>
      <w:pPr>
        <w:spacing w:after="0" w:line="74"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Matthias Heinzel:</w:t>
      </w:r>
    </w:p>
    <w:p>
      <w:pPr>
        <w:spacing w:after="0" w:line="20" w:lineRule="exact"/>
        <w:rPr>
          <w:sz w:val="20"/>
          <w:szCs w:val="20"/>
          <w:color w:val="auto"/>
        </w:rPr>
      </w:pPr>
      <w:r>
        <w:rPr>
          <w:sz w:val="20"/>
          <w:szCs w:val="20"/>
          <w:color w:val="auto"/>
        </w:rPr>
        <w:br w:type="column"/>
      </w:r>
    </w:p>
    <w:p>
      <w:pPr>
        <w:ind w:right="60"/>
        <w:spacing w:after="0" w:line="276" w:lineRule="auto"/>
        <w:rPr>
          <w:sz w:val="20"/>
          <w:szCs w:val="20"/>
          <w:color w:val="auto"/>
        </w:rPr>
      </w:pPr>
      <w:r>
        <w:rPr>
          <w:rFonts w:ascii="Arial" w:cs="Arial" w:eastAsia="Arial" w:hAnsi="Arial"/>
          <w:sz w:val="15"/>
          <w:szCs w:val="15"/>
          <w:color w:val="auto"/>
        </w:rPr>
        <w:t>Hey, Jonas. It’s Matthias here. Certainly, we appreciate that. It’s certainly known. We have done a lot with Danisco and all the integrations but as I said, the team’s really excited. Of course, they’re a little bit tired. I guess we will all go for a long-deserved break but I’m really excited about this potential of combining both companies. That’s clearly the bottom line. Yes, we have done a lot but we have built expertise momentum and I’m also really happy that we really kept the laser-sharp focus on the customer and our product development. Again, with that mindset, you will see us planning next year, building a great company together.</w:t>
      </w:r>
    </w:p>
    <w:p>
      <w:pPr>
        <w:spacing w:after="0" w:line="67"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Michael Deveau:</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6"/>
          <w:szCs w:val="16"/>
          <w:color w:val="auto"/>
        </w:rPr>
        <w:t>I can see from the team perspective that you can overcome that. I was more thinking from the frontline employees. At least my experience is that you do end up hitting a wall at some point with the workers.</w:t>
      </w:r>
    </w:p>
    <w:p>
      <w:pPr>
        <w:spacing w:after="0" w:line="64"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Matthias Heinzel:</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6"/>
          <w:szCs w:val="16"/>
          <w:color w:val="auto"/>
        </w:rPr>
        <w:t>Yes. Look, we are working with our global sales team and with our application teams. We are doing a lot of communications but again, all the feedback I’ve got already over the last, whatever, 12 hours, is extremely positive and again, we are very well-positioned and working with them closely to help them through the change. Again, also here, we have built a lot of expertise of bringing people through the change.</w:t>
      </w:r>
    </w:p>
    <w:p>
      <w:pPr>
        <w:spacing w:after="0" w:line="79"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Ed Breen:</w:t>
      </w:r>
    </w:p>
    <w:p>
      <w:pPr>
        <w:spacing w:after="0" w:line="20" w:lineRule="exact"/>
        <w:rPr>
          <w:sz w:val="20"/>
          <w:szCs w:val="20"/>
          <w:color w:val="auto"/>
        </w:rPr>
      </w:pPr>
      <w:r>
        <w:rPr>
          <w:sz w:val="20"/>
          <w:szCs w:val="20"/>
          <w:color w:val="auto"/>
        </w:rPr>
        <w:br w:type="column"/>
      </w:r>
    </w:p>
    <w:p>
      <w:pPr>
        <w:ind w:right="400"/>
        <w:spacing w:after="0" w:line="312" w:lineRule="auto"/>
        <w:rPr>
          <w:sz w:val="20"/>
          <w:szCs w:val="20"/>
          <w:color w:val="auto"/>
        </w:rPr>
      </w:pPr>
      <w:r>
        <w:rPr>
          <w:rFonts w:ascii="Arial" w:cs="Arial" w:eastAsia="Arial" w:hAnsi="Arial"/>
          <w:sz w:val="15"/>
          <w:szCs w:val="15"/>
          <w:color w:val="auto"/>
        </w:rPr>
        <w:t>Jonas, I would make one point having been through this before. People love working for the global leader and they know they’re now going to get distant down or they’re going up to the top of the heap. It’s a pretty darn</w:t>
      </w:r>
    </w:p>
    <w:p>
      <w:pPr>
        <w:sectPr>
          <w:pgSz w:w="11900" w:h="16838" w:orient="portrait"/>
          <w:cols w:equalWidth="0" w:num="2">
            <w:col w:w="1320" w:space="720"/>
            <w:col w:w="7760"/>
          </w:cols>
          <w:pgMar w:left="1060" w:top="259" w:right="1039" w:bottom="1440" w:gutter="0" w:footer="0" w:header="0"/>
          <w:type w:val="continuous"/>
        </w:sectPr>
      </w:pPr>
    </w:p>
    <w:bookmarkStart w:id="71" w:name="page72"/>
    <w:bookmarkEnd w:id="71"/>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121619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Alexandria Clements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Abernathy Macgregor</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12/16/19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 am 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33</w:t>
      </w:r>
    </w:p>
    <w:p>
      <w:pPr>
        <w:spacing w:after="0" w:line="128" w:lineRule="exact"/>
        <w:rPr>
          <w:sz w:val="20"/>
          <w:szCs w:val="20"/>
          <w:color w:val="auto"/>
        </w:rPr>
      </w:pPr>
    </w:p>
    <w:p>
      <w:pPr>
        <w:ind w:left="2040" w:right="180"/>
        <w:spacing w:after="0" w:line="259" w:lineRule="auto"/>
        <w:rPr>
          <w:sz w:val="20"/>
          <w:szCs w:val="20"/>
          <w:color w:val="auto"/>
        </w:rPr>
      </w:pPr>
      <w:r>
        <w:rPr>
          <w:rFonts w:ascii="Arial" w:cs="Arial" w:eastAsia="Arial" w:hAnsi="Arial"/>
          <w:sz w:val="16"/>
          <w:szCs w:val="16"/>
          <w:color w:val="auto"/>
        </w:rPr>
        <w:t>good feeling and if you’re a sales person, it’s a pretty motivating thing that you’re like, “Oh my gosh, look at the tools on that. Now, I got to have them in my tool bag.” I think it’s actually a motivator. We’re not naïve about fatigue with people and all that but I actually think it makes it very exciting for the N&amp;B team, the IFF team and everyone in the trenches.</w:t>
      </w:r>
    </w:p>
    <w:p>
      <w:pPr>
        <w:sectPr>
          <w:pgSz w:w="11900" w:h="16838" w:orient="portrait"/>
          <w:cols w:equalWidth="0" w:num="1">
            <w:col w:w="9800"/>
          </w:cols>
          <w:pgMar w:left="1060" w:top="259" w:right="103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Richard O’Leary:</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Yes, and I think the statement is clearly there. Again, the complementary nature of this, it’s more about opportunity and how do we leverage all the capabilities and the breath of portfolio versus a significant amount of overlap where you have to get through a more complex integrations.</w:t>
      </w:r>
    </w:p>
    <w:p>
      <w:pPr>
        <w:spacing w:after="0" w:line="74"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Operator:</w:t>
      </w:r>
    </w:p>
    <w:p>
      <w:pPr>
        <w:spacing w:after="0" w:line="20" w:lineRule="exact"/>
        <w:rPr>
          <w:sz w:val="20"/>
          <w:szCs w:val="20"/>
          <w:color w:val="auto"/>
        </w:rPr>
      </w:pPr>
      <w:r>
        <w:rPr>
          <w:sz w:val="20"/>
          <w:szCs w:val="20"/>
          <w:color w:val="auto"/>
        </w:rPr>
        <w:br w:type="column"/>
      </w:r>
    </w:p>
    <w:p>
      <w:pPr>
        <w:ind w:right="320"/>
        <w:spacing w:after="0" w:line="277" w:lineRule="auto"/>
        <w:rPr>
          <w:sz w:val="20"/>
          <w:szCs w:val="20"/>
          <w:color w:val="auto"/>
        </w:rPr>
      </w:pPr>
      <w:r>
        <w:rPr>
          <w:rFonts w:ascii="Arial" w:cs="Arial" w:eastAsia="Arial" w:hAnsi="Arial"/>
          <w:sz w:val="16"/>
          <w:szCs w:val="16"/>
          <w:color w:val="auto"/>
        </w:rPr>
        <w:t>Thank you. That is all the time we have for the Q&amp;A session today. I’d like to turn the call back over to Andreas for closing remarks.</w:t>
      </w:r>
    </w:p>
    <w:p>
      <w:pPr>
        <w:spacing w:after="0" w:line="64"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Andreas Fibig: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Thank you very much for your time. For us, it’s certainly a historic day and we will take more calls and one-on-ones.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Thank you very much.</w:t>
      </w:r>
    </w:p>
    <w:p>
      <w:pPr>
        <w:spacing w:after="0" w:line="188" w:lineRule="exact"/>
        <w:rPr>
          <w:sz w:val="20"/>
          <w:szCs w:val="20"/>
          <w:color w:val="auto"/>
        </w:rPr>
      </w:pPr>
    </w:p>
    <w:p>
      <w:pPr>
        <w:sectPr>
          <w:pgSz w:w="11900" w:h="16838" w:orient="portrait"/>
          <w:cols w:equalWidth="0" w:num="2">
            <w:col w:w="1320" w:space="720"/>
            <w:col w:w="7760"/>
          </w:cols>
          <w:pgMar w:left="1060" w:top="259" w:right="103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END</w:t>
      </w:r>
    </w:p>
    <w:p>
      <w:pPr>
        <w:sectPr>
          <w:pgSz w:w="11900" w:h="16838" w:orient="portrait"/>
          <w:cols w:equalWidth="0" w:num="1">
            <w:col w:w="9800"/>
          </w:cols>
          <w:pgMar w:left="1060" w:top="259" w:right="1039" w:bottom="144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13335</wp:posOffset>
            </wp:positionV>
            <wp:extent cx="5896610" cy="762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96610" cy="762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600" w:type="dxa"/>
            <w:vAlign w:val="bottom"/>
            <w:gridSpan w:val="2"/>
          </w:tcPr>
          <w:p>
            <w:pPr>
              <w:spacing w:after="0"/>
              <w:rPr>
                <w:sz w:val="20"/>
                <w:szCs w:val="20"/>
                <w:color w:val="auto"/>
              </w:rPr>
            </w:pPr>
            <w:r>
              <w:rPr>
                <w:rFonts w:ascii="Arial" w:cs="Arial" w:eastAsia="Arial" w:hAnsi="Arial"/>
                <w:sz w:val="12"/>
                <w:szCs w:val="12"/>
                <w:color w:val="FFFFFF"/>
                <w:w w:val="93"/>
              </w:rPr>
              <w:t>IFF   Merge with DuPont’ Nutrition &amp; Biosciences Business: Creating  Category Defining Integrated Solutions Partner for Our Customers Building a world-class leader Differentiated solutions for</w:t>
            </w:r>
          </w:p>
        </w:tc>
      </w:tr>
      <w:tr>
        <w:trPr>
          <w:trHeight w:val="36"/>
        </w:trPr>
        <w:tc>
          <w:tcPr>
            <w:tcW w:w="9600" w:type="dxa"/>
            <w:vAlign w:val="bottom"/>
            <w:gridSpan w:val="2"/>
          </w:tcPr>
          <w:p>
            <w:pPr>
              <w:ind w:left="40"/>
              <w:spacing w:after="0" w:line="37" w:lineRule="exact"/>
              <w:rPr>
                <w:sz w:val="20"/>
                <w:szCs w:val="20"/>
                <w:color w:val="auto"/>
              </w:rPr>
            </w:pPr>
            <w:r>
              <w:rPr>
                <w:rFonts w:ascii="Arial" w:cs="Arial" w:eastAsia="Arial" w:hAnsi="Arial"/>
                <w:sz w:val="4"/>
                <w:szCs w:val="4"/>
                <w:color w:val="FFFFFF"/>
              </w:rPr>
              <w:t>ustomers of all sizes, spanning both large multinationals to start up and private label brands Indispensable partner to address consumer preferences for natural and “better for you” products A culture</w:t>
            </w:r>
          </w:p>
        </w:tc>
      </w:tr>
      <w:tr>
        <w:trPr>
          <w:trHeight w:val="36"/>
        </w:trPr>
        <w:tc>
          <w:tcPr>
            <w:tcW w:w="9600" w:type="dxa"/>
            <w:vAlign w:val="bottom"/>
            <w:gridSpan w:val="2"/>
          </w:tcPr>
          <w:p>
            <w:pPr>
              <w:spacing w:after="0" w:line="37" w:lineRule="exact"/>
              <w:rPr>
                <w:sz w:val="20"/>
                <w:szCs w:val="20"/>
                <w:color w:val="auto"/>
              </w:rPr>
            </w:pPr>
            <w:r>
              <w:rPr>
                <w:rFonts w:ascii="Arial" w:cs="Arial" w:eastAsia="Arial" w:hAnsi="Arial"/>
                <w:sz w:val="4"/>
                <w:szCs w:val="4"/>
                <w:color w:val="FFFFFF"/>
              </w:rPr>
              <w:t>combining science and creativity led by the best talent from both organizations #1 or #2positions across attractive categories including: Taste Scent Nutrition Cultures Enzymes Probiotics Soy Proteins</w:t>
            </w:r>
          </w:p>
        </w:tc>
      </w:tr>
      <w:tr>
        <w:trPr>
          <w:trHeight w:val="0"/>
        </w:trPr>
        <w:tc>
          <w:tcPr>
            <w:tcW w:w="2300" w:type="dxa"/>
            <w:vAlign w:val="bottom"/>
          </w:tcPr>
          <w:p>
            <w:pPr>
              <w:spacing w:after="0" w:line="71" w:lineRule="exact"/>
              <w:rPr>
                <w:sz w:val="20"/>
                <w:szCs w:val="20"/>
                <w:color w:val="auto"/>
              </w:rPr>
            </w:pPr>
            <w:r>
              <w:rPr>
                <w:rFonts w:ascii="Arial" w:cs="Arial" w:eastAsia="Arial" w:hAnsi="Arial"/>
                <w:sz w:val="8"/>
                <w:szCs w:val="8"/>
                <w:color w:val="FFFFFF"/>
              </w:rPr>
              <w:t>Differentiated Solutions to Meet Consumer</w:t>
            </w:r>
          </w:p>
        </w:tc>
        <w:tc>
          <w:tcPr>
            <w:tcW w:w="7300" w:type="dxa"/>
            <w:vAlign w:val="bottom"/>
          </w:tcPr>
          <w:p>
            <w:pPr>
              <w:ind w:left="240"/>
              <w:spacing w:after="0" w:line="71" w:lineRule="exact"/>
              <w:rPr>
                <w:sz w:val="20"/>
                <w:szCs w:val="20"/>
                <w:color w:val="auto"/>
              </w:rPr>
            </w:pPr>
            <w:r>
              <w:rPr>
                <w:rFonts w:ascii="Arial" w:cs="Arial" w:eastAsia="Arial" w:hAnsi="Arial"/>
                <w:sz w:val="8"/>
                <w:szCs w:val="8"/>
                <w:color w:val="FFFFFF"/>
              </w:rPr>
              <w:t>TransactionOverview Creating Shareholder Value Well-established Reverse Morris Trust (RMT) structureis tax-free to DuPont and its</w:t>
            </w:r>
          </w:p>
        </w:tc>
      </w:tr>
    </w:tbl>
    <w:p>
      <w:pPr>
        <w:spacing w:after="0" w:line="22" w:lineRule="auto"/>
        <w:rPr>
          <w:sz w:val="20"/>
          <w:szCs w:val="20"/>
          <w:color w:val="auto"/>
        </w:rPr>
      </w:pPr>
      <w:r>
        <w:rPr>
          <w:rFonts w:ascii="Arial" w:cs="Arial" w:eastAsia="Arial" w:hAnsi="Arial"/>
          <w:sz w:val="1"/>
          <w:szCs w:val="1"/>
          <w:color w:val="FFFFFF"/>
        </w:rPr>
        <w:t>Expected growth rate</w:t>
      </w:r>
      <w:r>
        <w:rPr>
          <w:rFonts w:ascii="Arial" w:cs="Arial" w:eastAsia="Arial" w:hAnsi="Arial"/>
          <w:sz w:val="1"/>
          <w:szCs w:val="1"/>
          <w:color w:val="FFFFFF"/>
          <w:vertAlign w:val="subscript"/>
        </w:rPr>
        <w:t>maintaining</w:t>
      </w:r>
      <w:r>
        <w:rPr>
          <w:rFonts w:ascii="Arial" w:cs="Arial" w:eastAsia="Arial" w:hAnsi="Arial"/>
          <w:sz w:val="1"/>
          <w:szCs w:val="1"/>
          <w:color w:val="FFFFFF"/>
        </w:rPr>
        <w:t>mid-single digits andDemandleading EBITDA margin ~$300 millionin run-rate cost synergiesand more than $400 millionin run-rate revenue synergies3 Committed to IFF’shareholderscurrent</w:t>
      </w:r>
    </w:p>
    <w:p>
      <w:pPr>
        <w:spacing w:after="0" w:line="188" w:lineRule="auto"/>
        <w:tabs>
          <w:tab w:leader="none" w:pos="1560" w:val="left"/>
        </w:tabs>
        <w:rPr>
          <w:sz w:val="20"/>
          <w:szCs w:val="20"/>
          <w:color w:val="auto"/>
        </w:rPr>
      </w:pPr>
      <w:r>
        <w:rPr>
          <w:rFonts w:ascii="Arial" w:cs="Arial" w:eastAsia="Arial" w:hAnsi="Arial"/>
          <w:sz w:val="4"/>
          <w:szCs w:val="4"/>
          <w:color w:val="FFFFFF"/>
        </w:rPr>
        <w:t>dividend policy and</w:t>
      </w:r>
      <w:r>
        <w:rPr>
          <w:sz w:val="20"/>
          <w:szCs w:val="20"/>
          <w:color w:val="auto"/>
        </w:rPr>
        <w:tab/>
      </w:r>
      <w:r>
        <w:rPr>
          <w:rFonts w:ascii="Arial" w:cs="Arial" w:eastAsia="Arial" w:hAnsi="Arial"/>
          <w:sz w:val="2"/>
          <w:szCs w:val="2"/>
          <w:color w:val="FFFFFF"/>
        </w:rPr>
        <w:t>an investment-grade rating 1 On</w:t>
      </w:r>
      <w:r>
        <w:rPr>
          <w:rFonts w:ascii="Arial" w:cs="Arial" w:eastAsia="Arial" w:hAnsi="Arial"/>
          <w:sz w:val="4"/>
          <w:szCs w:val="4"/>
          <w:color w:val="FFFFFF"/>
          <w:vertAlign w:val="subscript"/>
        </w:rPr>
        <w:t>company</w:t>
      </w:r>
      <w:r>
        <w:rPr>
          <w:rFonts w:ascii="Arial" w:cs="Arial" w:eastAsia="Arial" w:hAnsi="Arial"/>
          <w:sz w:val="2"/>
          <w:szCs w:val="2"/>
          <w:color w:val="FFFFFF"/>
        </w:rPr>
        <w:t>enterprise value basis</w:t>
      </w:r>
      <w:r>
        <w:rPr>
          <w:rFonts w:ascii="Arial" w:cs="Arial" w:eastAsia="Arial" w:hAnsi="Arial"/>
          <w:sz w:val="4"/>
          <w:szCs w:val="4"/>
          <w:color w:val="FFFFFF"/>
          <w:vertAlign w:val="subscript"/>
        </w:rPr>
        <w:t>$2</w:t>
      </w:r>
      <w:r>
        <w:rPr>
          <w:rFonts w:ascii="Arial" w:cs="Arial" w:eastAsia="Arial" w:hAnsi="Arial"/>
          <w:sz w:val="2"/>
          <w:szCs w:val="2"/>
          <w:color w:val="FFFFFF"/>
        </w:rPr>
        <w:t xml:space="preserve"> Pre-synergies, based on 2019 pro-forma 3 By the end of year three 55.4% 44.6% Ownership by DuPont</w:t>
      </w:r>
    </w:p>
    <w:p>
      <w:pPr>
        <w:spacing w:after="0" w:line="188" w:lineRule="auto"/>
        <w:tabs>
          <w:tab w:leader="none" w:pos="3560" w:val="left"/>
          <w:tab w:leader="none" w:pos="4420" w:val="left"/>
        </w:tabs>
        <w:rPr>
          <w:sz w:val="20"/>
          <w:szCs w:val="20"/>
          <w:color w:val="auto"/>
        </w:rPr>
      </w:pPr>
      <w:r>
        <w:rPr>
          <w:rFonts w:ascii="Arial" w:cs="Arial" w:eastAsia="Arial" w:hAnsi="Arial"/>
          <w:sz w:val="4"/>
          <w:szCs w:val="4"/>
          <w:color w:val="FFFFFF"/>
          <w:vertAlign w:val="subscript"/>
        </w:rPr>
        <w:t>shareholders</w:t>
      </w:r>
      <w:r>
        <w:rPr>
          <w:rFonts w:ascii="Arial" w:cs="Arial" w:eastAsia="Arial" w:hAnsi="Arial"/>
          <w:sz w:val="2"/>
          <w:szCs w:val="2"/>
          <w:color w:val="FFFFFF"/>
        </w:rPr>
        <w:t xml:space="preserve"> Ownership by IFF shareholders Value of combined</w:t>
      </w:r>
      <w:r>
        <w:rPr>
          <w:sz w:val="20"/>
          <w:szCs w:val="20"/>
          <w:color w:val="auto"/>
        </w:rPr>
        <w:tab/>
      </w:r>
      <w:r>
        <w:rPr>
          <w:rFonts w:ascii="Arial" w:cs="Arial" w:eastAsia="Arial" w:hAnsi="Arial"/>
          <w:sz w:val="4"/>
          <w:szCs w:val="4"/>
          <w:color w:val="FFFFFF"/>
        </w:rPr>
        <w:t>$45.4B &gt;$11B</w:t>
      </w:r>
      <w:r>
        <w:rPr>
          <w:sz w:val="20"/>
          <w:szCs w:val="20"/>
          <w:color w:val="auto"/>
        </w:rPr>
        <w:tab/>
      </w:r>
      <w:r>
        <w:rPr>
          <w:rFonts w:ascii="Arial" w:cs="Arial" w:eastAsia="Arial" w:hAnsi="Arial"/>
          <w:sz w:val="4"/>
          <w:szCs w:val="4"/>
          <w:color w:val="FFFFFF"/>
        </w:rPr>
        <w:t>.6B 23% 2019E pro forma revenues 2019E pro forma EBITDA Adjusted EBITDA margin DuPont</w:t>
      </w:r>
    </w:p>
    <w:p>
      <w:pPr>
        <w:ind w:left="640"/>
        <w:spacing w:after="0" w:line="188" w:lineRule="auto"/>
        <w:rPr>
          <w:sz w:val="20"/>
          <w:szCs w:val="20"/>
          <w:color w:val="auto"/>
        </w:rPr>
      </w:pPr>
      <w:r>
        <w:rPr>
          <w:rFonts w:ascii="Arial" w:cs="Arial" w:eastAsia="Arial" w:hAnsi="Arial"/>
          <w:sz w:val="2"/>
          <w:szCs w:val="2"/>
          <w:color w:val="FFFFFF"/>
        </w:rPr>
        <w:t>to own 55.4%; IFF shareholders to own 44.6% Top-ranked Positions Complementary reach to shared end-markets 1 IFF DuPont N&amp;B Cold Water Laundry Deterg</w:t>
      </w:r>
      <w:r>
        <w:rPr>
          <w:rFonts w:ascii="Arial" w:cs="Arial" w:eastAsia="Arial" w:hAnsi="Arial"/>
          <w:sz w:val="4"/>
          <w:szCs w:val="4"/>
          <w:color w:val="FFFFFF"/>
          <w:vertAlign w:val="subscript"/>
        </w:rPr>
        <w:t>performance</w:t>
      </w:r>
      <w:r>
        <w:rPr>
          <w:rFonts w:ascii="Arial" w:cs="Arial" w:eastAsia="Arial" w:hAnsi="Arial"/>
          <w:sz w:val="2"/>
          <w:szCs w:val="2"/>
          <w:color w:val="FFFFFF"/>
        </w:rPr>
        <w:t>ntFragrances Enzymes</w:t>
      </w:r>
    </w:p>
    <w:p>
      <w:pPr>
        <w:jc w:val="both"/>
        <w:ind w:right="180"/>
        <w:spacing w:after="0" w:line="186" w:lineRule="auto"/>
        <w:rPr>
          <w:sz w:val="20"/>
          <w:szCs w:val="20"/>
          <w:color w:val="auto"/>
        </w:rPr>
      </w:pPr>
      <w:r>
        <w:rPr>
          <w:rFonts w:ascii="Arial" w:cs="Arial" w:eastAsia="Arial" w:hAnsi="Arial"/>
          <w:sz w:val="10"/>
          <w:szCs w:val="10"/>
          <w:color w:val="FFFFFF"/>
        </w:rPr>
        <w:t>Flavors Plant-Based Protein Microbial Control Encapsulation Fluidity, Stain removal, Malodor Scent &amp; odor coverage Antimicrobial &amp; shelf-life Fit-for-purpose delivery and Plant-Based Vegan Burger Texturants Binders Delivery Systems Taste Modulation Natural Color &amp; Grill Mark Natural Antioxidants 2 Industry-leading R&amp;D capabilities to drive best-in-class innovation</w:t>
      </w:r>
    </w:p>
    <w:p>
      <w:pPr>
        <w:sectPr>
          <w:pgSz w:w="11900" w:h="16838" w:orient="portrait"/>
          <w:cols w:equalWidth="0" w:num="1">
            <w:col w:w="9800"/>
          </w:cols>
          <w:pgMar w:left="1060" w:top="259" w:right="1039"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40" w:type="dxa"/>
            <w:vAlign w:val="bottom"/>
            <w:gridSpan w:val="2"/>
          </w:tcPr>
          <w:p>
            <w:pPr>
              <w:spacing w:after="0"/>
              <w:rPr>
                <w:sz w:val="20"/>
                <w:szCs w:val="20"/>
                <w:color w:val="auto"/>
              </w:rPr>
            </w:pPr>
            <w:r>
              <w:rPr>
                <w:rFonts w:ascii="Arial" w:cs="Arial" w:eastAsia="Arial" w:hAnsi="Arial"/>
                <w:sz w:val="12"/>
                <w:szCs w:val="12"/>
                <w:color w:val="FFFFFF"/>
              </w:rPr>
              <w:t>DuPont Nutrition &amp;</w:t>
            </w:r>
          </w:p>
        </w:tc>
        <w:tc>
          <w:tcPr>
            <w:tcW w:w="360" w:type="dxa"/>
            <w:vAlign w:val="bottom"/>
          </w:tcPr>
          <w:p>
            <w:pPr>
              <w:spacing w:after="0"/>
              <w:rPr>
                <w:sz w:val="12"/>
                <w:szCs w:val="12"/>
                <w:color w:val="auto"/>
              </w:rPr>
            </w:pPr>
          </w:p>
        </w:tc>
        <w:tc>
          <w:tcPr>
            <w:tcW w:w="8400" w:type="dxa"/>
            <w:vAlign w:val="bottom"/>
            <w:gridSpan w:val="14"/>
          </w:tcPr>
          <w:p>
            <w:pPr>
              <w:jc w:val="right"/>
              <w:ind w:right="20"/>
              <w:spacing w:after="0"/>
              <w:rPr>
                <w:sz w:val="20"/>
                <w:szCs w:val="20"/>
                <w:color w:val="auto"/>
              </w:rPr>
            </w:pPr>
            <w:r>
              <w:rPr>
                <w:rFonts w:ascii="Arial" w:cs="Arial" w:eastAsia="Arial" w:hAnsi="Arial"/>
                <w:sz w:val="12"/>
                <w:szCs w:val="12"/>
                <w:color w:val="FFFFFF"/>
                <w:w w:val="94"/>
              </w:rPr>
              <w:t>About IFF At IFF (NYSE:IFF) (Euronext Paris:IFF) (TASE:IFF), we’re using Uncommon Sense to create what the world needs. As a collectiveofunconventional thinkers</w:t>
            </w:r>
          </w:p>
        </w:tc>
        <w:tc>
          <w:tcPr>
            <w:tcW w:w="0" w:type="dxa"/>
            <w:vAlign w:val="bottom"/>
          </w:tcPr>
          <w:p>
            <w:pPr>
              <w:spacing w:after="0"/>
              <w:rPr>
                <w:sz w:val="1"/>
                <w:szCs w:val="1"/>
                <w:color w:val="auto"/>
              </w:rPr>
            </w:pPr>
          </w:p>
        </w:tc>
      </w:tr>
      <w:tr>
        <w:trPr>
          <w:trHeight w:val="36"/>
        </w:trPr>
        <w:tc>
          <w:tcPr>
            <w:tcW w:w="4260" w:type="dxa"/>
            <w:vAlign w:val="bottom"/>
            <w:gridSpan w:val="7"/>
          </w:tcPr>
          <w:p>
            <w:pPr>
              <w:ind w:left="40"/>
              <w:spacing w:after="0" w:line="37" w:lineRule="exact"/>
              <w:rPr>
                <w:sz w:val="20"/>
                <w:szCs w:val="20"/>
                <w:color w:val="auto"/>
              </w:rPr>
            </w:pPr>
            <w:r>
              <w:rPr>
                <w:rFonts w:ascii="Arial" w:cs="Arial" w:eastAsia="Arial" w:hAnsi="Arial"/>
                <w:sz w:val="4"/>
                <w:szCs w:val="4"/>
                <w:color w:val="FFFFFF"/>
              </w:rPr>
              <w:t>nd creators, we put Biosciencesand artistry to work to create unique and unexpected scents,</w:t>
            </w:r>
          </w:p>
        </w:tc>
        <w:tc>
          <w:tcPr>
            <w:tcW w:w="4520" w:type="dxa"/>
            <w:vAlign w:val="bottom"/>
            <w:gridSpan w:val="7"/>
          </w:tcPr>
          <w:p>
            <w:pPr>
              <w:ind w:left="340"/>
              <w:spacing w:after="0" w:line="37" w:lineRule="exact"/>
              <w:rPr>
                <w:sz w:val="20"/>
                <w:szCs w:val="20"/>
                <w:color w:val="auto"/>
              </w:rPr>
            </w:pPr>
            <w:r>
              <w:rPr>
                <w:rFonts w:ascii="Arial" w:cs="Arial" w:eastAsia="Arial" w:hAnsi="Arial"/>
                <w:sz w:val="4"/>
                <w:szCs w:val="4"/>
                <w:color w:val="FFFFFF"/>
              </w:rPr>
              <w:t>experiences and ingredients for the products our world craves. Learn more</w:t>
            </w: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7480" w:type="dxa"/>
            <w:vAlign w:val="bottom"/>
            <w:gridSpan w:val="13"/>
          </w:tcPr>
          <w:p>
            <w:pPr>
              <w:spacing w:after="0" w:line="37" w:lineRule="exact"/>
              <w:rPr>
                <w:sz w:val="20"/>
                <w:szCs w:val="20"/>
                <w:color w:val="auto"/>
              </w:rPr>
            </w:pPr>
            <w:r>
              <w:rPr>
                <w:rFonts w:ascii="Arial" w:cs="Arial" w:eastAsia="Arial" w:hAnsi="Arial"/>
                <w:sz w:val="4"/>
                <w:szCs w:val="4"/>
                <w:color w:val="FFFFFF"/>
              </w:rPr>
              <w:t>atiff.com,Twitter,Facebook,Instagram, andLinkedIn. About DuPontDuPont (NYSE:DD) istastes,global innovation leader with technology-based materials,</w:t>
            </w:r>
          </w:p>
        </w:tc>
        <w:tc>
          <w:tcPr>
            <w:tcW w:w="2100" w:type="dxa"/>
            <w:vAlign w:val="bottom"/>
            <w:gridSpan w:val="3"/>
          </w:tcPr>
          <w:p>
            <w:pPr>
              <w:jc w:val="center"/>
              <w:ind w:left="180"/>
              <w:spacing w:after="0" w:line="37" w:lineRule="exact"/>
              <w:rPr>
                <w:sz w:val="20"/>
                <w:szCs w:val="20"/>
                <w:color w:val="auto"/>
              </w:rPr>
            </w:pPr>
            <w:r>
              <w:rPr>
                <w:rFonts w:ascii="Arial" w:cs="Arial" w:eastAsia="Arial" w:hAnsi="Arial"/>
                <w:sz w:val="4"/>
                <w:szCs w:val="4"/>
                <w:color w:val="FFFFFF"/>
              </w:rPr>
              <w:t>and solutions that help transform</w:t>
            </w: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9580" w:type="dxa"/>
            <w:vAlign w:val="bottom"/>
            <w:gridSpan w:val="16"/>
          </w:tcPr>
          <w:p>
            <w:pPr>
              <w:spacing w:after="0" w:line="37" w:lineRule="exact"/>
              <w:rPr>
                <w:sz w:val="20"/>
                <w:szCs w:val="20"/>
                <w:color w:val="auto"/>
              </w:rPr>
            </w:pPr>
            <w:r>
              <w:rPr>
                <w:rFonts w:ascii="Arial" w:cs="Arial" w:eastAsia="Arial" w:hAnsi="Arial"/>
                <w:sz w:val="4"/>
                <w:szCs w:val="4"/>
                <w:color w:val="FFFFFF"/>
              </w:rPr>
              <w:t>industries and everyday life. Our employees apply diverse science and expertise to help customers advance their best ideas and deliver essential innovationsingredientskey markets including electronics,</w:t>
            </w: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7480" w:type="dxa"/>
            <w:vAlign w:val="bottom"/>
            <w:gridSpan w:val="13"/>
          </w:tcPr>
          <w:p>
            <w:pPr>
              <w:spacing w:after="0" w:line="37" w:lineRule="exact"/>
              <w:rPr>
                <w:sz w:val="20"/>
                <w:szCs w:val="20"/>
                <w:color w:val="auto"/>
              </w:rPr>
            </w:pPr>
            <w:r>
              <w:rPr>
                <w:rFonts w:ascii="Arial" w:cs="Arial" w:eastAsia="Arial" w:hAnsi="Arial"/>
                <w:sz w:val="4"/>
                <w:szCs w:val="4"/>
                <w:color w:val="FFFFFF"/>
              </w:rPr>
              <w:t>transportation, construction, water, health and wellness, food and worker safety. More information can be found athttp://www.dupont.com/. Additional</w:t>
            </w:r>
          </w:p>
        </w:tc>
        <w:tc>
          <w:tcPr>
            <w:tcW w:w="1720" w:type="dxa"/>
            <w:vAlign w:val="bottom"/>
            <w:gridSpan w:val="2"/>
          </w:tcPr>
          <w:p>
            <w:pPr>
              <w:jc w:val="right"/>
              <w:ind w:right="60"/>
              <w:spacing w:after="0" w:line="37" w:lineRule="exact"/>
              <w:rPr>
                <w:sz w:val="20"/>
                <w:szCs w:val="20"/>
                <w:color w:val="auto"/>
              </w:rPr>
            </w:pPr>
            <w:r>
              <w:rPr>
                <w:rFonts w:ascii="Arial" w:cs="Arial" w:eastAsia="Arial" w:hAnsi="Arial"/>
                <w:sz w:val="4"/>
                <w:szCs w:val="4"/>
                <w:color w:val="FFFFFF"/>
              </w:rPr>
              <w:t>and Where to Find It This</w:t>
            </w: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communication is not intended to and shall not constitute an offer to sell or the solicitation of an offer to sell or the solicitation of an offer to buy any securitiesInformation solicit tion of any vote of approval, nor</w:t>
            </w: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shall there be any sale of securities in any jurisdiction in which such offer, solicitation or sale would be unlawful prior to registration or qualification under the securities laws of any such jurisdiction. No</w:t>
            </w:r>
          </w:p>
        </w:tc>
        <w:tc>
          <w:tcPr>
            <w:tcW w:w="0" w:type="dxa"/>
            <w:vAlign w:val="bottom"/>
          </w:tcPr>
          <w:p>
            <w:pPr>
              <w:spacing w:after="0" w:line="20" w:lineRule="exact"/>
              <w:rPr>
                <w:sz w:val="1"/>
                <w:szCs w:val="1"/>
                <w:color w:val="auto"/>
              </w:rPr>
            </w:pPr>
          </w:p>
        </w:tc>
      </w:tr>
      <w:tr>
        <w:trPr>
          <w:trHeight w:val="36"/>
        </w:trPr>
        <w:tc>
          <w:tcPr>
            <w:tcW w:w="4740" w:type="dxa"/>
            <w:vAlign w:val="bottom"/>
            <w:gridSpan w:val="8"/>
          </w:tcPr>
          <w:p>
            <w:pPr>
              <w:spacing w:after="0" w:line="37" w:lineRule="exact"/>
              <w:rPr>
                <w:sz w:val="20"/>
                <w:szCs w:val="20"/>
                <w:color w:val="auto"/>
              </w:rPr>
            </w:pPr>
            <w:r>
              <w:rPr>
                <w:rFonts w:ascii="Arial" w:cs="Arial" w:eastAsia="Arial" w:hAnsi="Arial"/>
                <w:sz w:val="4"/>
                <w:szCs w:val="4"/>
                <w:color w:val="FFFFFF"/>
              </w:rPr>
              <w:t>offer of securities shall be made except by means of a prospectus meeting the requirements of</w:t>
            </w:r>
          </w:p>
        </w:tc>
        <w:tc>
          <w:tcPr>
            <w:tcW w:w="5060" w:type="dxa"/>
            <w:vAlign w:val="bottom"/>
            <w:gridSpan w:val="9"/>
          </w:tcPr>
          <w:p>
            <w:pPr>
              <w:jc w:val="right"/>
              <w:ind w:right="20"/>
              <w:spacing w:after="0" w:line="37" w:lineRule="exact"/>
              <w:rPr>
                <w:sz w:val="20"/>
                <w:szCs w:val="20"/>
                <w:color w:val="auto"/>
              </w:rPr>
            </w:pPr>
            <w:r>
              <w:rPr>
                <w:rFonts w:ascii="Arial" w:cs="Arial" w:eastAsia="Arial" w:hAnsi="Arial"/>
                <w:sz w:val="4"/>
                <w:szCs w:val="4"/>
                <w:color w:val="FFFFFF"/>
              </w:rPr>
              <w:t>10 of the Securities Act of 1933, as amended (the “Securities Act”). In connection with the proposed</w:t>
            </w:r>
          </w:p>
        </w:tc>
        <w:tc>
          <w:tcPr>
            <w:tcW w:w="0" w:type="dxa"/>
            <w:vAlign w:val="bottom"/>
          </w:tcPr>
          <w:p>
            <w:pPr>
              <w:spacing w:after="0" w:line="20" w:lineRule="exact"/>
              <w:rPr>
                <w:sz w:val="1"/>
                <w:szCs w:val="1"/>
                <w:color w:val="auto"/>
              </w:rPr>
            </w:pPr>
          </w:p>
        </w:tc>
      </w:tr>
      <w:tr>
        <w:trPr>
          <w:trHeight w:val="36"/>
        </w:trPr>
        <w:tc>
          <w:tcPr>
            <w:tcW w:w="2420" w:type="dxa"/>
            <w:vAlign w:val="bottom"/>
            <w:gridSpan w:val="5"/>
          </w:tcPr>
          <w:p>
            <w:pPr>
              <w:spacing w:after="0" w:line="37" w:lineRule="exact"/>
              <w:rPr>
                <w:sz w:val="20"/>
                <w:szCs w:val="20"/>
                <w:color w:val="auto"/>
              </w:rPr>
            </w:pPr>
            <w:r>
              <w:rPr>
                <w:rFonts w:ascii="Arial" w:cs="Arial" w:eastAsia="Arial" w:hAnsi="Arial"/>
                <w:sz w:val="4"/>
                <w:szCs w:val="4"/>
                <w:color w:val="FFFFFF"/>
              </w:rPr>
              <w:t>combination of Nutrition &amp; Biosciences, Inc.</w:t>
            </w:r>
          </w:p>
        </w:tc>
        <w:tc>
          <w:tcPr>
            <w:tcW w:w="4220" w:type="dxa"/>
            <w:vAlign w:val="bottom"/>
            <w:gridSpan w:val="7"/>
          </w:tcPr>
          <w:p>
            <w:pPr>
              <w:ind w:left="400"/>
              <w:spacing w:after="0" w:line="37" w:lineRule="exact"/>
              <w:rPr>
                <w:sz w:val="20"/>
                <w:szCs w:val="20"/>
                <w:color w:val="auto"/>
              </w:rPr>
            </w:pPr>
            <w:r>
              <w:rPr>
                <w:rFonts w:ascii="Arial" w:cs="Arial" w:eastAsia="Arial" w:hAnsi="Arial"/>
                <w:sz w:val="4"/>
                <w:szCs w:val="4"/>
                <w:color w:val="FFFFFF"/>
              </w:rPr>
              <w:t>a wholly owned subsidiary of DuP SectiondeNemours, Inc. (“DuPont”), and</w:t>
            </w:r>
          </w:p>
        </w:tc>
        <w:tc>
          <w:tcPr>
            <w:tcW w:w="2560" w:type="dxa"/>
            <w:vAlign w:val="bottom"/>
            <w:gridSpan w:val="3"/>
          </w:tcPr>
          <w:p>
            <w:pPr>
              <w:jc w:val="right"/>
              <w:ind w:right="20"/>
              <w:spacing w:after="0" w:line="37" w:lineRule="exact"/>
              <w:rPr>
                <w:sz w:val="20"/>
                <w:szCs w:val="20"/>
                <w:color w:val="auto"/>
              </w:rPr>
            </w:pPr>
            <w:r>
              <w:rPr>
                <w:rFonts w:ascii="Arial" w:cs="Arial" w:eastAsia="Arial" w:hAnsi="Arial"/>
                <w:sz w:val="4"/>
                <w:szCs w:val="4"/>
                <w:color w:val="FFFFFF"/>
              </w:rPr>
              <w:t>Flavors &amp; Fragrances Inc. (“IFF”),which will</w:t>
            </w: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4260" w:type="dxa"/>
            <w:vAlign w:val="bottom"/>
            <w:gridSpan w:val="7"/>
          </w:tcPr>
          <w:p>
            <w:pPr>
              <w:spacing w:after="0" w:line="37" w:lineRule="exact"/>
              <w:rPr>
                <w:sz w:val="20"/>
                <w:szCs w:val="20"/>
                <w:color w:val="auto"/>
              </w:rPr>
            </w:pPr>
            <w:r>
              <w:rPr>
                <w:rFonts w:ascii="Arial" w:cs="Arial" w:eastAsia="Arial" w:hAnsi="Arial"/>
                <w:sz w:val="4"/>
                <w:szCs w:val="4"/>
                <w:color w:val="FFFFFF"/>
              </w:rPr>
              <w:t>immediately follow the proposed separation of(“N&amp;Bco”),from DuPont (the “proposed</w:t>
            </w:r>
          </w:p>
        </w:tc>
        <w:tc>
          <w:tcPr>
            <w:tcW w:w="480" w:type="dxa"/>
            <w:vAlign w:val="bottom"/>
          </w:tcPr>
          <w:p>
            <w:pPr>
              <w:spacing w:after="0"/>
              <w:rPr>
                <w:sz w:val="3"/>
                <w:szCs w:val="3"/>
                <w:color w:val="auto"/>
              </w:rPr>
            </w:pPr>
          </w:p>
        </w:tc>
        <w:tc>
          <w:tcPr>
            <w:tcW w:w="5060" w:type="dxa"/>
            <w:vAlign w:val="bottom"/>
            <w:gridSpan w:val="9"/>
          </w:tcPr>
          <w:p>
            <w:pPr>
              <w:jc w:val="right"/>
              <w:ind w:right="140"/>
              <w:spacing w:after="0" w:line="37" w:lineRule="exact"/>
              <w:rPr>
                <w:sz w:val="20"/>
                <w:szCs w:val="20"/>
                <w:color w:val="auto"/>
              </w:rPr>
            </w:pPr>
            <w:r>
              <w:rPr>
                <w:rFonts w:ascii="Arial" w:cs="Arial" w:eastAsia="Arial" w:hAnsi="Arial"/>
                <w:sz w:val="4"/>
                <w:szCs w:val="4"/>
                <w:color w:val="FFFFFF"/>
              </w:rPr>
              <w:t>N&amp;Bco, IFF, Neptune Merger SubInternationalInc.(“Merger Sub I”) and Neptune Merger Sub II LLC (“Merger</w:t>
            </w:r>
          </w:p>
        </w:tc>
        <w:tc>
          <w:tcPr>
            <w:tcW w:w="0" w:type="dxa"/>
            <w:vAlign w:val="bottom"/>
          </w:tcPr>
          <w:p>
            <w:pPr>
              <w:spacing w:after="0" w:line="20" w:lineRule="exact"/>
              <w:rPr>
                <w:sz w:val="1"/>
                <w:szCs w:val="1"/>
                <w:color w:val="auto"/>
              </w:rPr>
            </w:pPr>
          </w:p>
        </w:tc>
      </w:tr>
      <w:tr>
        <w:trPr>
          <w:trHeight w:val="36"/>
        </w:trPr>
        <w:tc>
          <w:tcPr>
            <w:tcW w:w="1040" w:type="dxa"/>
            <w:vAlign w:val="bottom"/>
            <w:gridSpan w:val="2"/>
          </w:tcPr>
          <w:p>
            <w:pPr>
              <w:spacing w:after="0" w:line="37" w:lineRule="exact"/>
              <w:rPr>
                <w:sz w:val="20"/>
                <w:szCs w:val="20"/>
                <w:color w:val="auto"/>
              </w:rPr>
            </w:pPr>
            <w:r>
              <w:rPr>
                <w:rFonts w:ascii="Arial" w:cs="Arial" w:eastAsia="Arial" w:hAnsi="Arial"/>
                <w:sz w:val="4"/>
                <w:szCs w:val="4"/>
                <w:color w:val="FFFFFF"/>
              </w:rPr>
              <w:t>Sub II”) intend to file</w:t>
            </w:r>
          </w:p>
        </w:tc>
        <w:tc>
          <w:tcPr>
            <w:tcW w:w="360" w:type="dxa"/>
            <w:vAlign w:val="bottom"/>
          </w:tcPr>
          <w:p>
            <w:pPr>
              <w:spacing w:after="0"/>
              <w:rPr>
                <w:sz w:val="3"/>
                <w:szCs w:val="3"/>
                <w:color w:val="auto"/>
              </w:rPr>
            </w:pPr>
          </w:p>
        </w:tc>
        <w:tc>
          <w:tcPr>
            <w:tcW w:w="3340" w:type="dxa"/>
            <w:vAlign w:val="bottom"/>
            <w:gridSpan w:val="5"/>
          </w:tcPr>
          <w:p>
            <w:pPr>
              <w:ind w:left="80"/>
              <w:spacing w:after="0" w:line="37" w:lineRule="exact"/>
              <w:rPr>
                <w:sz w:val="20"/>
                <w:szCs w:val="20"/>
                <w:color w:val="auto"/>
              </w:rPr>
            </w:pPr>
            <w:r>
              <w:rPr>
                <w:rFonts w:ascii="Arial" w:cs="Arial" w:eastAsia="Arial" w:hAnsi="Arial"/>
                <w:sz w:val="4"/>
                <w:szCs w:val="4"/>
                <w:color w:val="FFFFFF"/>
              </w:rPr>
              <w:t>materials with he SEC, including a registration statementtransaction”),Form</w:t>
            </w:r>
          </w:p>
        </w:tc>
        <w:tc>
          <w:tcPr>
            <w:tcW w:w="4840" w:type="dxa"/>
            <w:vAlign w:val="bottom"/>
            <w:gridSpan w:val="8"/>
          </w:tcPr>
          <w:p>
            <w:pPr>
              <w:ind w:left="40"/>
              <w:spacing w:after="0" w:line="37" w:lineRule="exact"/>
              <w:rPr>
                <w:sz w:val="20"/>
                <w:szCs w:val="20"/>
                <w:color w:val="auto"/>
              </w:rPr>
            </w:pPr>
            <w:r>
              <w:rPr>
                <w:rFonts w:ascii="Arial" w:cs="Arial" w:eastAsia="Arial" w:hAnsi="Arial"/>
                <w:sz w:val="4"/>
                <w:szCs w:val="4"/>
                <w:color w:val="FFFFFF"/>
              </w:rPr>
              <w:t>-4 that will include a proxy statement/prospectus relating to the proposed transaction. In addition,</w:t>
            </w: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9200" w:type="dxa"/>
            <w:vAlign w:val="bottom"/>
            <w:gridSpan w:val="15"/>
          </w:tcPr>
          <w:p>
            <w:pPr>
              <w:spacing w:after="0" w:line="37" w:lineRule="exact"/>
              <w:rPr>
                <w:sz w:val="20"/>
                <w:szCs w:val="20"/>
                <w:color w:val="auto"/>
              </w:rPr>
            </w:pPr>
            <w:r>
              <w:rPr>
                <w:rFonts w:ascii="Arial" w:cs="Arial" w:eastAsia="Arial" w:hAnsi="Arial"/>
                <w:sz w:val="4"/>
                <w:szCs w:val="4"/>
                <w:color w:val="FFFFFF"/>
              </w:rPr>
              <w:t>N&amp;Bco expects to filerelevantregistration statement in connection with its separation from DuPont. INVESTORS AND SECURITY HOLDERS ARE URGED TO READ THE REGISTRATION</w:t>
            </w: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ST TEMENTS, PROXY STATEMENT/PROSPECTUS AND ANY OTHER RELEVANT DOCUMENTS WHENTHEY BECOME AVAILABLE BECAUSE THEY WILL CONTAIN IMPORTANT</w:t>
            </w: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INFORMATION ABOUT IFF, N&amp;BCO, MERGER SUB I, MERGER SUB II AND THE PROPOSED TRANSACTION. Adefinitive proxy statement will be sent to shar holders of IFF seeking approval</w:t>
            </w:r>
          </w:p>
        </w:tc>
        <w:tc>
          <w:tcPr>
            <w:tcW w:w="0" w:type="dxa"/>
            <w:vAlign w:val="bottom"/>
          </w:tcPr>
          <w:p>
            <w:pPr>
              <w:spacing w:after="0" w:line="20" w:lineRule="exact"/>
              <w:rPr>
                <w:sz w:val="1"/>
                <w:szCs w:val="1"/>
                <w:color w:val="auto"/>
              </w:rPr>
            </w:pPr>
          </w:p>
        </w:tc>
      </w:tr>
      <w:tr>
        <w:trPr>
          <w:trHeight w:val="36"/>
        </w:trPr>
        <w:tc>
          <w:tcPr>
            <w:tcW w:w="9580" w:type="dxa"/>
            <w:vAlign w:val="bottom"/>
            <w:gridSpan w:val="16"/>
          </w:tcPr>
          <w:p>
            <w:pPr>
              <w:spacing w:after="0" w:line="37" w:lineRule="exact"/>
              <w:rPr>
                <w:sz w:val="20"/>
                <w:szCs w:val="20"/>
                <w:color w:val="auto"/>
              </w:rPr>
            </w:pPr>
            <w:r>
              <w:rPr>
                <w:rFonts w:ascii="Arial" w:cs="Arial" w:eastAsia="Arial" w:hAnsi="Arial"/>
                <w:sz w:val="4"/>
                <w:szCs w:val="4"/>
                <w:color w:val="FFFFFF"/>
              </w:rPr>
              <w:t>of the proposed transaction. The documents relating to the proposed transaction (when they are available) can be obtained free of charge from the SEC’s website at www.sec.gov. Free copies of these</w:t>
            </w: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documents, once available, and each of the companies’ other filings with the SEC may also be obtained from the respective companies by contacting the investor relations department of DuPont or IFF at</w:t>
            </w: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jc w:val="right"/>
              <w:ind w:right="140"/>
              <w:spacing w:after="0" w:line="37" w:lineRule="exact"/>
              <w:rPr>
                <w:sz w:val="20"/>
                <w:szCs w:val="20"/>
                <w:color w:val="auto"/>
              </w:rPr>
            </w:pPr>
            <w:r>
              <w:rPr>
                <w:rFonts w:ascii="Arial" w:cs="Arial" w:eastAsia="Arial" w:hAnsi="Arial"/>
                <w:sz w:val="4"/>
                <w:szCs w:val="4"/>
                <w:color w:val="FFFFFF"/>
              </w:rPr>
              <w:t>following: Cautionary N te on Forward-Looking Statements This communication contains “forward-looking statements” within the meaning of the federal securities laws, including Section 27A of</w:t>
            </w:r>
          </w:p>
        </w:tc>
        <w:tc>
          <w:tcPr>
            <w:tcW w:w="0" w:type="dxa"/>
            <w:vAlign w:val="bottom"/>
          </w:tcPr>
          <w:p>
            <w:pPr>
              <w:spacing w:after="0" w:line="20" w:lineRule="exact"/>
              <w:rPr>
                <w:sz w:val="1"/>
                <w:szCs w:val="1"/>
                <w:color w:val="auto"/>
              </w:rPr>
            </w:pPr>
          </w:p>
        </w:tc>
      </w:tr>
      <w:tr>
        <w:trPr>
          <w:trHeight w:val="36"/>
        </w:trPr>
        <w:tc>
          <w:tcPr>
            <w:tcW w:w="9580" w:type="dxa"/>
            <w:vAlign w:val="bottom"/>
            <w:gridSpan w:val="16"/>
          </w:tcPr>
          <w:p>
            <w:pPr>
              <w:spacing w:after="0" w:line="37" w:lineRule="exact"/>
              <w:rPr>
                <w:sz w:val="20"/>
                <w:szCs w:val="20"/>
                <w:color w:val="auto"/>
              </w:rPr>
            </w:pPr>
            <w:r>
              <w:rPr>
                <w:rFonts w:ascii="Arial" w:cs="Arial" w:eastAsia="Arial" w:hAnsi="Arial"/>
                <w:sz w:val="4"/>
                <w:szCs w:val="4"/>
                <w:color w:val="FFFFFF"/>
              </w:rPr>
              <w:t>the Securities Act, and Section 21E of the Securities Exchange Act of 1934, as amended (the “Exchange Act”). In this context, forward-looking statements often address expected future business and</w:t>
            </w: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9580" w:type="dxa"/>
            <w:vAlign w:val="bottom"/>
            <w:gridSpan w:val="16"/>
          </w:tcPr>
          <w:p>
            <w:pPr>
              <w:spacing w:after="0" w:line="37" w:lineRule="exact"/>
              <w:rPr>
                <w:sz w:val="20"/>
                <w:szCs w:val="20"/>
                <w:color w:val="auto"/>
              </w:rPr>
            </w:pPr>
            <w:r>
              <w:rPr>
                <w:rFonts w:ascii="Arial" w:cs="Arial" w:eastAsia="Arial" w:hAnsi="Arial"/>
                <w:sz w:val="4"/>
                <w:szCs w:val="4"/>
                <w:color w:val="FFFFFF"/>
              </w:rPr>
              <w:t>financial pe formance and financial condition, and often contain words such as “expect,” “anticipate,” “intend,” “plan,” “believe,” “seek,” “see,” “will,” “would,” “target,” similar expressions, and</w:t>
            </w: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variations or negatives of thesewords. Forward-looking statements by their nature address matters that are, to different degrees, uncertain, such as statements about the proposed transaction, the expected</w:t>
            </w:r>
          </w:p>
        </w:tc>
        <w:tc>
          <w:tcPr>
            <w:tcW w:w="0" w:type="dxa"/>
            <w:vAlign w:val="bottom"/>
          </w:tcPr>
          <w:p>
            <w:pPr>
              <w:spacing w:after="0" w:line="20" w:lineRule="exact"/>
              <w:rPr>
                <w:sz w:val="1"/>
                <w:szCs w:val="1"/>
                <w:color w:val="auto"/>
              </w:rPr>
            </w:pPr>
          </w:p>
        </w:tc>
      </w:tr>
      <w:tr>
        <w:trPr>
          <w:trHeight w:val="36"/>
        </w:trPr>
        <w:tc>
          <w:tcPr>
            <w:tcW w:w="1400" w:type="dxa"/>
            <w:vAlign w:val="bottom"/>
            <w:gridSpan w:val="3"/>
          </w:tcPr>
          <w:p>
            <w:pPr>
              <w:spacing w:after="0" w:line="37" w:lineRule="exact"/>
              <w:rPr>
                <w:sz w:val="20"/>
                <w:szCs w:val="20"/>
                <w:color w:val="auto"/>
              </w:rPr>
            </w:pPr>
            <w:r>
              <w:rPr>
                <w:rFonts w:ascii="Arial" w:cs="Arial" w:eastAsia="Arial" w:hAnsi="Arial"/>
                <w:sz w:val="4"/>
                <w:szCs w:val="4"/>
                <w:color w:val="FFFFFF"/>
              </w:rPr>
              <w:t>timetable for completing the</w:t>
            </w:r>
          </w:p>
        </w:tc>
        <w:tc>
          <w:tcPr>
            <w:tcW w:w="360" w:type="dxa"/>
            <w:vAlign w:val="bottom"/>
          </w:tcPr>
          <w:p>
            <w:pPr>
              <w:spacing w:after="0"/>
              <w:rPr>
                <w:sz w:val="3"/>
                <w:szCs w:val="3"/>
                <w:color w:val="auto"/>
              </w:rPr>
            </w:pPr>
          </w:p>
        </w:tc>
        <w:tc>
          <w:tcPr>
            <w:tcW w:w="8040" w:type="dxa"/>
            <w:vAlign w:val="bottom"/>
            <w:gridSpan w:val="13"/>
          </w:tcPr>
          <w:p>
            <w:pPr>
              <w:jc w:val="right"/>
              <w:ind w:right="60"/>
              <w:spacing w:after="0" w:line="37" w:lineRule="exact"/>
              <w:rPr>
                <w:sz w:val="20"/>
                <w:szCs w:val="20"/>
                <w:color w:val="auto"/>
              </w:rPr>
            </w:pPr>
            <w:r>
              <w:rPr>
                <w:rFonts w:ascii="Arial" w:cs="Arial" w:eastAsia="Arial" w:hAnsi="Arial"/>
                <w:sz w:val="4"/>
                <w:szCs w:val="4"/>
                <w:color w:val="FFFFFF"/>
              </w:rPr>
              <w:t>transaction, the benefits and synergies of the proposed transaction, future opportunities for the combined company and products and any other statements regarding</w:t>
            </w:r>
          </w:p>
        </w:tc>
        <w:tc>
          <w:tcPr>
            <w:tcW w:w="0" w:type="dxa"/>
            <w:vAlign w:val="bottom"/>
          </w:tcPr>
          <w:p>
            <w:pPr>
              <w:spacing w:after="0" w:line="20" w:lineRule="exact"/>
              <w:rPr>
                <w:sz w:val="1"/>
                <w:szCs w:val="1"/>
                <w:color w:val="auto"/>
              </w:rPr>
            </w:pPr>
          </w:p>
        </w:tc>
      </w:tr>
      <w:tr>
        <w:trPr>
          <w:trHeight w:val="36"/>
        </w:trPr>
        <w:tc>
          <w:tcPr>
            <w:tcW w:w="9580" w:type="dxa"/>
            <w:vAlign w:val="bottom"/>
            <w:gridSpan w:val="16"/>
          </w:tcPr>
          <w:p>
            <w:pPr>
              <w:spacing w:after="0" w:line="37" w:lineRule="exact"/>
              <w:rPr>
                <w:sz w:val="20"/>
                <w:szCs w:val="20"/>
                <w:color w:val="auto"/>
              </w:rPr>
            </w:pPr>
            <w:r>
              <w:rPr>
                <w:rFonts w:ascii="Arial" w:cs="Arial" w:eastAsia="Arial" w:hAnsi="Arial"/>
                <w:sz w:val="4"/>
                <w:szCs w:val="4"/>
                <w:color w:val="FFFFFF"/>
              </w:rPr>
              <w:t>DuPont’s, IFF’s and N&amp;Bco’proposedfutureoperations, financial or operating result , capital allocation, dividend policy, debt ratio, anticipated business levels, future earnings, planned activities, anticipated</w:t>
            </w: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1040" w:type="dxa"/>
            <w:vAlign w:val="bottom"/>
            <w:gridSpan w:val="2"/>
          </w:tcPr>
          <w:p>
            <w:pPr>
              <w:spacing w:after="0" w:line="37" w:lineRule="exact"/>
              <w:rPr>
                <w:sz w:val="20"/>
                <w:szCs w:val="20"/>
                <w:color w:val="auto"/>
              </w:rPr>
            </w:pPr>
            <w:r>
              <w:rPr>
                <w:rFonts w:ascii="Arial" w:cs="Arial" w:eastAsia="Arial" w:hAnsi="Arial"/>
                <w:sz w:val="4"/>
                <w:szCs w:val="4"/>
                <w:color w:val="FFFFFF"/>
              </w:rPr>
              <w:t>growth, market</w:t>
            </w:r>
          </w:p>
        </w:tc>
        <w:tc>
          <w:tcPr>
            <w:tcW w:w="360" w:type="dxa"/>
            <w:vAlign w:val="bottom"/>
          </w:tcPr>
          <w:p>
            <w:pPr>
              <w:spacing w:after="0"/>
              <w:rPr>
                <w:sz w:val="3"/>
                <w:szCs w:val="3"/>
                <w:color w:val="auto"/>
              </w:rPr>
            </w:pPr>
          </w:p>
        </w:tc>
        <w:tc>
          <w:tcPr>
            <w:tcW w:w="8400" w:type="dxa"/>
            <w:vAlign w:val="bottom"/>
            <w:gridSpan w:val="14"/>
          </w:tcPr>
          <w:p>
            <w:pPr>
              <w:jc w:val="right"/>
              <w:ind w:right="120"/>
              <w:spacing w:after="0" w:line="37" w:lineRule="exact"/>
              <w:rPr>
                <w:sz w:val="20"/>
                <w:szCs w:val="20"/>
                <w:color w:val="auto"/>
              </w:rPr>
            </w:pPr>
            <w:r>
              <w:rPr>
                <w:rFonts w:ascii="Arial" w:cs="Arial" w:eastAsia="Arial" w:hAnsi="Arial"/>
                <w:sz w:val="4"/>
                <w:szCs w:val="4"/>
                <w:color w:val="FFFFFF"/>
              </w:rPr>
              <w:t>st ategies, competitions, and other expectations and targets for future periods. There are several factors which could cause actual plans and results to differ materially from</w:t>
            </w: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ind w:left="20"/>
              <w:spacing w:after="0" w:line="37" w:lineRule="exact"/>
              <w:rPr>
                <w:sz w:val="20"/>
                <w:szCs w:val="20"/>
                <w:color w:val="auto"/>
              </w:rPr>
            </w:pPr>
            <w:r>
              <w:rPr>
                <w:rFonts w:ascii="Arial" w:cs="Arial" w:eastAsia="Arial" w:hAnsi="Arial"/>
                <w:sz w:val="4"/>
                <w:szCs w:val="4"/>
                <w:color w:val="FFFFFF"/>
              </w:rPr>
              <w:t>hose expressed opportunities,impliedin forward-looking statements. Such factors include, but are not limited to, (1) the parties’ ability to meet expectations regarding the timing, completion and accounting and tax</w:t>
            </w:r>
          </w:p>
        </w:tc>
        <w:tc>
          <w:tcPr>
            <w:tcW w:w="0" w:type="dxa"/>
            <w:vAlign w:val="bottom"/>
          </w:tcPr>
          <w:p>
            <w:pPr>
              <w:spacing w:after="0" w:line="20" w:lineRule="exact"/>
              <w:rPr>
                <w:sz w:val="1"/>
                <w:szCs w:val="1"/>
                <w:color w:val="auto"/>
              </w:rPr>
            </w:pPr>
          </w:p>
        </w:tc>
      </w:tr>
      <w:tr>
        <w:trPr>
          <w:trHeight w:val="36"/>
        </w:trPr>
        <w:tc>
          <w:tcPr>
            <w:tcW w:w="1760" w:type="dxa"/>
            <w:vAlign w:val="bottom"/>
            <w:gridSpan w:val="4"/>
          </w:tcPr>
          <w:p>
            <w:pPr>
              <w:spacing w:after="0" w:line="37" w:lineRule="exact"/>
              <w:rPr>
                <w:sz w:val="20"/>
                <w:szCs w:val="20"/>
                <w:color w:val="auto"/>
              </w:rPr>
            </w:pPr>
            <w:r>
              <w:rPr>
                <w:rFonts w:ascii="Arial" w:cs="Arial" w:eastAsia="Arial" w:hAnsi="Arial"/>
                <w:sz w:val="4"/>
                <w:szCs w:val="4"/>
                <w:color w:val="FFFFFF"/>
              </w:rPr>
              <w:t>treatments of the proposed transacti</w:t>
            </w:r>
          </w:p>
        </w:tc>
        <w:tc>
          <w:tcPr>
            <w:tcW w:w="5720" w:type="dxa"/>
            <w:vAlign w:val="bottom"/>
            <w:gridSpan w:val="9"/>
          </w:tcPr>
          <w:p>
            <w:pPr>
              <w:spacing w:after="0" w:line="37" w:lineRule="exact"/>
              <w:rPr>
                <w:sz w:val="20"/>
                <w:szCs w:val="20"/>
                <w:color w:val="auto"/>
              </w:rPr>
            </w:pPr>
            <w:r>
              <w:rPr>
                <w:rFonts w:ascii="Arial" w:cs="Arial" w:eastAsia="Arial" w:hAnsi="Arial"/>
                <w:sz w:val="4"/>
                <w:szCs w:val="4"/>
                <w:color w:val="FFFFFF"/>
              </w:rPr>
              <w:t>n, (2) changes in relevant tax and other laws, (3) any failure to obtainnecessary regulatory approvals, approval of IFF’</w:t>
            </w:r>
          </w:p>
        </w:tc>
        <w:tc>
          <w:tcPr>
            <w:tcW w:w="2320" w:type="dxa"/>
            <w:vAlign w:val="bottom"/>
            <w:gridSpan w:val="4"/>
          </w:tcPr>
          <w:p>
            <w:pPr>
              <w:jc w:val="right"/>
              <w:ind w:right="80"/>
              <w:spacing w:after="0" w:line="37" w:lineRule="exact"/>
              <w:rPr>
                <w:sz w:val="20"/>
                <w:szCs w:val="20"/>
                <w:color w:val="auto"/>
              </w:rPr>
            </w:pPr>
            <w:r>
              <w:rPr>
                <w:rFonts w:ascii="Arial" w:cs="Arial" w:eastAsia="Arial" w:hAnsi="Arial"/>
                <w:sz w:val="4"/>
                <w:szCs w:val="4"/>
                <w:color w:val="FFFFFF"/>
              </w:rPr>
              <w:t>shareholders, anticipated tax treatment or any</w:t>
            </w:r>
          </w:p>
        </w:tc>
        <w:tc>
          <w:tcPr>
            <w:tcW w:w="0" w:type="dxa"/>
            <w:vAlign w:val="bottom"/>
          </w:tcPr>
          <w:p>
            <w:pPr>
              <w:spacing w:after="0" w:line="20" w:lineRule="exact"/>
              <w:rPr>
                <w:sz w:val="1"/>
                <w:szCs w:val="1"/>
                <w:color w:val="auto"/>
              </w:rPr>
            </w:pPr>
          </w:p>
        </w:tc>
      </w:tr>
      <w:tr>
        <w:trPr>
          <w:trHeight w:val="36"/>
        </w:trPr>
        <w:tc>
          <w:tcPr>
            <w:tcW w:w="1040" w:type="dxa"/>
            <w:vAlign w:val="bottom"/>
            <w:gridSpan w:val="2"/>
          </w:tcPr>
          <w:p>
            <w:pPr>
              <w:spacing w:after="0" w:line="37" w:lineRule="exact"/>
              <w:rPr>
                <w:sz w:val="20"/>
                <w:szCs w:val="20"/>
                <w:color w:val="auto"/>
              </w:rPr>
            </w:pPr>
            <w:r>
              <w:rPr>
                <w:rFonts w:ascii="Arial" w:cs="Arial" w:eastAsia="Arial" w:hAnsi="Arial"/>
                <w:sz w:val="4"/>
                <w:szCs w:val="4"/>
                <w:color w:val="FFFFFF"/>
              </w:rPr>
              <w:t>required financing</w:t>
            </w:r>
          </w:p>
        </w:tc>
        <w:tc>
          <w:tcPr>
            <w:tcW w:w="8760" w:type="dxa"/>
            <w:vAlign w:val="bottom"/>
            <w:gridSpan w:val="15"/>
          </w:tcPr>
          <w:p>
            <w:pPr>
              <w:jc w:val="right"/>
              <w:ind w:right="180"/>
              <w:spacing w:after="0" w:line="37" w:lineRule="exact"/>
              <w:rPr>
                <w:sz w:val="20"/>
                <w:szCs w:val="20"/>
                <w:color w:val="auto"/>
              </w:rPr>
            </w:pPr>
            <w:r>
              <w:rPr>
                <w:rFonts w:ascii="Arial" w:cs="Arial" w:eastAsia="Arial" w:hAnsi="Arial"/>
                <w:sz w:val="4"/>
                <w:szCs w:val="4"/>
                <w:color w:val="FFFFFF"/>
              </w:rPr>
              <w:t>to satisfy any of the other conditions to the proposed transaction, (4) the possibility that unforeseen liabilities, future capital expenditures, revenues, expenses, earnings, synergies,</w:t>
            </w: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economic performance, indebtedness, financial condition, l sses, future prospects, business and management strategies that could impact the value, timing or pursuit of the proposed transaction, (5) risks</w:t>
            </w: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and costs and pursuit and/or implementation of the separation of N&amp;Bco, including timing a ticipated to complete the separation, any changes to theconfiguration of businesses included in the separation</w:t>
            </w: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if implemented, (6) risks related to indemnification of certain legacy liabilities of E. I. du Pont de Nemours and Company (“Historical EID”) in connection with the distribution of Corteva Inc. on June 1,</w:t>
            </w:r>
          </w:p>
        </w:tc>
        <w:tc>
          <w:tcPr>
            <w:tcW w:w="0" w:type="dxa"/>
            <w:vAlign w:val="bottom"/>
          </w:tcPr>
          <w:p>
            <w:pPr>
              <w:spacing w:after="0" w:line="20" w:lineRule="exact"/>
              <w:rPr>
                <w:sz w:val="1"/>
                <w:szCs w:val="1"/>
                <w:color w:val="auto"/>
              </w:rPr>
            </w:pPr>
          </w:p>
        </w:tc>
      </w:tr>
      <w:tr>
        <w:trPr>
          <w:trHeight w:val="36"/>
        </w:trPr>
        <w:tc>
          <w:tcPr>
            <w:tcW w:w="9580" w:type="dxa"/>
            <w:vAlign w:val="bottom"/>
            <w:gridSpan w:val="16"/>
          </w:tcPr>
          <w:p>
            <w:pPr>
              <w:spacing w:after="0" w:line="37" w:lineRule="exact"/>
              <w:rPr>
                <w:sz w:val="20"/>
                <w:szCs w:val="20"/>
                <w:color w:val="auto"/>
              </w:rPr>
            </w:pPr>
            <w:r>
              <w:rPr>
                <w:rFonts w:ascii="Arial" w:cs="Arial" w:eastAsia="Arial" w:hAnsi="Arial"/>
                <w:sz w:val="4"/>
                <w:szCs w:val="4"/>
                <w:color w:val="FFFFFF"/>
              </w:rPr>
              <w:t>2019 (the “Corteva Distribution”), (7) potential liability arising from fraudulent conveyance and similar laws in connection with DuPont’s distribution of Dow Inc. on April 1, 2019 and/orthe Corteva</w:t>
            </w: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9580" w:type="dxa"/>
            <w:vAlign w:val="bottom"/>
            <w:gridSpan w:val="16"/>
          </w:tcPr>
          <w:p>
            <w:pPr>
              <w:spacing w:after="0" w:line="37" w:lineRule="exact"/>
              <w:rPr>
                <w:sz w:val="20"/>
                <w:szCs w:val="20"/>
                <w:color w:val="auto"/>
              </w:rPr>
            </w:pPr>
            <w:r>
              <w:rPr>
                <w:rFonts w:ascii="Arial" w:cs="Arial" w:eastAsia="Arial" w:hAnsi="Arial"/>
                <w:sz w:val="4"/>
                <w:szCs w:val="4"/>
                <w:color w:val="FFFFFF"/>
              </w:rPr>
              <w:t>Distributions (the “Previous Distributions”), (8) failure to effectively manage acquisitions, divestitures, alliances, joint ventures and other portfolio changes, including meeting conditions under the</w:t>
            </w: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5660" w:type="dxa"/>
            <w:vAlign w:val="bottom"/>
            <w:gridSpan w:val="10"/>
          </w:tcPr>
          <w:p>
            <w:pPr>
              <w:spacing w:after="0" w:line="37" w:lineRule="exact"/>
              <w:rPr>
                <w:sz w:val="20"/>
                <w:szCs w:val="20"/>
                <w:color w:val="auto"/>
              </w:rPr>
            </w:pPr>
            <w:r>
              <w:rPr>
                <w:rFonts w:ascii="Arial" w:cs="Arial" w:eastAsia="Arial" w:hAnsi="Arial"/>
                <w:sz w:val="4"/>
                <w:szCs w:val="4"/>
                <w:color w:val="FFFFFF"/>
              </w:rPr>
              <w:t>LetterAgreement entered in connection with the Corteva Distribution, related to the transfer of certain levels of assets</w:t>
            </w:r>
          </w:p>
        </w:tc>
        <w:tc>
          <w:tcPr>
            <w:tcW w:w="4140" w:type="dxa"/>
            <w:vAlign w:val="bottom"/>
            <w:gridSpan w:val="7"/>
          </w:tcPr>
          <w:p>
            <w:pPr>
              <w:jc w:val="right"/>
              <w:ind w:right="120"/>
              <w:spacing w:after="0" w:line="37" w:lineRule="exact"/>
              <w:rPr>
                <w:sz w:val="20"/>
                <w:szCs w:val="20"/>
                <w:color w:val="auto"/>
              </w:rPr>
            </w:pPr>
            <w:r>
              <w:rPr>
                <w:rFonts w:ascii="Arial" w:cs="Arial" w:eastAsia="Arial" w:hAnsi="Arial"/>
                <w:sz w:val="4"/>
                <w:szCs w:val="4"/>
                <w:color w:val="FFFFFF"/>
              </w:rPr>
              <w:t>businesses, (9) uncertainty as to the long-term value of DuPont common stock,</w:t>
            </w:r>
          </w:p>
        </w:tc>
        <w:tc>
          <w:tcPr>
            <w:tcW w:w="0" w:type="dxa"/>
            <w:vAlign w:val="bottom"/>
          </w:tcPr>
          <w:p>
            <w:pPr>
              <w:spacing w:after="0" w:line="20" w:lineRule="exact"/>
              <w:rPr>
                <w:sz w:val="1"/>
                <w:szCs w:val="1"/>
                <w:color w:val="auto"/>
              </w:rPr>
            </w:pPr>
          </w:p>
        </w:tc>
      </w:tr>
      <w:tr>
        <w:trPr>
          <w:trHeight w:val="36"/>
        </w:trPr>
        <w:tc>
          <w:tcPr>
            <w:tcW w:w="1040" w:type="dxa"/>
            <w:vAlign w:val="bottom"/>
            <w:gridSpan w:val="2"/>
          </w:tcPr>
          <w:p>
            <w:pPr>
              <w:spacing w:after="0" w:line="37" w:lineRule="exact"/>
              <w:rPr>
                <w:sz w:val="20"/>
                <w:szCs w:val="20"/>
                <w:color w:val="auto"/>
              </w:rPr>
            </w:pPr>
            <w:r>
              <w:rPr>
                <w:rFonts w:ascii="Arial" w:cs="Arial" w:eastAsia="Arial" w:hAnsi="Arial"/>
                <w:sz w:val="4"/>
                <w:szCs w:val="4"/>
                <w:color w:val="FFFFFF"/>
              </w:rPr>
              <w:t>(10) potential</w:t>
            </w:r>
          </w:p>
        </w:tc>
        <w:tc>
          <w:tcPr>
            <w:tcW w:w="4220" w:type="dxa"/>
            <w:vAlign w:val="bottom"/>
            <w:gridSpan w:val="7"/>
          </w:tcPr>
          <w:p>
            <w:pPr>
              <w:jc w:val="center"/>
              <w:spacing w:after="0" w:line="37" w:lineRule="exact"/>
              <w:rPr>
                <w:sz w:val="20"/>
                <w:szCs w:val="20"/>
                <w:color w:val="auto"/>
              </w:rPr>
            </w:pPr>
            <w:r>
              <w:rPr>
                <w:rFonts w:ascii="Arial" w:cs="Arial" w:eastAsia="Arial" w:hAnsi="Arial"/>
                <w:sz w:val="4"/>
                <w:szCs w:val="4"/>
                <w:color w:val="FFFFFF"/>
              </w:rPr>
              <w:t>or reduced access to the capital markets or increased cost of borrowings, including as</w:t>
            </w:r>
          </w:p>
        </w:tc>
        <w:tc>
          <w:tcPr>
            <w:tcW w:w="3520" w:type="dxa"/>
            <w:vAlign w:val="bottom"/>
            <w:gridSpan w:val="5"/>
          </w:tcPr>
          <w:p>
            <w:pPr>
              <w:ind w:left="60"/>
              <w:spacing w:after="0" w:line="37" w:lineRule="exact"/>
              <w:rPr>
                <w:sz w:val="20"/>
                <w:szCs w:val="20"/>
                <w:color w:val="auto"/>
              </w:rPr>
            </w:pPr>
            <w:r>
              <w:rPr>
                <w:rFonts w:ascii="Arial" w:cs="Arial" w:eastAsia="Arial" w:hAnsi="Arial"/>
                <w:sz w:val="4"/>
                <w:szCs w:val="4"/>
                <w:color w:val="FFFFFF"/>
              </w:rPr>
              <w:t>result ofandcredit rating downgrade, (11) inherent uncertainties</w:t>
            </w:r>
          </w:p>
        </w:tc>
        <w:tc>
          <w:tcPr>
            <w:tcW w:w="1020" w:type="dxa"/>
            <w:vAlign w:val="bottom"/>
            <w:gridSpan w:val="3"/>
          </w:tcPr>
          <w:p>
            <w:pPr>
              <w:jc w:val="right"/>
              <w:ind w:right="60"/>
              <w:spacing w:after="0" w:line="37" w:lineRule="exact"/>
              <w:rPr>
                <w:sz w:val="20"/>
                <w:szCs w:val="20"/>
                <w:color w:val="auto"/>
              </w:rPr>
            </w:pPr>
            <w:r>
              <w:rPr>
                <w:rFonts w:ascii="Arial" w:cs="Arial" w:eastAsia="Arial" w:hAnsi="Arial"/>
                <w:sz w:val="4"/>
                <w:szCs w:val="4"/>
                <w:color w:val="FFFFFF"/>
              </w:rPr>
              <w:t>in the estimates and</w:t>
            </w:r>
          </w:p>
        </w:tc>
        <w:tc>
          <w:tcPr>
            <w:tcW w:w="0" w:type="dxa"/>
            <w:vAlign w:val="bottom"/>
          </w:tcPr>
          <w:p>
            <w:pPr>
              <w:spacing w:after="0" w:line="20" w:lineRule="exact"/>
              <w:rPr>
                <w:sz w:val="1"/>
                <w:szCs w:val="1"/>
                <w:color w:val="auto"/>
              </w:rPr>
            </w:pPr>
          </w:p>
        </w:tc>
      </w:tr>
      <w:tr>
        <w:trPr>
          <w:trHeight w:val="36"/>
        </w:trPr>
        <w:tc>
          <w:tcPr>
            <w:tcW w:w="1760" w:type="dxa"/>
            <w:vAlign w:val="bottom"/>
            <w:gridSpan w:val="4"/>
          </w:tcPr>
          <w:p>
            <w:pPr>
              <w:spacing w:after="0" w:line="37" w:lineRule="exact"/>
              <w:rPr>
                <w:sz w:val="20"/>
                <w:szCs w:val="20"/>
                <w:color w:val="auto"/>
              </w:rPr>
            </w:pPr>
            <w:r>
              <w:rPr>
                <w:rFonts w:ascii="Arial" w:cs="Arial" w:eastAsia="Arial" w:hAnsi="Arial"/>
                <w:sz w:val="4"/>
                <w:szCs w:val="4"/>
                <w:color w:val="FFFFFF"/>
              </w:rPr>
              <w:t>judgments usedinabilitythepreparation of</w:t>
            </w:r>
          </w:p>
        </w:tc>
        <w:tc>
          <w:tcPr>
            <w:tcW w:w="7820" w:type="dxa"/>
            <w:vAlign w:val="bottom"/>
            <w:gridSpan w:val="12"/>
          </w:tcPr>
          <w:p>
            <w:pPr>
              <w:ind w:left="480"/>
              <w:spacing w:after="0" w:line="37" w:lineRule="exact"/>
              <w:rPr>
                <w:sz w:val="20"/>
                <w:szCs w:val="20"/>
                <w:color w:val="auto"/>
              </w:rPr>
            </w:pPr>
            <w:r>
              <w:rPr>
                <w:rFonts w:ascii="Arial" w:cs="Arial" w:eastAsia="Arial" w:hAnsi="Arial"/>
                <w:sz w:val="4"/>
                <w:szCs w:val="4"/>
                <w:color w:val="FFFFFF"/>
              </w:rPr>
              <w:t>statements and the providing of estimates of financial measures, in accordance with the accounting principles generally acceptedinvolvedtheUnited States of</w:t>
            </w: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America and related standards, or on financialadjusted basis, (12)the integration of IFF and its Frutarom business and/or N&amp;Bco being more difficult, time consuming or costly than expected, (13) the failure to</w:t>
            </w:r>
          </w:p>
        </w:tc>
        <w:tc>
          <w:tcPr>
            <w:tcW w:w="0" w:type="dxa"/>
            <w:vAlign w:val="bottom"/>
          </w:tcPr>
          <w:p>
            <w:pPr>
              <w:spacing w:after="0" w:line="20" w:lineRule="exact"/>
              <w:rPr>
                <w:sz w:val="1"/>
                <w:szCs w:val="1"/>
                <w:color w:val="auto"/>
              </w:rPr>
            </w:pPr>
          </w:p>
        </w:tc>
      </w:tr>
      <w:tr>
        <w:trPr>
          <w:trHeight w:val="36"/>
        </w:trPr>
        <w:tc>
          <w:tcPr>
            <w:tcW w:w="9580" w:type="dxa"/>
            <w:vAlign w:val="bottom"/>
            <w:gridSpan w:val="16"/>
          </w:tcPr>
          <w:p>
            <w:pPr>
              <w:spacing w:after="0" w:line="37" w:lineRule="exact"/>
              <w:rPr>
                <w:sz w:val="20"/>
                <w:szCs w:val="20"/>
                <w:color w:val="auto"/>
              </w:rPr>
            </w:pPr>
            <w:r>
              <w:rPr>
                <w:rFonts w:ascii="Arial" w:cs="Arial" w:eastAsia="Arial" w:hAnsi="Arial"/>
                <w:sz w:val="4"/>
                <w:szCs w:val="4"/>
                <w:color w:val="FFFFFF"/>
              </w:rPr>
              <w:t>achieve expected or targeted future financial and operating performance and results, (14) the possibility that IFF may be unable to achieve expected benefits, synergies and operating efficiencies in</w:t>
            </w: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4260" w:type="dxa"/>
            <w:vAlign w:val="bottom"/>
            <w:gridSpan w:val="7"/>
          </w:tcPr>
          <w:p>
            <w:pPr>
              <w:spacing w:after="0" w:line="37" w:lineRule="exact"/>
              <w:rPr>
                <w:sz w:val="20"/>
                <w:szCs w:val="20"/>
                <w:color w:val="auto"/>
              </w:rPr>
            </w:pPr>
            <w:r>
              <w:rPr>
                <w:rFonts w:ascii="Arial" w:cs="Arial" w:eastAsia="Arial" w:hAnsi="Arial"/>
                <w:sz w:val="4"/>
                <w:szCs w:val="4"/>
                <w:color w:val="FFFFFF"/>
              </w:rPr>
              <w:t>connection with the proposed transaction within the expected time frames or at all</w:t>
            </w:r>
          </w:p>
        </w:tc>
        <w:tc>
          <w:tcPr>
            <w:tcW w:w="480" w:type="dxa"/>
            <w:vAlign w:val="bottom"/>
          </w:tcPr>
          <w:p>
            <w:pPr>
              <w:spacing w:after="0"/>
              <w:rPr>
                <w:sz w:val="3"/>
                <w:szCs w:val="3"/>
                <w:color w:val="auto"/>
              </w:rPr>
            </w:pPr>
          </w:p>
        </w:tc>
        <w:tc>
          <w:tcPr>
            <w:tcW w:w="5060" w:type="dxa"/>
            <w:vAlign w:val="bottom"/>
            <w:gridSpan w:val="9"/>
          </w:tcPr>
          <w:p>
            <w:pPr>
              <w:jc w:val="right"/>
              <w:ind w:right="40"/>
              <w:spacing w:after="0" w:line="37" w:lineRule="exact"/>
              <w:rPr>
                <w:sz w:val="20"/>
                <w:szCs w:val="20"/>
                <w:color w:val="auto"/>
              </w:rPr>
            </w:pPr>
            <w:r>
              <w:rPr>
                <w:rFonts w:ascii="Arial" w:cs="Arial" w:eastAsia="Arial" w:hAnsi="Arial"/>
                <w:sz w:val="4"/>
                <w:szCs w:val="4"/>
                <w:color w:val="FFFFFF"/>
              </w:rPr>
              <w:t>integrate Frutarom and N&amp;Bco, (15) customer loss and business disruption being greater than expected</w:t>
            </w:r>
          </w:p>
        </w:tc>
        <w:tc>
          <w:tcPr>
            <w:tcW w:w="0" w:type="dxa"/>
            <w:vAlign w:val="bottom"/>
          </w:tcPr>
          <w:p>
            <w:pPr>
              <w:spacing w:after="0" w:line="20" w:lineRule="exact"/>
              <w:rPr>
                <w:sz w:val="1"/>
                <w:szCs w:val="1"/>
                <w:color w:val="auto"/>
              </w:rPr>
            </w:pPr>
          </w:p>
        </w:tc>
      </w:tr>
      <w:tr>
        <w:trPr>
          <w:trHeight w:val="36"/>
        </w:trPr>
        <w:tc>
          <w:tcPr>
            <w:tcW w:w="9580" w:type="dxa"/>
            <w:vAlign w:val="bottom"/>
            <w:gridSpan w:val="16"/>
          </w:tcPr>
          <w:p>
            <w:pPr>
              <w:spacing w:after="0" w:line="37" w:lineRule="exact"/>
              <w:rPr>
                <w:sz w:val="20"/>
                <w:szCs w:val="20"/>
                <w:color w:val="auto"/>
              </w:rPr>
            </w:pPr>
            <w:r>
              <w:rPr>
                <w:rFonts w:ascii="Arial" w:cs="Arial" w:eastAsia="Arial" w:hAnsi="Arial"/>
                <w:sz w:val="4"/>
                <w:szCs w:val="4"/>
                <w:color w:val="FFFFFF"/>
              </w:rPr>
              <w:t>following the proposed transaction, (16) the impact of divestitures required as  conditionortosuccessfullyconsummation of the proposed transaction as well as other conditional commitments, (17) legislative,</w:t>
            </w: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80" w:type="dxa"/>
            <w:vAlign w:val="bottom"/>
            <w:gridSpan w:val="11"/>
          </w:tcPr>
          <w:p>
            <w:pPr>
              <w:spacing w:after="0" w:line="37" w:lineRule="exact"/>
              <w:rPr>
                <w:sz w:val="20"/>
                <w:szCs w:val="20"/>
                <w:color w:val="auto"/>
              </w:rPr>
            </w:pPr>
            <w:r>
              <w:rPr>
                <w:rFonts w:ascii="Arial" w:cs="Arial" w:eastAsia="Arial" w:hAnsi="Arial"/>
                <w:sz w:val="4"/>
                <w:szCs w:val="4"/>
                <w:color w:val="FFFFFF"/>
              </w:rPr>
              <w:t>regulatory and economic developments; (18)an increase or decrease in the anticipated transaction taxes (including due to any</w:t>
            </w:r>
          </w:p>
        </w:tc>
        <w:tc>
          <w:tcPr>
            <w:tcW w:w="3720" w:type="dxa"/>
            <w:vAlign w:val="bottom"/>
            <w:gridSpan w:val="6"/>
          </w:tcPr>
          <w:p>
            <w:pPr>
              <w:jc w:val="center"/>
              <w:ind w:left="180"/>
              <w:spacing w:after="0" w:line="37" w:lineRule="exact"/>
              <w:rPr>
                <w:sz w:val="20"/>
                <w:szCs w:val="20"/>
                <w:color w:val="auto"/>
              </w:rPr>
            </w:pPr>
            <w:r>
              <w:rPr>
                <w:rFonts w:ascii="Arial" w:cs="Arial" w:eastAsia="Arial" w:hAnsi="Arial"/>
                <w:sz w:val="4"/>
                <w:szCs w:val="4"/>
                <w:color w:val="FFFFFF"/>
              </w:rPr>
              <w:t>to tax legislation and its impact on tax rates (and the timing of the</w:t>
            </w:r>
          </w:p>
        </w:tc>
        <w:tc>
          <w:tcPr>
            <w:tcW w:w="0" w:type="dxa"/>
            <w:vAlign w:val="bottom"/>
          </w:tcPr>
          <w:p>
            <w:pPr>
              <w:spacing w:after="0" w:line="20" w:lineRule="exact"/>
              <w:rPr>
                <w:sz w:val="1"/>
                <w:szCs w:val="1"/>
                <w:color w:val="auto"/>
              </w:rPr>
            </w:pPr>
          </w:p>
        </w:tc>
      </w:tr>
      <w:tr>
        <w:trPr>
          <w:trHeight w:val="36"/>
        </w:trPr>
        <w:tc>
          <w:tcPr>
            <w:tcW w:w="9200" w:type="dxa"/>
            <w:vAlign w:val="bottom"/>
            <w:gridSpan w:val="15"/>
          </w:tcPr>
          <w:p>
            <w:pPr>
              <w:spacing w:after="0" w:line="37" w:lineRule="exact"/>
              <w:rPr>
                <w:sz w:val="20"/>
                <w:szCs w:val="20"/>
                <w:color w:val="auto"/>
              </w:rPr>
            </w:pPr>
            <w:r>
              <w:rPr>
                <w:rFonts w:ascii="Arial" w:cs="Arial" w:eastAsia="Arial" w:hAnsi="Arial"/>
                <w:sz w:val="4"/>
                <w:szCs w:val="4"/>
                <w:color w:val="FFFFFF"/>
              </w:rPr>
              <w:t>effectiveness of any such changes)) to be paid in connection with the separation prior to the closing of the transactions could causechanges adjustment to the exchange ratio, (19)potential litigation</w:t>
            </w:r>
          </w:p>
        </w:tc>
        <w:tc>
          <w:tcPr>
            <w:tcW w:w="380" w:type="dxa"/>
            <w:vAlign w:val="bottom"/>
          </w:tcPr>
          <w:p>
            <w:pPr>
              <w:spacing w:after="0"/>
              <w:rPr>
                <w:sz w:val="3"/>
                <w:szCs w:val="3"/>
                <w:color w:val="auto"/>
              </w:rPr>
            </w:pPr>
          </w:p>
        </w:tc>
        <w:tc>
          <w:tcPr>
            <w:tcW w:w="220" w:type="dxa"/>
            <w:vAlign w:val="bottom"/>
          </w:tcPr>
          <w:p>
            <w:pPr>
              <w:jc w:val="right"/>
              <w:ind w:right="100"/>
              <w:spacing w:after="0" w:line="37" w:lineRule="exact"/>
              <w:rPr>
                <w:sz w:val="20"/>
                <w:szCs w:val="20"/>
                <w:color w:val="auto"/>
              </w:rPr>
            </w:pPr>
            <w:r>
              <w:rPr>
                <w:rFonts w:ascii="Arial" w:cs="Arial" w:eastAsia="Arial" w:hAnsi="Arial"/>
                <w:sz w:val="4"/>
                <w:szCs w:val="4"/>
                <w:color w:val="FFFFFF"/>
              </w:rPr>
              <w:t>to</w:t>
            </w:r>
          </w:p>
        </w:tc>
        <w:tc>
          <w:tcPr>
            <w:tcW w:w="0" w:type="dxa"/>
            <w:vAlign w:val="bottom"/>
          </w:tcPr>
          <w:p>
            <w:pPr>
              <w:spacing w:after="0" w:line="20" w:lineRule="exact"/>
              <w:rPr>
                <w:sz w:val="1"/>
                <w:szCs w:val="1"/>
                <w:color w:val="auto"/>
              </w:rPr>
            </w:pPr>
          </w:p>
        </w:tc>
      </w:tr>
      <w:tr>
        <w:trPr>
          <w:trHeight w:val="18"/>
        </w:trPr>
        <w:tc>
          <w:tcPr>
            <w:tcW w:w="9800" w:type="dxa"/>
            <w:vAlign w:val="bottom"/>
            <w:gridSpan w:val="17"/>
          </w:tcPr>
          <w:p>
            <w:pPr>
              <w:ind w:left="20"/>
              <w:spacing w:after="0" w:line="19" w:lineRule="exact"/>
              <w:rPr>
                <w:sz w:val="20"/>
                <w:szCs w:val="20"/>
                <w:color w:val="auto"/>
              </w:rPr>
            </w:pPr>
            <w:r>
              <w:rPr>
                <w:rFonts w:ascii="Arial" w:cs="Arial" w:eastAsia="Arial" w:hAnsi="Arial"/>
                <w:sz w:val="2"/>
                <w:szCs w:val="2"/>
                <w:color w:val="FFFFFF"/>
              </w:rPr>
              <w:t>riggered by the proposed transaction, (21)negative effects of the announcement or the consummation of the transaction on the market price of DuPont’s and/or IFF’ common stock, (22)risks relating to</w:t>
            </w:r>
          </w:p>
        </w:tc>
        <w:tc>
          <w:tcPr>
            <w:tcW w:w="0" w:type="dxa"/>
            <w:vAlign w:val="bottom"/>
          </w:tcPr>
          <w:p>
            <w:pPr>
              <w:spacing w:after="0" w:line="20" w:lineRule="exact"/>
              <w:rPr>
                <w:sz w:val="1"/>
                <w:szCs w:val="1"/>
                <w:color w:val="auto"/>
              </w:rPr>
            </w:pPr>
          </w:p>
        </w:tc>
      </w:tr>
      <w:tr>
        <w:trPr>
          <w:trHeight w:val="18"/>
        </w:trPr>
        <w:tc>
          <w:tcPr>
            <w:tcW w:w="9580" w:type="dxa"/>
            <w:vAlign w:val="bottom"/>
            <w:gridSpan w:val="16"/>
          </w:tcPr>
          <w:p>
            <w:pPr>
              <w:ind w:left="160"/>
              <w:spacing w:after="0" w:line="19" w:lineRule="exact"/>
              <w:rPr>
                <w:sz w:val="20"/>
                <w:szCs w:val="20"/>
                <w:color w:val="auto"/>
              </w:rPr>
            </w:pPr>
            <w:r>
              <w:rPr>
                <w:rFonts w:ascii="Arial" w:cs="Arial" w:eastAsia="Arial" w:hAnsi="Arial"/>
                <w:sz w:val="2"/>
                <w:szCs w:val="2"/>
                <w:color w:val="FFFFFF"/>
              </w:rPr>
              <w:t>proposed transaction that could be instituted against DuPont, IFF or their respective directors, (20)risks associated with third party contracts containing consent and/or other provisions that m y be</w:t>
            </w: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9200" w:type="dxa"/>
            <w:vAlign w:val="bottom"/>
            <w:gridSpan w:val="15"/>
          </w:tcPr>
          <w:p>
            <w:pPr>
              <w:spacing w:after="0" w:line="73" w:lineRule="exact"/>
              <w:rPr>
                <w:sz w:val="20"/>
                <w:szCs w:val="20"/>
                <w:color w:val="auto"/>
              </w:rPr>
            </w:pPr>
            <w:r>
              <w:rPr>
                <w:rFonts w:ascii="Arial" w:cs="Arial" w:eastAsia="Arial" w:hAnsi="Arial"/>
                <w:sz w:val="8"/>
                <w:szCs w:val="8"/>
                <w:color w:val="FFFFFF"/>
              </w:rPr>
              <w:t>the value of the IFF shares to be issued   the transaction and uncertainty as to the long-term value of IFF’ common stock, (23)risks relating to IFF’s ongoing investigations into improper pay</w:t>
            </w:r>
          </w:p>
        </w:tc>
        <w:tc>
          <w:tcPr>
            <w:tcW w:w="600" w:type="dxa"/>
            <w:vAlign w:val="bottom"/>
            <w:gridSpan w:val="2"/>
          </w:tcPr>
          <w:p>
            <w:pPr>
              <w:jc w:val="right"/>
              <w:ind w:right="20"/>
              <w:spacing w:after="0" w:line="73" w:lineRule="exact"/>
              <w:rPr>
                <w:sz w:val="20"/>
                <w:szCs w:val="20"/>
                <w:color w:val="auto"/>
              </w:rPr>
            </w:pPr>
            <w:r>
              <w:rPr>
                <w:rFonts w:ascii="Arial" w:cs="Arial" w:eastAsia="Arial" w:hAnsi="Arial"/>
                <w:sz w:val="8"/>
                <w:szCs w:val="8"/>
                <w:color w:val="FFFFFF"/>
              </w:rPr>
              <w:t>ents made</w:t>
            </w:r>
          </w:p>
        </w:tc>
        <w:tc>
          <w:tcPr>
            <w:tcW w:w="0" w:type="dxa"/>
            <w:vAlign w:val="bottom"/>
          </w:tcPr>
          <w:p>
            <w:pPr>
              <w:spacing w:after="0"/>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in Frutarom businesses principally operating in Russia and the Ukraine, including expenses incurred with respect to the investigations, the cost of any remedial measures or compliance programs arising</w:t>
            </w: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out of the investigations, legal proceedings or government investigations that may arise relating to the subject of IFF’s investigations, and the outcome of any such legal or government investigations, such</w:t>
            </w:r>
          </w:p>
        </w:tc>
        <w:tc>
          <w:tcPr>
            <w:tcW w:w="0" w:type="dxa"/>
            <w:vAlign w:val="bottom"/>
          </w:tcPr>
          <w:p>
            <w:pPr>
              <w:spacing w:after="0" w:line="20" w:lineRule="exact"/>
              <w:rPr>
                <w:sz w:val="1"/>
                <w:szCs w:val="1"/>
                <w:color w:val="auto"/>
              </w:rPr>
            </w:pPr>
          </w:p>
        </w:tc>
      </w:tr>
      <w:tr>
        <w:trPr>
          <w:trHeight w:val="36"/>
        </w:trPr>
        <w:tc>
          <w:tcPr>
            <w:tcW w:w="9580" w:type="dxa"/>
            <w:vAlign w:val="bottom"/>
            <w:gridSpan w:val="16"/>
          </w:tcPr>
          <w:p>
            <w:pPr>
              <w:spacing w:after="0" w:line="37" w:lineRule="exact"/>
              <w:rPr>
                <w:sz w:val="20"/>
                <w:szCs w:val="20"/>
                <w:color w:val="auto"/>
              </w:rPr>
            </w:pPr>
            <w:r>
              <w:rPr>
                <w:rFonts w:ascii="Arial" w:cs="Arial" w:eastAsia="Arial" w:hAnsi="Arial"/>
                <w:sz w:val="4"/>
                <w:szCs w:val="4"/>
                <w:color w:val="FFFFFF"/>
              </w:rPr>
              <w:t>as the imposition of fines, penalties, orders, or injunctions, (24) the impact of the failure to comply with U.S. or foreign anti-corruption and anti-bribery laws and regulations, including with respect to</w:t>
            </w: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80" w:type="dxa"/>
            <w:vAlign w:val="bottom"/>
            <w:gridSpan w:val="11"/>
          </w:tcPr>
          <w:p>
            <w:pPr>
              <w:spacing w:after="0" w:line="37" w:lineRule="exact"/>
              <w:rPr>
                <w:sz w:val="20"/>
                <w:szCs w:val="20"/>
                <w:color w:val="auto"/>
              </w:rPr>
            </w:pPr>
            <w:r>
              <w:rPr>
                <w:rFonts w:ascii="Arial" w:cs="Arial" w:eastAsia="Arial" w:hAnsi="Arial"/>
                <w:sz w:val="4"/>
                <w:szCs w:val="4"/>
                <w:color w:val="FFFFFF"/>
              </w:rPr>
              <w:t>IFF’ ongoing investigations into improper payments made in Frutarom businesses principally operating in Russia and the</w:t>
            </w:r>
          </w:p>
        </w:tc>
        <w:tc>
          <w:tcPr>
            <w:tcW w:w="3120" w:type="dxa"/>
            <w:vAlign w:val="bottom"/>
            <w:gridSpan w:val="4"/>
          </w:tcPr>
          <w:p>
            <w:pPr>
              <w:jc w:val="right"/>
              <w:ind w:right="60"/>
              <w:spacing w:after="0" w:line="37" w:lineRule="exact"/>
              <w:rPr>
                <w:sz w:val="20"/>
                <w:szCs w:val="20"/>
                <w:color w:val="auto"/>
              </w:rPr>
            </w:pPr>
            <w:r>
              <w:rPr>
                <w:rFonts w:ascii="Arial" w:cs="Arial" w:eastAsia="Arial" w:hAnsi="Arial"/>
                <w:sz w:val="4"/>
                <w:szCs w:val="4"/>
                <w:color w:val="FFFFFF"/>
              </w:rPr>
              <w:t>(25) the impact of the outcome of legal claims, regulatory</w:t>
            </w: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3340" w:type="dxa"/>
            <w:vAlign w:val="bottom"/>
            <w:gridSpan w:val="6"/>
          </w:tcPr>
          <w:p>
            <w:pPr>
              <w:spacing w:after="0" w:line="37" w:lineRule="exact"/>
              <w:rPr>
                <w:sz w:val="20"/>
                <w:szCs w:val="20"/>
                <w:color w:val="auto"/>
              </w:rPr>
            </w:pPr>
            <w:r>
              <w:rPr>
                <w:rFonts w:ascii="Arial" w:cs="Arial" w:eastAsia="Arial" w:hAnsi="Arial"/>
                <w:sz w:val="4"/>
                <w:szCs w:val="4"/>
                <w:color w:val="FFFFFF"/>
              </w:rPr>
              <w:t>investigations and litigation, including any thatmay arise out of IFF’</w:t>
            </w:r>
          </w:p>
        </w:tc>
        <w:tc>
          <w:tcPr>
            <w:tcW w:w="920" w:type="dxa"/>
            <w:vAlign w:val="bottom"/>
          </w:tcPr>
          <w:p>
            <w:pPr>
              <w:spacing w:after="0" w:line="37" w:lineRule="exact"/>
              <w:rPr>
                <w:sz w:val="20"/>
                <w:szCs w:val="20"/>
                <w:color w:val="auto"/>
              </w:rPr>
            </w:pPr>
            <w:r>
              <w:rPr>
                <w:rFonts w:ascii="Arial" w:cs="Arial" w:eastAsia="Arial" w:hAnsi="Arial"/>
                <w:sz w:val="4"/>
                <w:szCs w:val="4"/>
                <w:color w:val="FFFFFF"/>
              </w:rPr>
              <w:t>ongoing</w:t>
            </w:r>
          </w:p>
        </w:tc>
        <w:tc>
          <w:tcPr>
            <w:tcW w:w="5540" w:type="dxa"/>
            <w:vAlign w:val="bottom"/>
            <w:gridSpan w:val="10"/>
          </w:tcPr>
          <w:p>
            <w:pPr>
              <w:jc w:val="right"/>
              <w:spacing w:after="0" w:line="37" w:lineRule="exact"/>
              <w:rPr>
                <w:sz w:val="20"/>
                <w:szCs w:val="20"/>
                <w:color w:val="auto"/>
              </w:rPr>
            </w:pPr>
            <w:r>
              <w:rPr>
                <w:rFonts w:ascii="Arial" w:cs="Arial" w:eastAsia="Arial" w:hAnsi="Arial"/>
                <w:sz w:val="4"/>
                <w:szCs w:val="4"/>
                <w:color w:val="FFFFFF"/>
              </w:rPr>
              <w:t>into improper payments madeUkraine,Frutarom businesses principally operating in Russia and the Ukraine, (26) the</w:t>
            </w: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ability of N&amp;Bco or IFF to retain and hire key personnel, (27)the risk that N&amp;Bco,investigationsasnewly formed entity that currently has no credit rating, will not have access to the capital markets on acceptable</w:t>
            </w: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ind w:left="20"/>
              <w:spacing w:after="0" w:line="37" w:lineRule="exact"/>
              <w:rPr>
                <w:sz w:val="20"/>
                <w:szCs w:val="20"/>
                <w:color w:val="auto"/>
              </w:rPr>
            </w:pPr>
            <w:r>
              <w:rPr>
                <w:rFonts w:ascii="Arial" w:cs="Arial" w:eastAsia="Arial" w:hAnsi="Arial"/>
                <w:sz w:val="4"/>
                <w:szCs w:val="4"/>
                <w:color w:val="FFFFFF"/>
              </w:rPr>
              <w:t>erms, (28)the risk that N&amp;Bco and IFF will incur significant indebtedness in connection with the potential transaction, and the degree to which IFF will be leveraged following completion of the potential</w:t>
            </w:r>
          </w:p>
        </w:tc>
        <w:tc>
          <w:tcPr>
            <w:tcW w:w="0" w:type="dxa"/>
            <w:vAlign w:val="bottom"/>
          </w:tcPr>
          <w:p>
            <w:pPr>
              <w:spacing w:after="0" w:line="20" w:lineRule="exact"/>
              <w:rPr>
                <w:sz w:val="1"/>
                <w:szCs w:val="1"/>
                <w:color w:val="auto"/>
              </w:rPr>
            </w:pPr>
          </w:p>
        </w:tc>
      </w:tr>
      <w:tr>
        <w:trPr>
          <w:trHeight w:val="36"/>
        </w:trPr>
        <w:tc>
          <w:tcPr>
            <w:tcW w:w="1040" w:type="dxa"/>
            <w:vAlign w:val="bottom"/>
            <w:gridSpan w:val="2"/>
          </w:tcPr>
          <w:p>
            <w:pPr>
              <w:spacing w:after="0" w:line="37" w:lineRule="exact"/>
              <w:rPr>
                <w:sz w:val="20"/>
                <w:szCs w:val="20"/>
                <w:color w:val="auto"/>
              </w:rPr>
            </w:pPr>
            <w:r>
              <w:rPr>
                <w:rFonts w:ascii="Arial" w:cs="Arial" w:eastAsia="Arial" w:hAnsi="Arial"/>
                <w:sz w:val="4"/>
                <w:szCs w:val="4"/>
                <w:color w:val="FFFFFF"/>
              </w:rPr>
              <w:t>transaction may</w:t>
            </w:r>
          </w:p>
        </w:tc>
        <w:tc>
          <w:tcPr>
            <w:tcW w:w="1380" w:type="dxa"/>
            <w:vAlign w:val="bottom"/>
            <w:gridSpan w:val="3"/>
          </w:tcPr>
          <w:p>
            <w:pPr>
              <w:ind w:left="260"/>
              <w:spacing w:after="0" w:line="37" w:lineRule="exact"/>
              <w:rPr>
                <w:sz w:val="20"/>
                <w:szCs w:val="20"/>
                <w:color w:val="auto"/>
              </w:rPr>
            </w:pPr>
            <w:r>
              <w:rPr>
                <w:rFonts w:ascii="Arial" w:cs="Arial" w:eastAsia="Arial" w:hAnsi="Arial"/>
                <w:sz w:val="4"/>
                <w:szCs w:val="4"/>
                <w:color w:val="FFFFFF"/>
              </w:rPr>
              <w:t>and adversely affect its</w:t>
            </w:r>
          </w:p>
        </w:tc>
        <w:tc>
          <w:tcPr>
            <w:tcW w:w="7380" w:type="dxa"/>
            <w:vAlign w:val="bottom"/>
            <w:gridSpan w:val="12"/>
          </w:tcPr>
          <w:p>
            <w:pPr>
              <w:jc w:val="right"/>
              <w:ind w:right="120"/>
              <w:spacing w:after="0" w:line="37" w:lineRule="exact"/>
              <w:rPr>
                <w:sz w:val="20"/>
                <w:szCs w:val="20"/>
                <w:color w:val="auto"/>
              </w:rPr>
            </w:pPr>
            <w:r>
              <w:rPr>
                <w:rFonts w:ascii="Arial" w:cs="Arial" w:eastAsia="Arial" w:hAnsi="Arial"/>
                <w:sz w:val="4"/>
                <w:szCs w:val="4"/>
                <w:color w:val="FFFFFF"/>
              </w:rPr>
              <w:t>financial condition and results of operations, (29)the ability to obtain or consummate financing or refinancing related to the transaction upon</w:t>
            </w:r>
          </w:p>
        </w:tc>
        <w:tc>
          <w:tcPr>
            <w:tcW w:w="0" w:type="dxa"/>
            <w:vAlign w:val="bottom"/>
          </w:tcPr>
          <w:p>
            <w:pPr>
              <w:spacing w:after="0" w:line="20" w:lineRule="exact"/>
              <w:rPr>
                <w:sz w:val="1"/>
                <w:szCs w:val="1"/>
                <w:color w:val="auto"/>
              </w:rPr>
            </w:pPr>
          </w:p>
        </w:tc>
      </w:tr>
      <w:tr>
        <w:trPr>
          <w:trHeight w:val="36"/>
        </w:trPr>
        <w:tc>
          <w:tcPr>
            <w:tcW w:w="2420" w:type="dxa"/>
            <w:vAlign w:val="bottom"/>
            <w:gridSpan w:val="5"/>
          </w:tcPr>
          <w:p>
            <w:pPr>
              <w:spacing w:after="0" w:line="37" w:lineRule="exact"/>
              <w:rPr>
                <w:sz w:val="20"/>
                <w:szCs w:val="20"/>
                <w:color w:val="auto"/>
              </w:rPr>
            </w:pPr>
            <w:r>
              <w:rPr>
                <w:rFonts w:ascii="Arial" w:cs="Arial" w:eastAsia="Arial" w:hAnsi="Arial"/>
                <w:sz w:val="4"/>
                <w:szCs w:val="4"/>
                <w:color w:val="FFFFFF"/>
              </w:rPr>
              <w:t>acceptable termsmateriallyorall,and (30) other risks to</w:t>
            </w:r>
          </w:p>
        </w:tc>
        <w:tc>
          <w:tcPr>
            <w:tcW w:w="3660" w:type="dxa"/>
            <w:vAlign w:val="bottom"/>
            <w:gridSpan w:val="6"/>
          </w:tcPr>
          <w:p>
            <w:pPr>
              <w:ind w:left="20"/>
              <w:spacing w:after="0" w:line="37" w:lineRule="exact"/>
              <w:rPr>
                <w:sz w:val="20"/>
                <w:szCs w:val="20"/>
                <w:color w:val="auto"/>
              </w:rPr>
            </w:pPr>
            <w:r>
              <w:rPr>
                <w:rFonts w:ascii="Arial" w:cs="Arial" w:eastAsia="Arial" w:hAnsi="Arial"/>
                <w:sz w:val="4"/>
                <w:szCs w:val="4"/>
                <w:color w:val="FFFFFF"/>
              </w:rPr>
              <w:t>business,N&amp;Bco’ and IFF’s business, operations and results of operations</w:t>
            </w:r>
          </w:p>
        </w:tc>
        <w:tc>
          <w:tcPr>
            <w:tcW w:w="3720" w:type="dxa"/>
            <w:vAlign w:val="bottom"/>
            <w:gridSpan w:val="6"/>
          </w:tcPr>
          <w:p>
            <w:pPr>
              <w:jc w:val="right"/>
              <w:ind w:right="180"/>
              <w:spacing w:after="0" w:line="37" w:lineRule="exact"/>
              <w:rPr>
                <w:sz w:val="20"/>
                <w:szCs w:val="20"/>
                <w:color w:val="auto"/>
              </w:rPr>
            </w:pPr>
            <w:r>
              <w:rPr>
                <w:rFonts w:ascii="Arial" w:cs="Arial" w:eastAsia="Arial" w:hAnsi="Arial"/>
                <w:sz w:val="4"/>
                <w:szCs w:val="4"/>
                <w:color w:val="FFFFFF"/>
              </w:rPr>
              <w:t>from: failure to develop and market new products and optimally</w:t>
            </w: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manage product life cycles; ability, cost and impactDuPont’business operations, including the supply chain, of responding to changesincludingmarket acceptance, rules, regulations and policies and failure to respond</w:t>
            </w: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to such changes; outcome of significant litigatio , environmental matters and other commitments and contingencies; failure to appropriately manage process safety and product stewar ship issues; global</w:t>
            </w:r>
          </w:p>
        </w:tc>
        <w:tc>
          <w:tcPr>
            <w:tcW w:w="0" w:type="dxa"/>
            <w:vAlign w:val="bottom"/>
          </w:tcPr>
          <w:p>
            <w:pPr>
              <w:spacing w:after="0" w:line="20" w:lineRule="exact"/>
              <w:rPr>
                <w:sz w:val="1"/>
                <w:szCs w:val="1"/>
                <w:color w:val="auto"/>
              </w:rPr>
            </w:pPr>
          </w:p>
        </w:tc>
      </w:tr>
      <w:tr>
        <w:trPr>
          <w:trHeight w:val="36"/>
        </w:trPr>
        <w:tc>
          <w:tcPr>
            <w:tcW w:w="6080" w:type="dxa"/>
            <w:vAlign w:val="bottom"/>
            <w:gridSpan w:val="11"/>
          </w:tcPr>
          <w:p>
            <w:pPr>
              <w:spacing w:after="0" w:line="37" w:lineRule="exact"/>
              <w:rPr>
                <w:sz w:val="20"/>
                <w:szCs w:val="20"/>
                <w:color w:val="auto"/>
              </w:rPr>
            </w:pPr>
            <w:r>
              <w:rPr>
                <w:rFonts w:ascii="Arial" w:cs="Arial" w:eastAsia="Arial" w:hAnsi="Arial"/>
                <w:sz w:val="4"/>
                <w:szCs w:val="4"/>
                <w:color w:val="FFFFFF"/>
              </w:rPr>
              <w:t>economic and capital market conditions, including the continued availability of capital and financing, as well as inflation,</w:t>
            </w:r>
          </w:p>
        </w:tc>
        <w:tc>
          <w:tcPr>
            <w:tcW w:w="3720" w:type="dxa"/>
            <w:vAlign w:val="bottom"/>
            <w:gridSpan w:val="6"/>
          </w:tcPr>
          <w:p>
            <w:pPr>
              <w:jc w:val="right"/>
              <w:ind w:right="160"/>
              <w:spacing w:after="0" w:line="37" w:lineRule="exact"/>
              <w:rPr>
                <w:sz w:val="20"/>
                <w:szCs w:val="20"/>
                <w:color w:val="auto"/>
              </w:rPr>
            </w:pPr>
            <w:r>
              <w:rPr>
                <w:rFonts w:ascii="Arial" w:cs="Arial" w:eastAsia="Arial" w:hAnsi="Arial"/>
                <w:sz w:val="4"/>
                <w:szCs w:val="4"/>
                <w:color w:val="FFFFFF"/>
              </w:rPr>
              <w:t>and currencyexchange rates; changes   political conditions, including</w:t>
            </w:r>
          </w:p>
        </w:tc>
        <w:tc>
          <w:tcPr>
            <w:tcW w:w="0" w:type="dxa"/>
            <w:vAlign w:val="bottom"/>
          </w:tcPr>
          <w:p>
            <w:pPr>
              <w:spacing w:after="0" w:line="20" w:lineRule="exact"/>
              <w:rPr>
                <w:sz w:val="1"/>
                <w:szCs w:val="1"/>
                <w:color w:val="auto"/>
              </w:rPr>
            </w:pPr>
          </w:p>
        </w:tc>
      </w:tr>
      <w:tr>
        <w:trPr>
          <w:trHeight w:val="36"/>
        </w:trPr>
        <w:tc>
          <w:tcPr>
            <w:tcW w:w="6640" w:type="dxa"/>
            <w:vAlign w:val="bottom"/>
            <w:gridSpan w:val="12"/>
          </w:tcPr>
          <w:p>
            <w:pPr>
              <w:spacing w:after="0" w:line="37" w:lineRule="exact"/>
              <w:rPr>
                <w:sz w:val="20"/>
                <w:szCs w:val="20"/>
                <w:color w:val="auto"/>
              </w:rPr>
            </w:pPr>
            <w:r>
              <w:rPr>
                <w:rFonts w:ascii="Arial" w:cs="Arial" w:eastAsia="Arial" w:hAnsi="Arial"/>
                <w:sz w:val="4"/>
                <w:szCs w:val="4"/>
                <w:color w:val="FFFFFF"/>
              </w:rPr>
              <w:t>tariffs, trade disputes and retaliatory actions; impairment of goodwill or intangible assets; the availability of and fluctuationsinterestthe cost of</w:t>
            </w:r>
          </w:p>
        </w:tc>
        <w:tc>
          <w:tcPr>
            <w:tcW w:w="2940" w:type="dxa"/>
            <w:vAlign w:val="bottom"/>
            <w:gridSpan w:val="4"/>
          </w:tcPr>
          <w:p>
            <w:pPr>
              <w:jc w:val="center"/>
              <w:ind w:right="130"/>
              <w:spacing w:after="0" w:line="37" w:lineRule="exact"/>
              <w:rPr>
                <w:sz w:val="20"/>
                <w:szCs w:val="20"/>
                <w:color w:val="auto"/>
              </w:rPr>
            </w:pPr>
            <w:r>
              <w:rPr>
                <w:rFonts w:ascii="Arial" w:cs="Arial" w:eastAsia="Arial" w:hAnsi="Arial"/>
                <w:sz w:val="4"/>
                <w:szCs w:val="4"/>
                <w:color w:val="FFFFFF"/>
              </w:rPr>
              <w:t>nergy and raw materials; business or supply disruption,</w:t>
            </w: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9200" w:type="dxa"/>
            <w:vAlign w:val="bottom"/>
            <w:gridSpan w:val="15"/>
          </w:tcPr>
          <w:p>
            <w:pPr>
              <w:spacing w:after="0" w:line="37" w:lineRule="exact"/>
              <w:rPr>
                <w:sz w:val="20"/>
                <w:szCs w:val="20"/>
                <w:color w:val="auto"/>
              </w:rPr>
            </w:pPr>
            <w:r>
              <w:rPr>
                <w:rFonts w:ascii="Arial" w:cs="Arial" w:eastAsia="Arial" w:hAnsi="Arial"/>
                <w:sz w:val="4"/>
                <w:szCs w:val="4"/>
                <w:color w:val="FFFFFF"/>
              </w:rPr>
              <w:t>includ ng in connection with the Previous Distributions; security threats, such as acts of sabotage, terrorism or war, natural disasters and weather events and patterns which could result in a</w:t>
            </w: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operational event for DuPont, N&amp;Bco or IFF, adversely impact demand or production; ability to discover, develop and protect new technologies and to protect and enforce DuPont’s, N&amp;Bco’significantorIFF’s</w:t>
            </w: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intellectual property rights; unpredictability and severity of catastrophic events, including, but not limited to, acts of terrorism or outbreak of war or hostilities, as well as management’s response to any of</w:t>
            </w: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the aforementioned factors. These risks, as well as other risks associated with the proposed merger, will be more fully discussed in the registration statement and merger proxy on Form S-4 to be filed by</w:t>
            </w: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IFF and the registration statement on Form 10 to be filed by N&amp;Bco. While the list of factors presented here is, and the list of factors to be presented in any registration statement filed in connection with</w:t>
            </w:r>
          </w:p>
        </w:tc>
        <w:tc>
          <w:tcPr>
            <w:tcW w:w="0" w:type="dxa"/>
            <w:vAlign w:val="bottom"/>
          </w:tcPr>
          <w:p>
            <w:pPr>
              <w:spacing w:after="0" w:line="20" w:lineRule="exact"/>
              <w:rPr>
                <w:sz w:val="1"/>
                <w:szCs w:val="1"/>
                <w:color w:val="auto"/>
              </w:rPr>
            </w:pPr>
          </w:p>
        </w:tc>
      </w:tr>
      <w:tr>
        <w:trPr>
          <w:trHeight w:val="36"/>
        </w:trPr>
        <w:tc>
          <w:tcPr>
            <w:tcW w:w="6640" w:type="dxa"/>
            <w:vAlign w:val="bottom"/>
            <w:gridSpan w:val="12"/>
          </w:tcPr>
          <w:p>
            <w:pPr>
              <w:spacing w:after="0" w:line="37" w:lineRule="exact"/>
              <w:rPr>
                <w:sz w:val="20"/>
                <w:szCs w:val="20"/>
                <w:color w:val="auto"/>
              </w:rPr>
            </w:pPr>
            <w:r>
              <w:rPr>
                <w:rFonts w:ascii="Arial" w:cs="Arial" w:eastAsia="Arial" w:hAnsi="Arial"/>
                <w:sz w:val="4"/>
                <w:szCs w:val="4"/>
                <w:color w:val="FFFFFF"/>
              </w:rPr>
              <w:t>the transaction are, considered representative, no such list should be considered to be a complete statement of all potential risks and</w:t>
            </w:r>
          </w:p>
        </w:tc>
        <w:tc>
          <w:tcPr>
            <w:tcW w:w="840" w:type="dxa"/>
            <w:vAlign w:val="bottom"/>
          </w:tcPr>
          <w:p>
            <w:pPr>
              <w:ind w:left="320"/>
              <w:spacing w:after="0" w:line="37" w:lineRule="exact"/>
              <w:rPr>
                <w:sz w:val="20"/>
                <w:szCs w:val="20"/>
                <w:color w:val="auto"/>
              </w:rPr>
            </w:pPr>
            <w:r>
              <w:rPr>
                <w:rFonts w:ascii="Arial" w:cs="Arial" w:eastAsia="Arial" w:hAnsi="Arial"/>
                <w:sz w:val="4"/>
                <w:szCs w:val="4"/>
                <w:color w:val="FFFFFF"/>
              </w:rPr>
              <w:t>. Unlisted</w:t>
            </w:r>
          </w:p>
        </w:tc>
        <w:tc>
          <w:tcPr>
            <w:tcW w:w="2100" w:type="dxa"/>
            <w:vAlign w:val="bottom"/>
            <w:gridSpan w:val="3"/>
          </w:tcPr>
          <w:p>
            <w:pPr>
              <w:jc w:val="center"/>
              <w:ind w:left="160"/>
              <w:spacing w:after="0" w:line="37" w:lineRule="exact"/>
              <w:rPr>
                <w:sz w:val="20"/>
                <w:szCs w:val="20"/>
                <w:color w:val="auto"/>
              </w:rPr>
            </w:pPr>
            <w:r>
              <w:rPr>
                <w:rFonts w:ascii="Arial" w:cs="Arial" w:eastAsia="Arial" w:hAnsi="Arial"/>
                <w:sz w:val="4"/>
                <w:szCs w:val="4"/>
                <w:color w:val="FFFFFF"/>
              </w:rPr>
              <w:t>may present significant additional</w:t>
            </w: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2420" w:type="dxa"/>
            <w:vAlign w:val="bottom"/>
            <w:gridSpan w:val="5"/>
          </w:tcPr>
          <w:p>
            <w:pPr>
              <w:spacing w:after="0" w:line="37" w:lineRule="exact"/>
              <w:rPr>
                <w:sz w:val="20"/>
                <w:szCs w:val="20"/>
                <w:color w:val="auto"/>
              </w:rPr>
            </w:pPr>
            <w:r>
              <w:rPr>
                <w:rFonts w:ascii="Arial" w:cs="Arial" w:eastAsia="Arial" w:hAnsi="Arial"/>
                <w:sz w:val="4"/>
                <w:szCs w:val="4"/>
                <w:color w:val="FFFFFF"/>
              </w:rPr>
              <w:t>obstacles to the realization of forward looking</w:t>
            </w:r>
          </w:p>
        </w:tc>
        <w:tc>
          <w:tcPr>
            <w:tcW w:w="1840" w:type="dxa"/>
            <w:vAlign w:val="bottom"/>
            <w:gridSpan w:val="2"/>
          </w:tcPr>
          <w:p>
            <w:pPr>
              <w:jc w:val="center"/>
              <w:ind w:right="360"/>
              <w:spacing w:after="0" w:line="37" w:lineRule="exact"/>
              <w:rPr>
                <w:sz w:val="20"/>
                <w:szCs w:val="20"/>
                <w:color w:val="auto"/>
              </w:rPr>
            </w:pPr>
            <w:r>
              <w:rPr>
                <w:rFonts w:ascii="Arial" w:cs="Arial" w:eastAsia="Arial" w:hAnsi="Arial"/>
                <w:sz w:val="4"/>
                <w:szCs w:val="4"/>
                <w:color w:val="FFFFFF"/>
              </w:rPr>
              <w:t>. Further listsand</w:t>
            </w:r>
          </w:p>
        </w:tc>
        <w:tc>
          <w:tcPr>
            <w:tcW w:w="4940" w:type="dxa"/>
            <w:vAlign w:val="bottom"/>
            <w:gridSpan w:val="8"/>
          </w:tcPr>
          <w:p>
            <w:pPr>
              <w:jc w:val="right"/>
              <w:ind w:right="100"/>
              <w:spacing w:after="0" w:line="37" w:lineRule="exact"/>
              <w:rPr>
                <w:sz w:val="20"/>
                <w:szCs w:val="20"/>
                <w:color w:val="auto"/>
              </w:rPr>
            </w:pPr>
            <w:r>
              <w:rPr>
                <w:rFonts w:ascii="Arial" w:cs="Arial" w:eastAsia="Arial" w:hAnsi="Arial"/>
                <w:sz w:val="4"/>
                <w:szCs w:val="4"/>
                <w:color w:val="FFFFFF"/>
              </w:rPr>
              <w:t>f risks and uncertainties can be found in eachuncertaintiesofIFF’and DuPont’factorsForm 10-Q for the period ended</w:t>
            </w: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September 30, 2019 and each of IFF’s and DuPont’statementsrespective subsequent descriptionsreportsForm 10-Q, Form 10-K andForm 8-K, the contents of which are not incorporated by reference into, nor do they form</w:t>
            </w:r>
          </w:p>
        </w:tc>
        <w:tc>
          <w:tcPr>
            <w:tcW w:w="0" w:type="dxa"/>
            <w:vAlign w:val="bottom"/>
          </w:tcPr>
          <w:p>
            <w:pPr>
              <w:spacing w:after="0" w:line="20" w:lineRule="exact"/>
              <w:rPr>
                <w:sz w:val="1"/>
                <w:szCs w:val="1"/>
                <w:color w:val="auto"/>
              </w:rPr>
            </w:pPr>
          </w:p>
        </w:tc>
      </w:tr>
      <w:tr>
        <w:trPr>
          <w:trHeight w:val="36"/>
        </w:trPr>
        <w:tc>
          <w:tcPr>
            <w:tcW w:w="2420" w:type="dxa"/>
            <w:vAlign w:val="bottom"/>
            <w:gridSpan w:val="5"/>
          </w:tcPr>
          <w:p>
            <w:pPr>
              <w:spacing w:after="0" w:line="37" w:lineRule="exact"/>
              <w:rPr>
                <w:sz w:val="20"/>
                <w:szCs w:val="20"/>
                <w:color w:val="auto"/>
              </w:rPr>
            </w:pPr>
            <w:r>
              <w:rPr>
                <w:rFonts w:ascii="Arial" w:cs="Arial" w:eastAsia="Arial" w:hAnsi="Arial"/>
                <w:sz w:val="4"/>
                <w:szCs w:val="4"/>
                <w:color w:val="FFFFFF"/>
              </w:rPr>
              <w:t>part of, this announcement. Any other risks</w:t>
            </w:r>
          </w:p>
        </w:tc>
        <w:tc>
          <w:tcPr>
            <w:tcW w:w="7380" w:type="dxa"/>
            <w:vAlign w:val="bottom"/>
            <w:gridSpan w:val="12"/>
          </w:tcPr>
          <w:p>
            <w:pPr>
              <w:jc w:val="right"/>
              <w:spacing w:after="0" w:line="37" w:lineRule="exact"/>
              <w:rPr>
                <w:sz w:val="20"/>
                <w:szCs w:val="20"/>
                <w:color w:val="auto"/>
              </w:rPr>
            </w:pPr>
            <w:r>
              <w:rPr>
                <w:rFonts w:ascii="Arial" w:cs="Arial" w:eastAsia="Arial" w:hAnsi="Arial"/>
                <w:sz w:val="4"/>
                <w:szCs w:val="4"/>
                <w:color w:val="FFFFFF"/>
              </w:rPr>
              <w:t>with the proposed transaction will be more fully discussed in anyregistration statement filed with the SEC. While the list of factors presented here is,</w:t>
            </w: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and the list of factors that may be presented associatedinregistration statement of IFF or N&amp;Bco would be, considered representative, no such list should be considered to be a complete statement of all potential</w:t>
            </w:r>
          </w:p>
        </w:tc>
        <w:tc>
          <w:tcPr>
            <w:tcW w:w="0" w:type="dxa"/>
            <w:vAlign w:val="bottom"/>
          </w:tcPr>
          <w:p>
            <w:pPr>
              <w:spacing w:after="0" w:line="20" w:lineRule="exact"/>
              <w:rPr>
                <w:sz w:val="1"/>
                <w:szCs w:val="1"/>
                <w:color w:val="auto"/>
              </w:rPr>
            </w:pPr>
          </w:p>
        </w:tc>
      </w:tr>
      <w:tr>
        <w:trPr>
          <w:trHeight w:val="36"/>
        </w:trPr>
        <w:tc>
          <w:tcPr>
            <w:tcW w:w="560" w:type="dxa"/>
            <w:vAlign w:val="bottom"/>
          </w:tcPr>
          <w:p>
            <w:pPr>
              <w:spacing w:after="0" w:line="37" w:lineRule="exact"/>
              <w:rPr>
                <w:sz w:val="20"/>
                <w:szCs w:val="20"/>
                <w:color w:val="auto"/>
              </w:rPr>
            </w:pPr>
            <w:r>
              <w:rPr>
                <w:rFonts w:ascii="Arial" w:cs="Arial" w:eastAsia="Arial" w:hAnsi="Arial"/>
                <w:sz w:val="4"/>
                <w:szCs w:val="4"/>
                <w:color w:val="FFFFFF"/>
              </w:rPr>
              <w:t>risks and</w:t>
            </w:r>
          </w:p>
        </w:tc>
        <w:tc>
          <w:tcPr>
            <w:tcW w:w="480" w:type="dxa"/>
            <w:vAlign w:val="bottom"/>
          </w:tcPr>
          <w:p>
            <w:pPr>
              <w:spacing w:after="0"/>
              <w:rPr>
                <w:sz w:val="3"/>
                <w:szCs w:val="3"/>
                <w:color w:val="auto"/>
              </w:rPr>
            </w:pPr>
          </w:p>
        </w:tc>
        <w:tc>
          <w:tcPr>
            <w:tcW w:w="2300" w:type="dxa"/>
            <w:vAlign w:val="bottom"/>
            <w:gridSpan w:val="4"/>
          </w:tcPr>
          <w:p>
            <w:pPr>
              <w:ind w:left="20"/>
              <w:spacing w:after="0" w:line="37" w:lineRule="exact"/>
              <w:rPr>
                <w:sz w:val="20"/>
                <w:szCs w:val="20"/>
                <w:color w:val="auto"/>
              </w:rPr>
            </w:pPr>
            <w:r>
              <w:rPr>
                <w:rFonts w:ascii="Arial" w:cs="Arial" w:eastAsia="Arial" w:hAnsi="Arial"/>
                <w:sz w:val="4"/>
                <w:szCs w:val="4"/>
                <w:color w:val="FFFFFF"/>
              </w:rPr>
              <w:t>. Unlisted factors may present significant additi</w:t>
            </w:r>
          </w:p>
        </w:tc>
        <w:tc>
          <w:tcPr>
            <w:tcW w:w="2740" w:type="dxa"/>
            <w:vAlign w:val="bottom"/>
            <w:gridSpan w:val="5"/>
          </w:tcPr>
          <w:p>
            <w:pPr>
              <w:ind w:left="120"/>
              <w:spacing w:after="0" w:line="37" w:lineRule="exact"/>
              <w:rPr>
                <w:sz w:val="20"/>
                <w:szCs w:val="20"/>
                <w:color w:val="auto"/>
              </w:rPr>
            </w:pPr>
            <w:r>
              <w:rPr>
                <w:rFonts w:ascii="Arial" w:cs="Arial" w:eastAsia="Arial" w:hAnsi="Arial"/>
                <w:sz w:val="4"/>
                <w:szCs w:val="4"/>
                <w:color w:val="FFFFFF"/>
              </w:rPr>
              <w:t>al obstacles to the realization of forward looking state</w:t>
            </w:r>
          </w:p>
        </w:tc>
        <w:tc>
          <w:tcPr>
            <w:tcW w:w="3500" w:type="dxa"/>
            <w:vAlign w:val="bottom"/>
            <w:gridSpan w:val="5"/>
          </w:tcPr>
          <w:p>
            <w:pPr>
              <w:ind w:left="60"/>
              <w:spacing w:after="0" w:line="37" w:lineRule="exact"/>
              <w:rPr>
                <w:sz w:val="20"/>
                <w:szCs w:val="20"/>
                <w:color w:val="auto"/>
              </w:rPr>
            </w:pPr>
            <w:r>
              <w:rPr>
                <w:rFonts w:ascii="Arial" w:cs="Arial" w:eastAsia="Arial" w:hAnsi="Arial"/>
                <w:sz w:val="4"/>
                <w:szCs w:val="4"/>
                <w:color w:val="FFFFFF"/>
              </w:rPr>
              <w:t>ents. Consequences of material differences in results as compared with</w:t>
            </w: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9580" w:type="dxa"/>
            <w:vAlign w:val="bottom"/>
            <w:gridSpan w:val="16"/>
          </w:tcPr>
          <w:p>
            <w:pPr>
              <w:spacing w:after="0" w:line="37" w:lineRule="exact"/>
              <w:rPr>
                <w:sz w:val="20"/>
                <w:szCs w:val="20"/>
                <w:color w:val="auto"/>
              </w:rPr>
            </w:pPr>
            <w:r>
              <w:rPr>
                <w:rFonts w:ascii="Arial" w:cs="Arial" w:eastAsia="Arial" w:hAnsi="Arial"/>
                <w:sz w:val="4"/>
                <w:szCs w:val="4"/>
                <w:color w:val="FFFFFF"/>
              </w:rPr>
              <w:t>those anticipated   the forward-looking statements could include, among other things, business disruption, operational problems, financial loss, legal liability to third parties and similar risks, any of</w:t>
            </w: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which coulduncertaintieshavematerial adverse effect on IFF’s, DuPont’s   N&amp;Bco’s consolidated financial condition, results of operations, credit rating or liquidity. None of IFF, DuPont nor N&amp;Bco assumes any</w:t>
            </w:r>
          </w:p>
        </w:tc>
        <w:tc>
          <w:tcPr>
            <w:tcW w:w="0" w:type="dxa"/>
            <w:vAlign w:val="bottom"/>
          </w:tcPr>
          <w:p>
            <w:pPr>
              <w:spacing w:after="0" w:line="20" w:lineRule="exact"/>
              <w:rPr>
                <w:sz w:val="1"/>
                <w:szCs w:val="1"/>
                <w:color w:val="auto"/>
              </w:rPr>
            </w:pPr>
          </w:p>
        </w:tc>
      </w:tr>
      <w:tr>
        <w:trPr>
          <w:trHeight w:val="36"/>
        </w:trPr>
        <w:tc>
          <w:tcPr>
            <w:tcW w:w="3340" w:type="dxa"/>
            <w:vAlign w:val="bottom"/>
            <w:gridSpan w:val="6"/>
          </w:tcPr>
          <w:p>
            <w:pPr>
              <w:ind w:left="60"/>
              <w:spacing w:after="0" w:line="37" w:lineRule="exact"/>
              <w:rPr>
                <w:sz w:val="20"/>
                <w:szCs w:val="20"/>
                <w:color w:val="auto"/>
              </w:rPr>
            </w:pPr>
            <w:r>
              <w:rPr>
                <w:rFonts w:ascii="Arial" w:cs="Arial" w:eastAsia="Arial" w:hAnsi="Arial"/>
                <w:sz w:val="4"/>
                <w:szCs w:val="4"/>
                <w:color w:val="FFFFFF"/>
              </w:rPr>
              <w:t>bligat on to publicly provide revisions or updates to any forward-</w:t>
            </w:r>
          </w:p>
        </w:tc>
        <w:tc>
          <w:tcPr>
            <w:tcW w:w="1400" w:type="dxa"/>
            <w:vAlign w:val="bottom"/>
            <w:gridSpan w:val="2"/>
          </w:tcPr>
          <w:p>
            <w:pPr>
              <w:ind w:left="240"/>
              <w:spacing w:after="0" w:line="37" w:lineRule="exact"/>
              <w:rPr>
                <w:sz w:val="20"/>
                <w:szCs w:val="20"/>
                <w:color w:val="auto"/>
              </w:rPr>
            </w:pPr>
            <w:r>
              <w:rPr>
                <w:rFonts w:ascii="Arial" w:cs="Arial" w:eastAsia="Arial" w:hAnsi="Arial"/>
                <w:sz w:val="4"/>
                <w:szCs w:val="4"/>
                <w:color w:val="FFFFFF"/>
              </w:rPr>
              <w:t>statements, whether as</w:t>
            </w:r>
          </w:p>
        </w:tc>
        <w:tc>
          <w:tcPr>
            <w:tcW w:w="920" w:type="dxa"/>
            <w:vAlign w:val="bottom"/>
            <w:gridSpan w:val="2"/>
          </w:tcPr>
          <w:p>
            <w:pPr>
              <w:ind w:left="40"/>
              <w:spacing w:after="0" w:line="37" w:lineRule="exact"/>
              <w:rPr>
                <w:sz w:val="20"/>
                <w:szCs w:val="20"/>
                <w:color w:val="auto"/>
              </w:rPr>
            </w:pPr>
            <w:r>
              <w:rPr>
                <w:rFonts w:ascii="Arial" w:cs="Arial" w:eastAsia="Arial" w:hAnsi="Arial"/>
                <w:sz w:val="4"/>
                <w:szCs w:val="4"/>
                <w:color w:val="FFFFFF"/>
              </w:rPr>
              <w:t>result of new</w:t>
            </w:r>
          </w:p>
        </w:tc>
        <w:tc>
          <w:tcPr>
            <w:tcW w:w="420" w:type="dxa"/>
            <w:vAlign w:val="bottom"/>
          </w:tcPr>
          <w:p>
            <w:pPr>
              <w:spacing w:after="0"/>
              <w:rPr>
                <w:sz w:val="3"/>
                <w:szCs w:val="3"/>
                <w:color w:val="auto"/>
              </w:rPr>
            </w:pPr>
          </w:p>
        </w:tc>
        <w:tc>
          <w:tcPr>
            <w:tcW w:w="2700" w:type="dxa"/>
            <w:vAlign w:val="bottom"/>
            <w:gridSpan w:val="3"/>
          </w:tcPr>
          <w:p>
            <w:pPr>
              <w:spacing w:after="0" w:line="37" w:lineRule="exact"/>
              <w:rPr>
                <w:sz w:val="20"/>
                <w:szCs w:val="20"/>
                <w:color w:val="auto"/>
              </w:rPr>
            </w:pPr>
            <w:r>
              <w:rPr>
                <w:rFonts w:ascii="Arial" w:cs="Arial" w:eastAsia="Arial" w:hAnsi="Arial"/>
                <w:sz w:val="4"/>
                <w:szCs w:val="4"/>
                <w:color w:val="FFFFFF"/>
              </w:rPr>
              <w:t>future developments or otherwise, should circumstances</w:t>
            </w:r>
          </w:p>
        </w:tc>
        <w:tc>
          <w:tcPr>
            <w:tcW w:w="420" w:type="dxa"/>
            <w:vAlign w:val="bottom"/>
          </w:tcPr>
          <w:p>
            <w:pPr>
              <w:spacing w:after="0"/>
              <w:rPr>
                <w:sz w:val="3"/>
                <w:szCs w:val="3"/>
                <w:color w:val="auto"/>
              </w:rPr>
            </w:pPr>
          </w:p>
        </w:tc>
        <w:tc>
          <w:tcPr>
            <w:tcW w:w="600" w:type="dxa"/>
            <w:vAlign w:val="bottom"/>
            <w:gridSpan w:val="2"/>
          </w:tcPr>
          <w:p>
            <w:pPr>
              <w:jc w:val="right"/>
              <w:ind w:right="140"/>
              <w:spacing w:after="0" w:line="37" w:lineRule="exact"/>
              <w:rPr>
                <w:sz w:val="20"/>
                <w:szCs w:val="20"/>
                <w:color w:val="auto"/>
              </w:rPr>
            </w:pPr>
            <w:r>
              <w:rPr>
                <w:rFonts w:ascii="Arial" w:cs="Arial" w:eastAsia="Arial" w:hAnsi="Arial"/>
                <w:sz w:val="4"/>
                <w:szCs w:val="4"/>
                <w:color w:val="FFFFFF"/>
              </w:rPr>
              <w:t>except as</w:t>
            </w:r>
          </w:p>
        </w:tc>
        <w:tc>
          <w:tcPr>
            <w:tcW w:w="0" w:type="dxa"/>
            <w:vAlign w:val="bottom"/>
          </w:tcPr>
          <w:p>
            <w:pPr>
              <w:spacing w:after="0" w:line="20" w:lineRule="exact"/>
              <w:rPr>
                <w:sz w:val="1"/>
                <w:szCs w:val="1"/>
                <w:color w:val="auto"/>
              </w:rPr>
            </w:pPr>
          </w:p>
        </w:tc>
      </w:tr>
      <w:tr>
        <w:trPr>
          <w:trHeight w:val="36"/>
        </w:trPr>
        <w:tc>
          <w:tcPr>
            <w:tcW w:w="9800" w:type="dxa"/>
            <w:vAlign w:val="bottom"/>
            <w:gridSpan w:val="17"/>
          </w:tcPr>
          <w:p>
            <w:pPr>
              <w:spacing w:after="0" w:line="37" w:lineRule="exact"/>
              <w:rPr>
                <w:sz w:val="20"/>
                <w:szCs w:val="20"/>
                <w:color w:val="auto"/>
              </w:rPr>
            </w:pPr>
            <w:r>
              <w:rPr>
                <w:rFonts w:ascii="Arial" w:cs="Arial" w:eastAsia="Arial" w:hAnsi="Arial"/>
                <w:sz w:val="4"/>
                <w:szCs w:val="4"/>
                <w:color w:val="FFFFFF"/>
              </w:rPr>
              <w:t>otherwise required by securities and other applicable laws. Participantslookingthe Solicitation This communication is information,notsolicitation of a proxy from any investor or security holder. Howeverchange,DuPont, IFF</w:t>
            </w:r>
          </w:p>
        </w:tc>
        <w:tc>
          <w:tcPr>
            <w:tcW w:w="0" w:type="dxa"/>
            <w:vAlign w:val="bottom"/>
          </w:tcPr>
          <w:p>
            <w:pPr>
              <w:spacing w:after="0" w:line="20" w:lineRule="exact"/>
              <w:rPr>
                <w:sz w:val="1"/>
                <w:szCs w:val="1"/>
                <w:color w:val="auto"/>
              </w:rPr>
            </w:pPr>
          </w:p>
        </w:tc>
      </w:tr>
      <w:tr>
        <w:trPr>
          <w:trHeight w:val="36"/>
        </w:trPr>
        <w:tc>
          <w:tcPr>
            <w:tcW w:w="6080" w:type="dxa"/>
            <w:vAlign w:val="bottom"/>
            <w:gridSpan w:val="11"/>
          </w:tcPr>
          <w:p>
            <w:pPr>
              <w:spacing w:after="0" w:line="37" w:lineRule="exact"/>
              <w:rPr>
                <w:sz w:val="20"/>
                <w:szCs w:val="20"/>
                <w:color w:val="auto"/>
              </w:rPr>
            </w:pPr>
            <w:r>
              <w:rPr>
                <w:rFonts w:ascii="Arial" w:cs="Arial" w:eastAsia="Arial" w:hAnsi="Arial"/>
                <w:sz w:val="4"/>
                <w:szCs w:val="4"/>
                <w:color w:val="FFFFFF"/>
              </w:rPr>
              <w:t>and certain oftheir respective directors and executive officers may be deemed to be participants in the solicitation of proxies in</w:t>
            </w:r>
          </w:p>
        </w:tc>
        <w:tc>
          <w:tcPr>
            <w:tcW w:w="560" w:type="dxa"/>
            <w:vAlign w:val="bottom"/>
          </w:tcPr>
          <w:p>
            <w:pPr>
              <w:spacing w:after="0"/>
              <w:rPr>
                <w:sz w:val="3"/>
                <w:szCs w:val="3"/>
                <w:color w:val="auto"/>
              </w:rPr>
            </w:pPr>
          </w:p>
        </w:tc>
        <w:tc>
          <w:tcPr>
            <w:tcW w:w="2940" w:type="dxa"/>
            <w:vAlign w:val="bottom"/>
            <w:gridSpan w:val="4"/>
          </w:tcPr>
          <w:p>
            <w:pPr>
              <w:jc w:val="center"/>
              <w:ind w:right="130"/>
              <w:spacing w:after="0" w:line="37" w:lineRule="exact"/>
              <w:rPr>
                <w:sz w:val="20"/>
                <w:szCs w:val="20"/>
                <w:color w:val="auto"/>
              </w:rPr>
            </w:pPr>
            <w:r>
              <w:rPr>
                <w:rFonts w:ascii="Arial" w:cs="Arial" w:eastAsia="Arial" w:hAnsi="Arial"/>
                <w:sz w:val="4"/>
                <w:szCs w:val="4"/>
                <w:color w:val="FFFFFF"/>
              </w:rPr>
              <w:t>with the proposed transaction under the rules of the SEC.</w:t>
            </w: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560" w:type="dxa"/>
            <w:vAlign w:val="bottom"/>
            <w:vMerge w:val="restart"/>
          </w:tcPr>
          <w:p>
            <w:pPr>
              <w:spacing w:after="0" w:line="73" w:lineRule="exact"/>
              <w:rPr>
                <w:sz w:val="20"/>
                <w:szCs w:val="20"/>
                <w:color w:val="auto"/>
              </w:rPr>
            </w:pPr>
            <w:r>
              <w:rPr>
                <w:rFonts w:ascii="Arial" w:cs="Arial" w:eastAsia="Arial" w:hAnsi="Arial"/>
                <w:sz w:val="8"/>
                <w:szCs w:val="8"/>
                <w:color w:val="FFFFFF"/>
                <w:w w:val="95"/>
              </w:rPr>
              <w:t>InformationSEC</w:t>
            </w:r>
          </w:p>
        </w:tc>
        <w:tc>
          <w:tcPr>
            <w:tcW w:w="9240" w:type="dxa"/>
            <w:vAlign w:val="bottom"/>
            <w:gridSpan w:val="16"/>
          </w:tcPr>
          <w:p>
            <w:pPr>
              <w:jc w:val="right"/>
              <w:ind w:right="140"/>
              <w:spacing w:after="0" w:line="37" w:lineRule="exact"/>
              <w:rPr>
                <w:sz w:val="20"/>
                <w:szCs w:val="20"/>
                <w:color w:val="auto"/>
              </w:rPr>
            </w:pPr>
            <w:r>
              <w:rPr>
                <w:rFonts w:ascii="Arial" w:cs="Arial" w:eastAsia="Arial" w:hAnsi="Arial"/>
                <w:sz w:val="4"/>
                <w:szCs w:val="4"/>
                <w:color w:val="FFFFFF"/>
              </w:rPr>
              <w:t>about the directors and executive officers of DuPont may be found in its Annual Report on Form 10-K filed with theconnectionSECFebruary 11, 2019 and its definitive proxy statement filed with</w:t>
            </w:r>
          </w:p>
        </w:tc>
        <w:tc>
          <w:tcPr>
            <w:tcW w:w="0" w:type="dxa"/>
            <w:vAlign w:val="bottom"/>
          </w:tcPr>
          <w:p>
            <w:pPr>
              <w:spacing w:after="0" w:line="20" w:lineRule="exact"/>
              <w:rPr>
                <w:sz w:val="1"/>
                <w:szCs w:val="1"/>
                <w:color w:val="auto"/>
              </w:rPr>
            </w:pPr>
          </w:p>
        </w:tc>
      </w:tr>
      <w:tr>
        <w:trPr>
          <w:trHeight w:val="36"/>
        </w:trPr>
        <w:tc>
          <w:tcPr>
            <w:tcW w:w="560" w:type="dxa"/>
            <w:vAlign w:val="bottom"/>
            <w:vMerge w:val="continue"/>
          </w:tcPr>
          <w:p>
            <w:pPr>
              <w:spacing w:after="0"/>
              <w:rPr>
                <w:sz w:val="3"/>
                <w:szCs w:val="3"/>
                <w:color w:val="auto"/>
              </w:rPr>
            </w:pPr>
          </w:p>
        </w:tc>
        <w:tc>
          <w:tcPr>
            <w:tcW w:w="6920" w:type="dxa"/>
            <w:vAlign w:val="bottom"/>
            <w:gridSpan w:val="12"/>
          </w:tcPr>
          <w:p>
            <w:pPr>
              <w:ind w:left="20"/>
              <w:spacing w:after="0" w:line="37" w:lineRule="exact"/>
              <w:rPr>
                <w:sz w:val="20"/>
                <w:szCs w:val="20"/>
                <w:color w:val="auto"/>
              </w:rPr>
            </w:pPr>
            <w:r>
              <w:rPr>
                <w:rFonts w:ascii="Arial" w:cs="Arial" w:eastAsia="Arial" w:hAnsi="Arial"/>
                <w:sz w:val="4"/>
                <w:szCs w:val="4"/>
                <w:color w:val="FFFFFF"/>
              </w:rPr>
              <w:t>May 1, 2019. Information about the directors and executive officers of IFF may be found in its definitive proxy statement filed with the SEC</w:t>
            </w:r>
          </w:p>
        </w:tc>
        <w:tc>
          <w:tcPr>
            <w:tcW w:w="2320" w:type="dxa"/>
            <w:vAlign w:val="bottom"/>
            <w:gridSpan w:val="4"/>
          </w:tcPr>
          <w:p>
            <w:pPr>
              <w:jc w:val="right"/>
              <w:ind w:right="80"/>
              <w:spacing w:after="0" w:line="37" w:lineRule="exact"/>
              <w:rPr>
                <w:sz w:val="20"/>
                <w:szCs w:val="20"/>
                <w:color w:val="auto"/>
              </w:rPr>
            </w:pPr>
            <w:r>
              <w:rPr>
                <w:rFonts w:ascii="Arial" w:cs="Arial" w:eastAsia="Arial" w:hAnsi="Arial"/>
                <w:sz w:val="4"/>
                <w:szCs w:val="4"/>
                <w:color w:val="FFFFFF"/>
              </w:rPr>
              <w:t>March 18, 2019. Other information regarding</w:t>
            </w:r>
          </w:p>
        </w:tc>
        <w:tc>
          <w:tcPr>
            <w:tcW w:w="0" w:type="dxa"/>
            <w:vAlign w:val="bottom"/>
          </w:tcPr>
          <w:p>
            <w:pPr>
              <w:spacing w:after="0" w:line="20" w:lineRule="exact"/>
              <w:rPr>
                <w:sz w:val="1"/>
                <w:szCs w:val="1"/>
                <w:color w:val="auto"/>
              </w:rPr>
            </w:pPr>
          </w:p>
        </w:tc>
      </w:tr>
      <w:tr>
        <w:trPr>
          <w:trHeight w:val="36"/>
        </w:trPr>
        <w:tc>
          <w:tcPr>
            <w:tcW w:w="5660" w:type="dxa"/>
            <w:vAlign w:val="bottom"/>
            <w:gridSpan w:val="10"/>
          </w:tcPr>
          <w:p>
            <w:pPr>
              <w:spacing w:after="0" w:line="37" w:lineRule="exact"/>
              <w:rPr>
                <w:sz w:val="20"/>
                <w:szCs w:val="20"/>
                <w:color w:val="auto"/>
              </w:rPr>
            </w:pPr>
            <w:r>
              <w:rPr>
                <w:rFonts w:ascii="Arial" w:cs="Arial" w:eastAsia="Arial" w:hAnsi="Arial"/>
                <w:sz w:val="4"/>
                <w:szCs w:val="4"/>
                <w:color w:val="FFFFFF"/>
              </w:rPr>
              <w:t>the participants in the proxy solicitation and a description of their direct and indirect interests, by security holdings</w:t>
            </w:r>
          </w:p>
        </w:tc>
        <w:tc>
          <w:tcPr>
            <w:tcW w:w="4140" w:type="dxa"/>
            <w:vAlign w:val="bottom"/>
            <w:gridSpan w:val="7"/>
          </w:tcPr>
          <w:p>
            <w:pPr>
              <w:jc w:val="right"/>
              <w:ind w:right="160"/>
              <w:spacing w:after="0" w:line="37" w:lineRule="exact"/>
              <w:rPr>
                <w:sz w:val="20"/>
                <w:szCs w:val="20"/>
                <w:color w:val="auto"/>
              </w:rPr>
            </w:pPr>
            <w:r>
              <w:rPr>
                <w:rFonts w:ascii="Arial" w:cs="Arial" w:eastAsia="Arial" w:hAnsi="Arial"/>
                <w:sz w:val="4"/>
                <w:szCs w:val="4"/>
                <w:color w:val="FFFFFF"/>
              </w:rPr>
              <w:t>otherwise, will be contained in the registration statements, prospectuses and proxy</w:t>
            </w:r>
          </w:p>
        </w:tc>
        <w:tc>
          <w:tcPr>
            <w:tcW w:w="0" w:type="dxa"/>
            <w:vAlign w:val="bottom"/>
          </w:tcPr>
          <w:p>
            <w:pPr>
              <w:spacing w:after="0" w:line="20" w:lineRule="exact"/>
              <w:rPr>
                <w:sz w:val="1"/>
                <w:szCs w:val="1"/>
                <w:color w:val="auto"/>
              </w:rPr>
            </w:pPr>
          </w:p>
        </w:tc>
      </w:tr>
      <w:tr>
        <w:trPr>
          <w:trHeight w:val="36"/>
        </w:trPr>
        <w:tc>
          <w:tcPr>
            <w:tcW w:w="4260" w:type="dxa"/>
            <w:vAlign w:val="bottom"/>
            <w:gridSpan w:val="7"/>
          </w:tcPr>
          <w:p>
            <w:pPr>
              <w:spacing w:after="0" w:line="37" w:lineRule="exact"/>
              <w:rPr>
                <w:sz w:val="20"/>
                <w:szCs w:val="20"/>
                <w:color w:val="auto"/>
              </w:rPr>
            </w:pPr>
            <w:r>
              <w:rPr>
                <w:rFonts w:ascii="Arial" w:cs="Arial" w:eastAsia="Arial" w:hAnsi="Arial"/>
                <w:sz w:val="4"/>
                <w:szCs w:val="4"/>
                <w:color w:val="FFFFFF"/>
              </w:rPr>
              <w:t>statement and other relevant materials to be filed with the SEC when they become</w:t>
            </w:r>
          </w:p>
        </w:tc>
        <w:tc>
          <w:tcPr>
            <w:tcW w:w="5540" w:type="dxa"/>
            <w:vAlign w:val="bottom"/>
            <w:gridSpan w:val="10"/>
          </w:tcPr>
          <w:p>
            <w:pPr>
              <w:jc w:val="right"/>
              <w:ind w:right="20"/>
              <w:spacing w:after="0" w:line="37" w:lineRule="exact"/>
              <w:rPr>
                <w:sz w:val="20"/>
                <w:szCs w:val="20"/>
                <w:color w:val="auto"/>
              </w:rPr>
            </w:pPr>
            <w:r>
              <w:rPr>
                <w:rFonts w:ascii="Arial" w:cs="Arial" w:eastAsia="Arial" w:hAnsi="Arial"/>
                <w:sz w:val="4"/>
                <w:szCs w:val="4"/>
                <w:color w:val="FFFFFF"/>
              </w:rPr>
              <w:t>. DuPont Contact InformationIFF Contact Information DuPont Investors:Media:Head of Investor Relations and</w:t>
            </w:r>
          </w:p>
        </w:tc>
        <w:tc>
          <w:tcPr>
            <w:tcW w:w="0" w:type="dxa"/>
            <w:vAlign w:val="bottom"/>
          </w:tcPr>
          <w:p>
            <w:pPr>
              <w:spacing w:after="0" w:line="20" w:lineRule="exact"/>
              <w:rPr>
                <w:sz w:val="1"/>
                <w:szCs w:val="1"/>
                <w:color w:val="auto"/>
              </w:rPr>
            </w:pPr>
          </w:p>
        </w:tc>
      </w:tr>
      <w:tr>
        <w:trPr>
          <w:trHeight w:val="189"/>
        </w:trPr>
        <w:tc>
          <w:tcPr>
            <w:tcW w:w="9200" w:type="dxa"/>
            <w:vAlign w:val="bottom"/>
            <w:gridSpan w:val="15"/>
          </w:tcPr>
          <w:p>
            <w:pPr>
              <w:spacing w:after="0"/>
              <w:rPr>
                <w:sz w:val="20"/>
                <w:szCs w:val="20"/>
                <w:color w:val="auto"/>
              </w:rPr>
            </w:pPr>
            <w:r>
              <w:rPr>
                <w:rFonts w:ascii="Arial" w:cs="Arial" w:eastAsia="Arial" w:hAnsi="Arial"/>
                <w:sz w:val="12"/>
                <w:szCs w:val="12"/>
                <w:color w:val="FFFFFF"/>
                <w:w w:val="88"/>
              </w:rPr>
              <w:t>Communications Lori KochDan TurnerMichael DeVeau Lori.d.koch@dupont.comDanielavailable..turner@dupont.comMichael.DeVeau@iff.com +1 302-999-5631+1 302-996-8372+1 212-708-1212</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9800"/>
          </w:cols>
          <w:pgMar w:left="1060" w:top="1440" w:right="1039" w:bottom="1049"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13335</wp:posOffset>
            </wp:positionV>
            <wp:extent cx="5896610" cy="762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96610" cy="762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FFFFFF"/>
        </w:rPr>
        <w:t>IFF and DuPont Nutrition &amp; Biosciences: Innovating Together Business Taste: 57% Food and Beverage: 57% Profile* Scent: 37% Health &amp; Biosciences: 37% Nutrition &amp; Ingredients: 6% Pharma</w:t>
      </w:r>
    </w:p>
    <w:p>
      <w:pPr>
        <w:spacing w:after="0"/>
        <w:rPr>
          <w:sz w:val="20"/>
          <w:szCs w:val="20"/>
          <w:color w:val="auto"/>
        </w:rPr>
      </w:pPr>
      <w:r>
        <w:rPr>
          <w:rFonts w:ascii="Arial" w:cs="Arial" w:eastAsia="Arial" w:hAnsi="Arial"/>
          <w:sz w:val="6"/>
          <w:szCs w:val="6"/>
          <w:color w:val="FFFFFF"/>
        </w:rPr>
        <w:t>InnovationSolutions:6%Centers:KeyStats30+ PortfolioEmployees:Taste:ApproximatelyFood&amp;Beverage:13,000 FlavorEmployees:compoundsMore thanand natural10,000 tasteManufacturingBroadestportfolioSites:110+ofnaturalManufacturingandplantSites:-based70+solutionsTechnologyforFood&amp;Innovation&amp;BeverageCenters:industry,~100specialtyTechnologyfood &amp;</w:t>
      </w:r>
    </w:p>
    <w:p>
      <w:pPr>
        <w:spacing w:after="0" w:line="204" w:lineRule="auto"/>
        <w:rPr>
          <w:sz w:val="20"/>
          <w:szCs w:val="20"/>
          <w:color w:val="auto"/>
        </w:rPr>
      </w:pPr>
      <w:r>
        <w:rPr>
          <w:rFonts w:ascii="Arial" w:cs="Arial" w:eastAsia="Arial" w:hAnsi="Arial"/>
          <w:sz w:val="2"/>
          <w:szCs w:val="2"/>
          <w:color w:val="FFFFFF"/>
        </w:rPr>
        <w:t xml:space="preserve">bioscienceingredients,innovatorsuchas: </w:t>
      </w:r>
      <w:r>
        <w:rPr>
          <w:rFonts w:ascii="Arial" w:cs="Arial" w:eastAsia="Arial" w:hAnsi="Arial"/>
          <w:sz w:val="4"/>
          <w:szCs w:val="4"/>
          <w:color w:val="FFFFFF"/>
          <w:vertAlign w:val="subscript"/>
        </w:rPr>
        <w:t>including:</w:t>
      </w:r>
      <w:r>
        <w:rPr>
          <w:rFonts w:ascii="Arial" w:cs="Arial" w:eastAsia="Arial" w:hAnsi="Arial"/>
          <w:sz w:val="2"/>
          <w:szCs w:val="2"/>
          <w:color w:val="FFFFFF"/>
        </w:rPr>
        <w:t>Natural •&amp;Functionalsynthetic fragranceSolutions compounds•FlavorCompoundssustainable,•Proteinclean labelSolutionsandhigh•Savory-performanceSolutions&amp;• ingredients,Emulsifiers and&amp;Sweetenerscosmeticactives•Inclusionsforsolutions,Health &amp;including:Bioscience:HouseholdScent:World&amp;Personal-leadingCare</w:t>
      </w:r>
    </w:p>
    <w:p>
      <w:pPr>
        <w:spacing w:after="0" w:line="188" w:lineRule="auto"/>
        <w:rPr>
          <w:sz w:val="20"/>
          <w:szCs w:val="20"/>
          <w:color w:val="auto"/>
        </w:rPr>
      </w:pPr>
      <w:r>
        <w:rPr>
          <w:rFonts w:ascii="Arial" w:cs="Arial" w:eastAsia="Arial" w:hAnsi="Arial"/>
          <w:sz w:val="4"/>
          <w:szCs w:val="4"/>
          <w:color w:val="FFFFFF"/>
        </w:rPr>
        <w:t>products, • Probiotics, HMO2, Fibers including: • Cultures, Food Enzymes and Protection • Fine Fragrances • Home &amp; Personal Care Enzymes • Consumer Fragrances • Animal Feed Enzymes &amp;</w:t>
      </w:r>
    </w:p>
    <w:p>
      <w:pPr>
        <w:spacing w:after="0" w:line="188" w:lineRule="auto"/>
        <w:rPr>
          <w:sz w:val="20"/>
          <w:szCs w:val="20"/>
          <w:color w:val="auto"/>
        </w:rPr>
      </w:pPr>
      <w:r>
        <w:rPr>
          <w:rFonts w:ascii="Arial" w:cs="Arial" w:eastAsia="Arial" w:hAnsi="Arial"/>
          <w:sz w:val="4"/>
          <w:szCs w:val="4"/>
          <w:color w:val="FFFFFF"/>
          <w:vertAlign w:val="superscript"/>
        </w:rPr>
        <w:t>Pharma</w:t>
      </w:r>
    </w:p>
    <w:p>
      <w:pPr>
        <w:spacing w:after="0" w:line="188" w:lineRule="auto"/>
        <w:rPr>
          <w:sz w:val="20"/>
          <w:szCs w:val="20"/>
          <w:color w:val="auto"/>
        </w:rPr>
      </w:pPr>
      <w:r>
        <w:rPr>
          <w:rFonts w:ascii="Arial" w:cs="Arial" w:eastAsia="Arial" w:hAnsi="Arial"/>
          <w:sz w:val="4"/>
          <w:szCs w:val="4"/>
          <w:color w:val="FFFFFF"/>
        </w:rPr>
        <w:t>Nut itionSolutions:•CosmeticSegmentsActiveIngredientsinclude:Global(probiotics)leader in• Fragrancefunctional Ingredientscellulosicpolymers•Biorefinery•NaturalEnzymesHealth•MicrobialIngredientsControl&amp;seaweedSubstancesderivedNutritionexcipients&amp; Ingredients:forpharma &amp;Natural•NaturalproductFoodofferingsProtectionanddietarysolutions.</w:t>
      </w:r>
    </w:p>
    <w:p>
      <w:pPr>
        <w:spacing w:after="0" w:line="188" w:lineRule="auto"/>
        <w:rPr>
          <w:sz w:val="20"/>
          <w:szCs w:val="20"/>
          <w:color w:val="auto"/>
        </w:rPr>
      </w:pPr>
      <w:r>
        <w:rPr>
          <w:rFonts w:ascii="Arial" w:cs="Arial" w:eastAsia="Arial" w:hAnsi="Arial"/>
          <w:sz w:val="4"/>
          <w:szCs w:val="4"/>
          <w:color w:val="FFFFFF"/>
        </w:rPr>
        <w:t>supplements. Segments include: • Natural Colors • Controlled and immediate release • Flavor Ingredients • Soft Capsules • API (Alginates) End Markets Food &amp; Beverage | Home &amp; Personal Care |</w:t>
      </w:r>
    </w:p>
    <w:p>
      <w:pPr>
        <w:ind w:right="100"/>
        <w:spacing w:after="0"/>
        <w:rPr>
          <w:sz w:val="20"/>
          <w:szCs w:val="20"/>
          <w:color w:val="auto"/>
        </w:rPr>
      </w:pPr>
      <w:r>
        <w:rPr>
          <w:rFonts w:ascii="Arial" w:cs="Arial" w:eastAsia="Arial" w:hAnsi="Arial"/>
          <w:sz w:val="8"/>
          <w:szCs w:val="8"/>
          <w:color w:val="FFFFFF"/>
        </w:rPr>
        <w:t>Health &amp; Wellness Served Innovating 3,000+ 130+ 21 6 Together: Scientists, engineers, Research, technology and Regional Creative &amp; Master Perfumers, joining By the application technologists professionals and innovation centers Application Centers designers, hundreds perfumers of flavorists, and scent chefs Numbers More than 30+ 12,000 40+ Human clinical trials Patents granted Strategic university in flight and filed partnerships All to serve over 40,000 customers *Based on 2019 estimates</w:t>
      </w:r>
    </w:p>
    <w:p>
      <w:pPr>
        <w:sectPr>
          <w:pgSz w:w="11900" w:h="16838" w:orient="portrait"/>
          <w:cols w:equalWidth="0" w:num="1">
            <w:col w:w="9800"/>
          </w:cols>
          <w:pgMar w:left="1060" w:top="259" w:right="103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380" w:type="dxa"/>
            <w:vAlign w:val="bottom"/>
            <w:gridSpan w:val="13"/>
          </w:tcPr>
          <w:p>
            <w:pPr>
              <w:spacing w:after="0"/>
              <w:rPr>
                <w:sz w:val="20"/>
                <w:szCs w:val="20"/>
                <w:color w:val="auto"/>
              </w:rPr>
            </w:pPr>
            <w:r>
              <w:rPr>
                <w:rFonts w:ascii="Arial" w:cs="Arial" w:eastAsia="Arial" w:hAnsi="Arial"/>
                <w:sz w:val="12"/>
                <w:szCs w:val="12"/>
                <w:color w:val="FFFFFF"/>
                <w:w w:val="92"/>
              </w:rPr>
              <w:t>About IFF At IFF (NYSE:IFF) (Euronext Paris:IFF) (TASE:IFF), we’re using Uncommon Sense to create what the world needs. As</w:t>
            </w:r>
          </w:p>
        </w:tc>
        <w:tc>
          <w:tcPr>
            <w:tcW w:w="3420" w:type="dxa"/>
            <w:vAlign w:val="bottom"/>
            <w:gridSpan w:val="6"/>
          </w:tcPr>
          <w:p>
            <w:pPr>
              <w:jc w:val="right"/>
              <w:ind w:right="180"/>
              <w:spacing w:after="0"/>
              <w:rPr>
                <w:sz w:val="20"/>
                <w:szCs w:val="20"/>
                <w:color w:val="auto"/>
              </w:rPr>
            </w:pPr>
            <w:r>
              <w:rPr>
                <w:rFonts w:ascii="Arial" w:cs="Arial" w:eastAsia="Arial" w:hAnsi="Arial"/>
                <w:sz w:val="12"/>
                <w:szCs w:val="12"/>
                <w:color w:val="FFFFFF"/>
                <w:w w:val="91"/>
              </w:rPr>
              <w:t>collective of unconventional thinkers and creators, we put science</w:t>
            </w:r>
          </w:p>
        </w:tc>
      </w:tr>
      <w:tr>
        <w:trPr>
          <w:trHeight w:val="36"/>
        </w:trPr>
        <w:tc>
          <w:tcPr>
            <w:tcW w:w="1880" w:type="dxa"/>
            <w:vAlign w:val="bottom"/>
            <w:gridSpan w:val="4"/>
          </w:tcPr>
          <w:p>
            <w:pPr>
              <w:spacing w:after="0" w:line="37" w:lineRule="exact"/>
              <w:rPr>
                <w:sz w:val="20"/>
                <w:szCs w:val="20"/>
                <w:color w:val="auto"/>
              </w:rPr>
            </w:pPr>
            <w:r>
              <w:rPr>
                <w:rFonts w:ascii="Arial" w:cs="Arial" w:eastAsia="Arial" w:hAnsi="Arial"/>
                <w:sz w:val="4"/>
                <w:szCs w:val="4"/>
                <w:color w:val="FFFFFF"/>
              </w:rPr>
              <w:t>and artistry to work to create unique</w:t>
            </w:r>
          </w:p>
        </w:tc>
        <w:tc>
          <w:tcPr>
            <w:tcW w:w="7920" w:type="dxa"/>
            <w:vAlign w:val="bottom"/>
            <w:gridSpan w:val="15"/>
          </w:tcPr>
          <w:p>
            <w:pPr>
              <w:jc w:val="right"/>
              <w:ind w:right="240"/>
              <w:spacing w:after="0" w:line="37" w:lineRule="exact"/>
              <w:rPr>
                <w:sz w:val="20"/>
                <w:szCs w:val="20"/>
                <w:color w:val="auto"/>
              </w:rPr>
            </w:pPr>
            <w:r>
              <w:rPr>
                <w:rFonts w:ascii="Arial" w:cs="Arial" w:eastAsia="Arial" w:hAnsi="Arial"/>
                <w:sz w:val="4"/>
                <w:szCs w:val="4"/>
                <w:color w:val="FFFFFF"/>
              </w:rPr>
              <w:t>unexpected scents, tastes, experiences and ingredients for the products our world craves. Learn more at iff.com, Twitter , Facebook, Instagram, and LinkedIn.</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About DuPont DuPont (NYSE:DD) isand global innovation leader with technology-based materials, ingredients and solutions that help transform industries and everyday life. Our employees apply diverse</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science and expertise to help customers advance their best ideas and deliver essential innovations in key markets including electronics, transportation, construction, water, health and wellness, food and</w:t>
            </w:r>
          </w:p>
        </w:tc>
      </w:tr>
      <w:tr>
        <w:trPr>
          <w:trHeight w:val="36"/>
        </w:trPr>
        <w:tc>
          <w:tcPr>
            <w:tcW w:w="1000" w:type="dxa"/>
            <w:vAlign w:val="bottom"/>
            <w:gridSpan w:val="2"/>
          </w:tcPr>
          <w:p>
            <w:pPr>
              <w:spacing w:after="0" w:line="37" w:lineRule="exact"/>
              <w:rPr>
                <w:sz w:val="20"/>
                <w:szCs w:val="20"/>
                <w:color w:val="auto"/>
              </w:rPr>
            </w:pPr>
            <w:r>
              <w:rPr>
                <w:rFonts w:ascii="Arial" w:cs="Arial" w:eastAsia="Arial" w:hAnsi="Arial"/>
                <w:sz w:val="4"/>
                <w:szCs w:val="4"/>
                <w:color w:val="FFFFFF"/>
              </w:rPr>
              <w:t>worker safety. More</w:t>
            </w:r>
          </w:p>
        </w:tc>
        <w:tc>
          <w:tcPr>
            <w:tcW w:w="560" w:type="dxa"/>
            <w:vAlign w:val="bottom"/>
          </w:tcPr>
          <w:p>
            <w:pPr>
              <w:spacing w:after="0"/>
              <w:rPr>
                <w:sz w:val="3"/>
                <w:szCs w:val="3"/>
                <w:color w:val="auto"/>
              </w:rPr>
            </w:pPr>
          </w:p>
        </w:tc>
        <w:tc>
          <w:tcPr>
            <w:tcW w:w="2520" w:type="dxa"/>
            <w:vAlign w:val="bottom"/>
            <w:gridSpan w:val="4"/>
          </w:tcPr>
          <w:p>
            <w:pPr>
              <w:ind w:left="20"/>
              <w:spacing w:after="0" w:line="37" w:lineRule="exact"/>
              <w:rPr>
                <w:sz w:val="20"/>
                <w:szCs w:val="20"/>
                <w:color w:val="auto"/>
              </w:rPr>
            </w:pPr>
            <w:r>
              <w:rPr>
                <w:rFonts w:ascii="Arial" w:cs="Arial" w:eastAsia="Arial" w:hAnsi="Arial"/>
                <w:sz w:val="4"/>
                <w:szCs w:val="4"/>
                <w:color w:val="FFFFFF"/>
              </w:rPr>
              <w:t>can be found at http://www.dupont.com/.</w:t>
            </w:r>
          </w:p>
        </w:tc>
        <w:tc>
          <w:tcPr>
            <w:tcW w:w="5720" w:type="dxa"/>
            <w:vAlign w:val="bottom"/>
            <w:gridSpan w:val="12"/>
          </w:tcPr>
          <w:p>
            <w:pPr>
              <w:jc w:val="right"/>
              <w:spacing w:after="0" w:line="37" w:lineRule="exact"/>
              <w:rPr>
                <w:sz w:val="20"/>
                <w:szCs w:val="20"/>
                <w:color w:val="auto"/>
              </w:rPr>
            </w:pPr>
            <w:r>
              <w:rPr>
                <w:rFonts w:ascii="Arial" w:cs="Arial" w:eastAsia="Arial" w:hAnsi="Arial"/>
                <w:sz w:val="4"/>
                <w:szCs w:val="4"/>
                <w:color w:val="FFFFFF"/>
              </w:rPr>
              <w:t>Information and Where to Find It This communication is not intended to and shall not constitute an offer to sell or the</w:t>
            </w:r>
          </w:p>
        </w:tc>
      </w:tr>
      <w:tr>
        <w:trPr>
          <w:trHeight w:val="36"/>
        </w:trPr>
        <w:tc>
          <w:tcPr>
            <w:tcW w:w="160" w:type="dxa"/>
            <w:vAlign w:val="bottom"/>
          </w:tcPr>
          <w:p>
            <w:pPr>
              <w:spacing w:after="0"/>
              <w:rPr>
                <w:sz w:val="3"/>
                <w:szCs w:val="3"/>
                <w:color w:val="auto"/>
              </w:rPr>
            </w:pPr>
          </w:p>
        </w:tc>
        <w:tc>
          <w:tcPr>
            <w:tcW w:w="9640" w:type="dxa"/>
            <w:vAlign w:val="bottom"/>
            <w:gridSpan w:val="18"/>
          </w:tcPr>
          <w:p>
            <w:pPr>
              <w:jc w:val="center"/>
              <w:ind w:left="180"/>
              <w:spacing w:after="0" w:line="37" w:lineRule="exact"/>
              <w:rPr>
                <w:sz w:val="20"/>
                <w:szCs w:val="20"/>
                <w:color w:val="auto"/>
              </w:rPr>
            </w:pPr>
            <w:r>
              <w:rPr>
                <w:rFonts w:ascii="Arial" w:cs="Arial" w:eastAsia="Arial" w:hAnsi="Arial"/>
                <w:sz w:val="4"/>
                <w:szCs w:val="4"/>
                <w:color w:val="FFFFFF"/>
              </w:rPr>
              <w:t>f an offerinformationtosellthe solicitation of an offer to buy any securitiesAdditionalorsolicitation of any vote of approval, nor shall there be any sale of securities in any jurisdiction in which such offer,</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solicitation or sale would be unlawful prior to registration or qualification under the securities laws of any such jurisdiction. No offer of securities shall be made except by means of a prospectus meeting</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the requirements of Section 10 of the Securities Act of 1933, as amended (the “Securities Act”). In connection with the proposed combination of Nutrition &amp; Biosciences, Inc. (“N&amp;Bco”), a wholly</w:t>
            </w:r>
          </w:p>
        </w:tc>
      </w:tr>
      <w:tr>
        <w:trPr>
          <w:trHeight w:val="36"/>
        </w:trPr>
        <w:tc>
          <w:tcPr>
            <w:tcW w:w="1560" w:type="dxa"/>
            <w:vAlign w:val="bottom"/>
            <w:gridSpan w:val="3"/>
          </w:tcPr>
          <w:p>
            <w:pPr>
              <w:spacing w:after="0" w:line="37" w:lineRule="exact"/>
              <w:rPr>
                <w:sz w:val="20"/>
                <w:szCs w:val="20"/>
                <w:color w:val="auto"/>
              </w:rPr>
            </w:pPr>
            <w:r>
              <w:rPr>
                <w:rFonts w:ascii="Arial" w:cs="Arial" w:eastAsia="Arial" w:hAnsi="Arial"/>
                <w:sz w:val="4"/>
                <w:szCs w:val="4"/>
                <w:color w:val="FFFFFF"/>
              </w:rPr>
              <w:t>owned subsidiary of DuPont de</w:t>
            </w:r>
          </w:p>
        </w:tc>
        <w:tc>
          <w:tcPr>
            <w:tcW w:w="320" w:type="dxa"/>
            <w:vAlign w:val="bottom"/>
          </w:tcPr>
          <w:p>
            <w:pPr>
              <w:spacing w:after="0"/>
              <w:rPr>
                <w:sz w:val="3"/>
                <w:szCs w:val="3"/>
                <w:color w:val="auto"/>
              </w:rPr>
            </w:pPr>
          </w:p>
        </w:tc>
        <w:tc>
          <w:tcPr>
            <w:tcW w:w="7920" w:type="dxa"/>
            <w:vAlign w:val="bottom"/>
            <w:gridSpan w:val="15"/>
          </w:tcPr>
          <w:p>
            <w:pPr>
              <w:jc w:val="right"/>
              <w:ind w:right="300"/>
              <w:spacing w:after="0" w:line="37" w:lineRule="exact"/>
              <w:rPr>
                <w:sz w:val="20"/>
                <w:szCs w:val="20"/>
                <w:color w:val="auto"/>
              </w:rPr>
            </w:pPr>
            <w:r>
              <w:rPr>
                <w:rFonts w:ascii="Arial" w:cs="Arial" w:eastAsia="Arial" w:hAnsi="Arial"/>
                <w:sz w:val="4"/>
                <w:szCs w:val="4"/>
                <w:color w:val="FFFFFF"/>
              </w:rPr>
              <w:t>Inc. (“DuPont”), and International Flavors &amp; Fragrances Inc. (“IFF”), which will immediately follow the proposed separation of N&amp;Bco from DuPont (the</w:t>
            </w:r>
          </w:p>
        </w:tc>
      </w:tr>
      <w:tr>
        <w:trPr>
          <w:trHeight w:val="36"/>
        </w:trPr>
        <w:tc>
          <w:tcPr>
            <w:tcW w:w="7180" w:type="dxa"/>
            <w:vAlign w:val="bottom"/>
            <w:gridSpan w:val="14"/>
          </w:tcPr>
          <w:p>
            <w:pPr>
              <w:spacing w:after="0" w:line="37" w:lineRule="exact"/>
              <w:rPr>
                <w:sz w:val="20"/>
                <w:szCs w:val="20"/>
                <w:color w:val="auto"/>
              </w:rPr>
            </w:pPr>
            <w:r>
              <w:rPr>
                <w:rFonts w:ascii="Arial" w:cs="Arial" w:eastAsia="Arial" w:hAnsi="Arial"/>
                <w:sz w:val="4"/>
                <w:szCs w:val="4"/>
                <w:color w:val="FFFFFF"/>
              </w:rPr>
              <w:t>“proposed transaction”), N&amp;Bco,Nemours,IFFNeptune Merger Sub I Inc. (“Merger Sub I”) and Neptune Merger Sub II LLC (“Merger Sub II”) intend to file</w:t>
            </w:r>
          </w:p>
        </w:tc>
        <w:tc>
          <w:tcPr>
            <w:tcW w:w="360" w:type="dxa"/>
            <w:vAlign w:val="bottom"/>
          </w:tcPr>
          <w:p>
            <w:pPr>
              <w:spacing w:after="0"/>
              <w:rPr>
                <w:sz w:val="3"/>
                <w:szCs w:val="3"/>
                <w:color w:val="auto"/>
              </w:rPr>
            </w:pPr>
          </w:p>
        </w:tc>
        <w:tc>
          <w:tcPr>
            <w:tcW w:w="2260" w:type="dxa"/>
            <w:vAlign w:val="bottom"/>
            <w:gridSpan w:val="4"/>
          </w:tcPr>
          <w:p>
            <w:pPr>
              <w:jc w:val="right"/>
              <w:ind w:right="480"/>
              <w:spacing w:after="0" w:line="37" w:lineRule="exact"/>
              <w:rPr>
                <w:sz w:val="20"/>
                <w:szCs w:val="20"/>
                <w:color w:val="auto"/>
              </w:rPr>
            </w:pPr>
            <w:r>
              <w:rPr>
                <w:rFonts w:ascii="Arial" w:cs="Arial" w:eastAsia="Arial" w:hAnsi="Arial"/>
                <w:sz w:val="4"/>
                <w:szCs w:val="4"/>
                <w:color w:val="FFFFFF"/>
              </w:rPr>
              <w:t>materials with the SEC, including a</w:t>
            </w:r>
          </w:p>
        </w:tc>
      </w:tr>
      <w:tr>
        <w:trPr>
          <w:trHeight w:val="36"/>
        </w:trPr>
        <w:tc>
          <w:tcPr>
            <w:tcW w:w="1560" w:type="dxa"/>
            <w:vAlign w:val="bottom"/>
            <w:gridSpan w:val="3"/>
          </w:tcPr>
          <w:p>
            <w:pPr>
              <w:spacing w:after="0" w:line="37" w:lineRule="exact"/>
              <w:rPr>
                <w:sz w:val="20"/>
                <w:szCs w:val="20"/>
                <w:color w:val="auto"/>
              </w:rPr>
            </w:pPr>
            <w:r>
              <w:rPr>
                <w:rFonts w:ascii="Arial" w:cs="Arial" w:eastAsia="Arial" w:hAnsi="Arial"/>
                <w:sz w:val="4"/>
                <w:szCs w:val="4"/>
                <w:color w:val="FFFFFF"/>
              </w:rPr>
              <w:t>registration statement on Form</w:t>
            </w:r>
          </w:p>
        </w:tc>
        <w:tc>
          <w:tcPr>
            <w:tcW w:w="8240" w:type="dxa"/>
            <w:vAlign w:val="bottom"/>
            <w:gridSpan w:val="16"/>
          </w:tcPr>
          <w:p>
            <w:pPr>
              <w:jc w:val="right"/>
              <w:ind w:right="200"/>
              <w:spacing w:after="0" w:line="37" w:lineRule="exact"/>
              <w:rPr>
                <w:sz w:val="20"/>
                <w:szCs w:val="20"/>
                <w:color w:val="auto"/>
              </w:rPr>
            </w:pPr>
            <w:r>
              <w:rPr>
                <w:rFonts w:ascii="Arial" w:cs="Arial" w:eastAsia="Arial" w:hAnsi="Arial"/>
                <w:sz w:val="4"/>
                <w:szCs w:val="4"/>
                <w:color w:val="FFFFFF"/>
              </w:rPr>
              <w:t>-4 that will include a proxy statement/prospectus relating to the proposed transaction. In addition, N&amp;Bco expects to relevantfileregistration statement in connection with its</w:t>
            </w:r>
          </w:p>
        </w:tc>
      </w:tr>
      <w:tr>
        <w:trPr>
          <w:trHeight w:val="36"/>
        </w:trPr>
        <w:tc>
          <w:tcPr>
            <w:tcW w:w="4080" w:type="dxa"/>
            <w:vAlign w:val="bottom"/>
            <w:gridSpan w:val="7"/>
          </w:tcPr>
          <w:p>
            <w:pPr>
              <w:spacing w:after="0" w:line="37" w:lineRule="exact"/>
              <w:rPr>
                <w:sz w:val="20"/>
                <w:szCs w:val="20"/>
                <w:color w:val="auto"/>
              </w:rPr>
            </w:pPr>
            <w:r>
              <w:rPr>
                <w:rFonts w:ascii="Arial" w:cs="Arial" w:eastAsia="Arial" w:hAnsi="Arial"/>
                <w:sz w:val="4"/>
                <w:szCs w:val="4"/>
                <w:color w:val="FFFFFF"/>
              </w:rPr>
              <w:t>separation from DuPont. INVESTORS AND SECURITY HOLDERS ARE URGED</w:t>
            </w:r>
          </w:p>
        </w:tc>
        <w:tc>
          <w:tcPr>
            <w:tcW w:w="1660" w:type="dxa"/>
            <w:vAlign w:val="bottom"/>
            <w:gridSpan w:val="4"/>
          </w:tcPr>
          <w:p>
            <w:pPr>
              <w:ind w:left="100"/>
              <w:spacing w:after="0" w:line="37" w:lineRule="exact"/>
              <w:rPr>
                <w:sz w:val="20"/>
                <w:szCs w:val="20"/>
                <w:color w:val="auto"/>
              </w:rPr>
            </w:pPr>
            <w:r>
              <w:rPr>
                <w:rFonts w:ascii="Arial" w:cs="Arial" w:eastAsia="Arial" w:hAnsi="Arial"/>
                <w:sz w:val="4"/>
                <w:szCs w:val="4"/>
                <w:color w:val="FFFFFF"/>
              </w:rPr>
              <w:t>O READ THE REGISTRA</w:t>
            </w:r>
          </w:p>
        </w:tc>
        <w:tc>
          <w:tcPr>
            <w:tcW w:w="4060" w:type="dxa"/>
            <w:vAlign w:val="bottom"/>
            <w:gridSpan w:val="8"/>
          </w:tcPr>
          <w:p>
            <w:pPr>
              <w:jc w:val="right"/>
              <w:ind w:right="240"/>
              <w:spacing w:after="0" w:line="37" w:lineRule="exact"/>
              <w:rPr>
                <w:sz w:val="20"/>
                <w:szCs w:val="20"/>
                <w:color w:val="auto"/>
              </w:rPr>
            </w:pPr>
            <w:r>
              <w:rPr>
                <w:rFonts w:ascii="Arial" w:cs="Arial" w:eastAsia="Arial" w:hAnsi="Arial"/>
                <w:sz w:val="4"/>
                <w:szCs w:val="4"/>
                <w:color w:val="FFFFFF"/>
              </w:rPr>
              <w:t>ST TEMENTS, PROXY STATEMENT/PROSPECTUS AND ANY OTHER</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RELEVANT DOCUMENTS WHEN THEY BECOME AVAILABLE BECAUSE THEY WILL CONTAIN IMPORTIONANT INFORMATION ABOUT IFF, N&amp;BCO, MERGER SUB I, MERGER SUB II</w:t>
            </w:r>
          </w:p>
        </w:tc>
      </w:tr>
      <w:tr>
        <w:trPr>
          <w:trHeight w:val="36"/>
        </w:trPr>
        <w:tc>
          <w:tcPr>
            <w:tcW w:w="4080" w:type="dxa"/>
            <w:vAlign w:val="bottom"/>
            <w:gridSpan w:val="7"/>
          </w:tcPr>
          <w:p>
            <w:pPr>
              <w:spacing w:after="0" w:line="37" w:lineRule="exact"/>
              <w:rPr>
                <w:sz w:val="20"/>
                <w:szCs w:val="20"/>
                <w:color w:val="auto"/>
              </w:rPr>
            </w:pPr>
            <w:r>
              <w:rPr>
                <w:rFonts w:ascii="Arial" w:cs="Arial" w:eastAsia="Arial" w:hAnsi="Arial"/>
                <w:sz w:val="4"/>
                <w:szCs w:val="4"/>
                <w:color w:val="FFFFFF"/>
              </w:rPr>
              <w:t>AND THE PROPOSED TRANSACTION. A definitive proxy statement will be</w:t>
            </w:r>
          </w:p>
        </w:tc>
        <w:tc>
          <w:tcPr>
            <w:tcW w:w="5720" w:type="dxa"/>
            <w:vAlign w:val="bottom"/>
            <w:gridSpan w:val="12"/>
          </w:tcPr>
          <w:p>
            <w:pPr>
              <w:jc w:val="right"/>
              <w:ind w:right="940"/>
              <w:spacing w:after="0" w:line="37" w:lineRule="exact"/>
              <w:rPr>
                <w:sz w:val="20"/>
                <w:szCs w:val="20"/>
                <w:color w:val="auto"/>
              </w:rPr>
            </w:pPr>
            <w:r>
              <w:rPr>
                <w:rFonts w:ascii="Arial" w:cs="Arial" w:eastAsia="Arial" w:hAnsi="Arial"/>
                <w:sz w:val="4"/>
                <w:szCs w:val="4"/>
                <w:color w:val="FFFFFF"/>
              </w:rPr>
              <w:t>to shareholders of IFF seeking approval of the proposed transaction. The documents relating to the</w:t>
            </w:r>
          </w:p>
        </w:tc>
      </w:tr>
      <w:tr>
        <w:trPr>
          <w:trHeight w:val="36"/>
        </w:trPr>
        <w:tc>
          <w:tcPr>
            <w:tcW w:w="4420" w:type="dxa"/>
            <w:vAlign w:val="bottom"/>
            <w:gridSpan w:val="8"/>
          </w:tcPr>
          <w:p>
            <w:pPr>
              <w:ind w:left="20"/>
              <w:spacing w:after="0" w:line="37" w:lineRule="exact"/>
              <w:rPr>
                <w:sz w:val="20"/>
                <w:szCs w:val="20"/>
                <w:color w:val="auto"/>
              </w:rPr>
            </w:pPr>
            <w:r>
              <w:rPr>
                <w:rFonts w:ascii="Arial" w:cs="Arial" w:eastAsia="Arial" w:hAnsi="Arial"/>
                <w:sz w:val="4"/>
                <w:szCs w:val="4"/>
                <w:color w:val="FFFFFF"/>
              </w:rPr>
              <w:t>ransaction (when they are available) can be obtained free of charge from the SEC’sentwebsite</w:t>
            </w:r>
          </w:p>
        </w:tc>
        <w:tc>
          <w:tcPr>
            <w:tcW w:w="5380" w:type="dxa"/>
            <w:vAlign w:val="bottom"/>
            <w:gridSpan w:val="11"/>
          </w:tcPr>
          <w:p>
            <w:pPr>
              <w:jc w:val="right"/>
              <w:ind w:right="40"/>
              <w:spacing w:after="0" w:line="37" w:lineRule="exact"/>
              <w:rPr>
                <w:sz w:val="20"/>
                <w:szCs w:val="20"/>
                <w:color w:val="auto"/>
              </w:rPr>
            </w:pPr>
            <w:r>
              <w:rPr>
                <w:rFonts w:ascii="Arial" w:cs="Arial" w:eastAsia="Arial" w:hAnsi="Arial"/>
                <w:sz w:val="4"/>
                <w:szCs w:val="4"/>
                <w:color w:val="FFFFFF"/>
              </w:rPr>
              <w:t>www.sec.gov. Free copies of these documents, once available, and each of the companies’proposedherfilings with</w:t>
            </w:r>
          </w:p>
        </w:tc>
      </w:tr>
      <w:tr>
        <w:trPr>
          <w:trHeight w:val="36"/>
        </w:trPr>
        <w:tc>
          <w:tcPr>
            <w:tcW w:w="160" w:type="dxa"/>
            <w:vAlign w:val="bottom"/>
          </w:tcPr>
          <w:p>
            <w:pPr>
              <w:spacing w:after="0" w:line="37" w:lineRule="exact"/>
              <w:rPr>
                <w:sz w:val="20"/>
                <w:szCs w:val="20"/>
                <w:color w:val="auto"/>
              </w:rPr>
            </w:pPr>
            <w:r>
              <w:rPr>
                <w:rFonts w:ascii="Arial" w:cs="Arial" w:eastAsia="Arial" w:hAnsi="Arial"/>
                <w:sz w:val="4"/>
                <w:szCs w:val="4"/>
                <w:color w:val="FFFFFF"/>
              </w:rPr>
              <w:t>the</w:t>
            </w:r>
          </w:p>
        </w:tc>
        <w:tc>
          <w:tcPr>
            <w:tcW w:w="1400" w:type="dxa"/>
            <w:vAlign w:val="bottom"/>
            <w:gridSpan w:val="2"/>
          </w:tcPr>
          <w:p>
            <w:pPr>
              <w:spacing w:after="0" w:line="37" w:lineRule="exact"/>
              <w:rPr>
                <w:sz w:val="20"/>
                <w:szCs w:val="20"/>
                <w:color w:val="auto"/>
              </w:rPr>
            </w:pPr>
            <w:r>
              <w:rPr>
                <w:rFonts w:ascii="Arial" w:cs="Arial" w:eastAsia="Arial" w:hAnsi="Arial"/>
                <w:sz w:val="4"/>
                <w:szCs w:val="4"/>
                <w:color w:val="FFFFFF"/>
              </w:rPr>
              <w:t>SEC may also be obtained fr</w:t>
            </w:r>
          </w:p>
        </w:tc>
        <w:tc>
          <w:tcPr>
            <w:tcW w:w="8240" w:type="dxa"/>
            <w:vAlign w:val="bottom"/>
            <w:gridSpan w:val="16"/>
          </w:tcPr>
          <w:p>
            <w:pPr>
              <w:jc w:val="right"/>
              <w:ind w:right="760"/>
              <w:spacing w:after="0" w:line="37" w:lineRule="exact"/>
              <w:rPr>
                <w:sz w:val="20"/>
                <w:szCs w:val="20"/>
                <w:color w:val="auto"/>
              </w:rPr>
            </w:pPr>
            <w:r>
              <w:rPr>
                <w:rFonts w:ascii="Arial" w:cs="Arial" w:eastAsia="Arial" w:hAnsi="Arial"/>
                <w:sz w:val="4"/>
                <w:szCs w:val="4"/>
                <w:color w:val="FFFFFF"/>
              </w:rPr>
              <w:t>m the respective companies by contacting the investor relations department of DuPont or IFF at the following:  DuPont Contact Information IFF Contact</w:t>
            </w:r>
          </w:p>
        </w:tc>
      </w:tr>
      <w:tr>
        <w:trPr>
          <w:trHeight w:val="36"/>
        </w:trPr>
        <w:tc>
          <w:tcPr>
            <w:tcW w:w="3120" w:type="dxa"/>
            <w:vAlign w:val="bottom"/>
            <w:gridSpan w:val="6"/>
          </w:tcPr>
          <w:p>
            <w:pPr>
              <w:spacing w:after="0" w:line="37" w:lineRule="exact"/>
              <w:rPr>
                <w:sz w:val="20"/>
                <w:szCs w:val="20"/>
                <w:color w:val="auto"/>
              </w:rPr>
            </w:pPr>
            <w:r>
              <w:rPr>
                <w:rFonts w:ascii="Arial" w:cs="Arial" w:eastAsia="Arial" w:hAnsi="Arial"/>
                <w:sz w:val="4"/>
                <w:szCs w:val="4"/>
                <w:color w:val="FFFFFF"/>
              </w:rPr>
              <w:t>DuPont Investors: Media: Head of Investor Relations and</w:t>
            </w:r>
          </w:p>
        </w:tc>
        <w:tc>
          <w:tcPr>
            <w:tcW w:w="6680" w:type="dxa"/>
            <w:vAlign w:val="bottom"/>
            <w:gridSpan w:val="13"/>
          </w:tcPr>
          <w:p>
            <w:pPr>
              <w:jc w:val="right"/>
              <w:ind w:right="80"/>
              <w:spacing w:after="0" w:line="37" w:lineRule="exact"/>
              <w:rPr>
                <w:sz w:val="20"/>
                <w:szCs w:val="20"/>
                <w:color w:val="auto"/>
              </w:rPr>
            </w:pPr>
            <w:r>
              <w:rPr>
                <w:rFonts w:ascii="Arial" w:cs="Arial" w:eastAsia="Arial" w:hAnsi="Arial"/>
                <w:sz w:val="4"/>
                <w:szCs w:val="4"/>
                <w:color w:val="FFFFFF"/>
              </w:rPr>
              <w:t>Lori Koch Dan Turner Michael DeVeau Lori.d.koch@dupont.com Daniel.a.turner@dupont.com Michael.DeVeau@ifInformation.com+1</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302-999-5631 +1 302-996-8372 +1 212-708-1212  CautionaryCommunicationsNoteForward-Looking Statements This communication contains “forward-looking statements” within the meaning of the federal</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securities laws, including Section 27A of the Securities Act, and Section 21E of the Securities Exchange Act of 1934, as amended (the “Exchange Act”). In this context, forward-looking statements often</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address expected future business and financial performance and financial condition, and often contain words such as “expect,” “anticipate,” “intend,” “plan,” “believe,” “seek,” “see,” “will,” “would,”</w:t>
            </w:r>
          </w:p>
        </w:tc>
      </w:tr>
      <w:tr>
        <w:trPr>
          <w:trHeight w:val="36"/>
        </w:trPr>
        <w:tc>
          <w:tcPr>
            <w:tcW w:w="3120" w:type="dxa"/>
            <w:vAlign w:val="bottom"/>
            <w:gridSpan w:val="6"/>
          </w:tcPr>
          <w:p>
            <w:pPr>
              <w:spacing w:after="0" w:line="37" w:lineRule="exact"/>
              <w:rPr>
                <w:sz w:val="20"/>
                <w:szCs w:val="20"/>
                <w:color w:val="auto"/>
              </w:rPr>
            </w:pPr>
            <w:r>
              <w:rPr>
                <w:rFonts w:ascii="Arial" w:cs="Arial" w:eastAsia="Arial" w:hAnsi="Arial"/>
                <w:sz w:val="4"/>
                <w:szCs w:val="4"/>
                <w:color w:val="FFFFFF"/>
              </w:rPr>
              <w:t>“target,” similar expressions, and variations or negatives of</w:t>
            </w:r>
          </w:p>
        </w:tc>
        <w:tc>
          <w:tcPr>
            <w:tcW w:w="6680" w:type="dxa"/>
            <w:vAlign w:val="bottom"/>
            <w:gridSpan w:val="13"/>
          </w:tcPr>
          <w:p>
            <w:pPr>
              <w:jc w:val="right"/>
              <w:ind w:right="120"/>
              <w:spacing w:after="0" w:line="37" w:lineRule="exact"/>
              <w:rPr>
                <w:sz w:val="20"/>
                <w:szCs w:val="20"/>
                <w:color w:val="auto"/>
              </w:rPr>
            </w:pPr>
            <w:r>
              <w:rPr>
                <w:rFonts w:ascii="Arial" w:cs="Arial" w:eastAsia="Arial" w:hAnsi="Arial"/>
                <w:sz w:val="4"/>
                <w:szCs w:val="4"/>
                <w:color w:val="FFFFFF"/>
              </w:rPr>
              <w:t>words. Forward-looking statements by their nature address matters that are, to different degrees, uncertain, such as statements about the</w:t>
            </w:r>
          </w:p>
        </w:tc>
      </w:tr>
      <w:tr>
        <w:trPr>
          <w:trHeight w:val="36"/>
        </w:trPr>
        <w:tc>
          <w:tcPr>
            <w:tcW w:w="3120" w:type="dxa"/>
            <w:vAlign w:val="bottom"/>
            <w:gridSpan w:val="6"/>
          </w:tcPr>
          <w:p>
            <w:pPr>
              <w:spacing w:after="0" w:line="37" w:lineRule="exact"/>
              <w:rPr>
                <w:sz w:val="20"/>
                <w:szCs w:val="20"/>
                <w:color w:val="auto"/>
              </w:rPr>
            </w:pPr>
            <w:r>
              <w:rPr>
                <w:rFonts w:ascii="Arial" w:cs="Arial" w:eastAsia="Arial" w:hAnsi="Arial"/>
                <w:sz w:val="4"/>
                <w:szCs w:val="4"/>
                <w:color w:val="FFFFFF"/>
              </w:rPr>
              <w:t>proposed transaction, the expected timetable for completingthese</w:t>
            </w:r>
          </w:p>
        </w:tc>
        <w:tc>
          <w:tcPr>
            <w:tcW w:w="6680" w:type="dxa"/>
            <w:vAlign w:val="bottom"/>
            <w:gridSpan w:val="13"/>
          </w:tcPr>
          <w:p>
            <w:pPr>
              <w:jc w:val="right"/>
              <w:ind w:right="80"/>
              <w:spacing w:after="0" w:line="37" w:lineRule="exact"/>
              <w:rPr>
                <w:sz w:val="20"/>
                <w:szCs w:val="20"/>
                <w:color w:val="auto"/>
              </w:rPr>
            </w:pPr>
            <w:r>
              <w:rPr>
                <w:rFonts w:ascii="Arial" w:cs="Arial" w:eastAsia="Arial" w:hAnsi="Arial"/>
                <w:sz w:val="4"/>
                <w:szCs w:val="4"/>
                <w:color w:val="FFFFFF"/>
              </w:rPr>
              <w:t>transaction, the benefits and synergies of the proposed transaction, future opportunities for the combined company and products</w:t>
            </w:r>
          </w:p>
        </w:tc>
      </w:tr>
      <w:tr>
        <w:trPr>
          <w:trHeight w:val="36"/>
        </w:trPr>
        <w:tc>
          <w:tcPr>
            <w:tcW w:w="4800" w:type="dxa"/>
            <w:vAlign w:val="bottom"/>
            <w:gridSpan w:val="9"/>
          </w:tcPr>
          <w:p>
            <w:pPr>
              <w:spacing w:after="0" w:line="37" w:lineRule="exact"/>
              <w:rPr>
                <w:sz w:val="20"/>
                <w:szCs w:val="20"/>
                <w:color w:val="auto"/>
              </w:rPr>
            </w:pPr>
            <w:r>
              <w:rPr>
                <w:rFonts w:ascii="Arial" w:cs="Arial" w:eastAsia="Arial" w:hAnsi="Arial"/>
                <w:sz w:val="4"/>
                <w:szCs w:val="4"/>
                <w:color w:val="FFFFFF"/>
              </w:rPr>
              <w:t>and any other statements regarding DuPont’s, IFF’ and N&amp;Bco’proposedfutureoperations, financial or</w:t>
            </w:r>
          </w:p>
        </w:tc>
        <w:tc>
          <w:tcPr>
            <w:tcW w:w="5000" w:type="dxa"/>
            <w:vAlign w:val="bottom"/>
            <w:gridSpan w:val="10"/>
          </w:tcPr>
          <w:p>
            <w:pPr>
              <w:jc w:val="right"/>
              <w:spacing w:after="0" w:line="37" w:lineRule="exact"/>
              <w:rPr>
                <w:sz w:val="20"/>
                <w:szCs w:val="20"/>
                <w:color w:val="auto"/>
              </w:rPr>
            </w:pPr>
            <w:r>
              <w:rPr>
                <w:rFonts w:ascii="Arial" w:cs="Arial" w:eastAsia="Arial" w:hAnsi="Arial"/>
                <w:sz w:val="4"/>
                <w:szCs w:val="4"/>
                <w:color w:val="FFFFFF"/>
              </w:rPr>
              <w:t>rating results, capital allocation, dividend policy, debt ratio, anticipated business levels, future earnings,</w:t>
            </w:r>
          </w:p>
        </w:tc>
      </w:tr>
      <w:tr>
        <w:trPr>
          <w:trHeight w:val="36"/>
        </w:trPr>
        <w:tc>
          <w:tcPr>
            <w:tcW w:w="2260" w:type="dxa"/>
            <w:vAlign w:val="bottom"/>
            <w:gridSpan w:val="5"/>
          </w:tcPr>
          <w:p>
            <w:pPr>
              <w:spacing w:after="0" w:line="37" w:lineRule="exact"/>
              <w:rPr>
                <w:sz w:val="20"/>
                <w:szCs w:val="20"/>
                <w:color w:val="auto"/>
              </w:rPr>
            </w:pPr>
            <w:r>
              <w:rPr>
                <w:rFonts w:ascii="Arial" w:cs="Arial" w:eastAsia="Arial" w:hAnsi="Arial"/>
                <w:sz w:val="4"/>
                <w:szCs w:val="4"/>
                <w:color w:val="FFFFFF"/>
              </w:rPr>
              <w:t>planned activities, anticipated growth, market</w:t>
            </w:r>
          </w:p>
        </w:tc>
        <w:tc>
          <w:tcPr>
            <w:tcW w:w="5280" w:type="dxa"/>
            <w:vAlign w:val="bottom"/>
            <w:gridSpan w:val="10"/>
          </w:tcPr>
          <w:p>
            <w:pPr>
              <w:ind w:left="660"/>
              <w:spacing w:after="0" w:line="37" w:lineRule="exact"/>
              <w:rPr>
                <w:sz w:val="20"/>
                <w:szCs w:val="20"/>
                <w:color w:val="auto"/>
              </w:rPr>
            </w:pPr>
            <w:r>
              <w:rPr>
                <w:rFonts w:ascii="Arial" w:cs="Arial" w:eastAsia="Arial" w:hAnsi="Arial"/>
                <w:sz w:val="4"/>
                <w:szCs w:val="4"/>
                <w:color w:val="FFFFFF"/>
              </w:rPr>
              <w:t>strategies, competitions, and other expectations and targets for future periods. There are several</w:t>
            </w:r>
          </w:p>
        </w:tc>
        <w:tc>
          <w:tcPr>
            <w:tcW w:w="2260" w:type="dxa"/>
            <w:vAlign w:val="bottom"/>
            <w:gridSpan w:val="4"/>
          </w:tcPr>
          <w:p>
            <w:pPr>
              <w:jc w:val="right"/>
              <w:ind w:right="200"/>
              <w:spacing w:after="0" w:line="37" w:lineRule="exact"/>
              <w:rPr>
                <w:sz w:val="20"/>
                <w:szCs w:val="20"/>
                <w:color w:val="auto"/>
              </w:rPr>
            </w:pPr>
            <w:r>
              <w:rPr>
                <w:rFonts w:ascii="Arial" w:cs="Arial" w:eastAsia="Arial" w:hAnsi="Arial"/>
                <w:sz w:val="4"/>
                <w:szCs w:val="4"/>
                <w:color w:val="FFFFFF"/>
              </w:rPr>
              <w:t>which could cause actual plans and</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results to differ materially from those expressedopportunities,impliedin forward-looking statements. Such factors include, but are not limited to, (1) the parties’ ability factorsmeet expectations regarding the timing,</w:t>
            </w:r>
          </w:p>
        </w:tc>
      </w:tr>
      <w:tr>
        <w:trPr>
          <w:trHeight w:val="36"/>
        </w:trPr>
        <w:tc>
          <w:tcPr>
            <w:tcW w:w="5140" w:type="dxa"/>
            <w:vAlign w:val="bottom"/>
            <w:gridSpan w:val="10"/>
          </w:tcPr>
          <w:p>
            <w:pPr>
              <w:spacing w:after="0" w:line="37" w:lineRule="exact"/>
              <w:rPr>
                <w:sz w:val="20"/>
                <w:szCs w:val="20"/>
                <w:color w:val="auto"/>
              </w:rPr>
            </w:pPr>
            <w:r>
              <w:rPr>
                <w:rFonts w:ascii="Arial" w:cs="Arial" w:eastAsia="Arial" w:hAnsi="Arial"/>
                <w:sz w:val="4"/>
                <w:szCs w:val="4"/>
                <w:color w:val="FFFFFF"/>
              </w:rPr>
              <w:t>completion and accounting and tax treatments of the proposed transaction, (2) changes in relevant tax and</w:t>
            </w:r>
          </w:p>
        </w:tc>
        <w:tc>
          <w:tcPr>
            <w:tcW w:w="4660" w:type="dxa"/>
            <w:vAlign w:val="bottom"/>
            <w:gridSpan w:val="9"/>
          </w:tcPr>
          <w:p>
            <w:pPr>
              <w:jc w:val="right"/>
              <w:ind w:right="560"/>
              <w:spacing w:after="0" w:line="37" w:lineRule="exact"/>
              <w:rPr>
                <w:sz w:val="20"/>
                <w:szCs w:val="20"/>
                <w:color w:val="auto"/>
              </w:rPr>
            </w:pPr>
            <w:r>
              <w:rPr>
                <w:rFonts w:ascii="Arial" w:cs="Arial" w:eastAsia="Arial" w:hAnsi="Arial"/>
                <w:sz w:val="4"/>
                <w:szCs w:val="4"/>
                <w:color w:val="FFFFFF"/>
              </w:rPr>
              <w:t>laws, (3) any failure to obtain necessary regulatory approvals, approval of IFF’s</w:t>
            </w:r>
          </w:p>
        </w:tc>
      </w:tr>
      <w:tr>
        <w:trPr>
          <w:trHeight w:val="36"/>
        </w:trPr>
        <w:tc>
          <w:tcPr>
            <w:tcW w:w="3120" w:type="dxa"/>
            <w:vAlign w:val="bottom"/>
            <w:gridSpan w:val="6"/>
          </w:tcPr>
          <w:p>
            <w:pPr>
              <w:spacing w:after="0" w:line="37" w:lineRule="exact"/>
              <w:rPr>
                <w:sz w:val="20"/>
                <w:szCs w:val="20"/>
                <w:color w:val="auto"/>
              </w:rPr>
            </w:pPr>
            <w:r>
              <w:rPr>
                <w:rFonts w:ascii="Arial" w:cs="Arial" w:eastAsia="Arial" w:hAnsi="Arial"/>
                <w:sz w:val="4"/>
                <w:szCs w:val="4"/>
                <w:color w:val="FFFFFF"/>
              </w:rPr>
              <w:t>shareholders, anticipated tax treatment or any required financing</w:t>
            </w:r>
          </w:p>
        </w:tc>
        <w:tc>
          <w:tcPr>
            <w:tcW w:w="4920" w:type="dxa"/>
            <w:vAlign w:val="bottom"/>
            <w:gridSpan w:val="10"/>
          </w:tcPr>
          <w:p>
            <w:pPr>
              <w:ind w:left="140"/>
              <w:spacing w:after="0" w:line="37" w:lineRule="exact"/>
              <w:rPr>
                <w:sz w:val="20"/>
                <w:szCs w:val="20"/>
                <w:color w:val="auto"/>
              </w:rPr>
            </w:pPr>
            <w:r>
              <w:rPr>
                <w:rFonts w:ascii="Arial" w:cs="Arial" w:eastAsia="Arial" w:hAnsi="Arial"/>
                <w:sz w:val="4"/>
                <w:szCs w:val="4"/>
                <w:color w:val="FFFFFF"/>
              </w:rPr>
              <w:t>to satisfy any of the other conditions tootherproposed transaction, (4) the possibility that unforeseen</w:t>
            </w: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jc w:val="right"/>
              <w:ind w:right="600"/>
              <w:spacing w:after="0" w:line="37" w:lineRule="exact"/>
              <w:rPr>
                <w:sz w:val="20"/>
                <w:szCs w:val="20"/>
                <w:color w:val="auto"/>
              </w:rPr>
            </w:pPr>
            <w:r>
              <w:rPr>
                <w:rFonts w:ascii="Arial" w:cs="Arial" w:eastAsia="Arial" w:hAnsi="Arial"/>
                <w:sz w:val="4"/>
                <w:szCs w:val="4"/>
                <w:color w:val="FFFFFF"/>
              </w:rPr>
              <w:t>future capital</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expenditures, revenues, expenses, earnings, synergies, economic performance, indebtedness, financial condition, losses, future prospects, business and management strategiliabilities,that could impact the value,</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timing or pursuit of the proposed transaction, (5) risks and costs and pursuit and/or implementation of the separation of N&amp;Bco, including timing anticipated to complete the separation, any changes to the</w:t>
            </w:r>
          </w:p>
        </w:tc>
      </w:tr>
      <w:tr>
        <w:trPr>
          <w:trHeight w:val="36"/>
        </w:trPr>
        <w:tc>
          <w:tcPr>
            <w:tcW w:w="160" w:type="dxa"/>
            <w:vAlign w:val="bottom"/>
          </w:tcPr>
          <w:p>
            <w:pPr>
              <w:spacing w:after="0"/>
              <w:rPr>
                <w:sz w:val="3"/>
                <w:szCs w:val="3"/>
                <w:color w:val="auto"/>
              </w:rPr>
            </w:pPr>
          </w:p>
        </w:tc>
        <w:tc>
          <w:tcPr>
            <w:tcW w:w="2100" w:type="dxa"/>
            <w:vAlign w:val="bottom"/>
            <w:gridSpan w:val="4"/>
          </w:tcPr>
          <w:p>
            <w:pPr>
              <w:spacing w:after="0" w:line="37" w:lineRule="exact"/>
              <w:rPr>
                <w:sz w:val="20"/>
                <w:szCs w:val="20"/>
                <w:color w:val="auto"/>
              </w:rPr>
            </w:pPr>
            <w:r>
              <w:rPr>
                <w:rFonts w:ascii="Arial" w:cs="Arial" w:eastAsia="Arial" w:hAnsi="Arial"/>
                <w:sz w:val="4"/>
                <w:szCs w:val="4"/>
                <w:color w:val="FFFFFF"/>
              </w:rPr>
              <w:t>figuration of businesses included in the</w:t>
            </w:r>
          </w:p>
        </w:tc>
        <w:tc>
          <w:tcPr>
            <w:tcW w:w="7540" w:type="dxa"/>
            <w:vAlign w:val="bottom"/>
            <w:gridSpan w:val="14"/>
          </w:tcPr>
          <w:p>
            <w:pPr>
              <w:jc w:val="right"/>
              <w:ind w:right="280"/>
              <w:spacing w:after="0" w:line="37" w:lineRule="exact"/>
              <w:rPr>
                <w:sz w:val="20"/>
                <w:szCs w:val="20"/>
                <w:color w:val="auto"/>
              </w:rPr>
            </w:pPr>
            <w:r>
              <w:rPr>
                <w:rFonts w:ascii="Arial" w:cs="Arial" w:eastAsia="Arial" w:hAnsi="Arial"/>
                <w:sz w:val="4"/>
                <w:szCs w:val="4"/>
                <w:color w:val="FFFFFF"/>
              </w:rPr>
              <w:t>if implemented, (6) risks related to indemnification of certain legacy liabilities of E. I. du Pont de Nemours and Company (“Historical EID”) in</w:t>
            </w:r>
          </w:p>
        </w:tc>
      </w:tr>
      <w:tr>
        <w:trPr>
          <w:trHeight w:val="36"/>
        </w:trPr>
        <w:tc>
          <w:tcPr>
            <w:tcW w:w="1000" w:type="dxa"/>
            <w:vAlign w:val="bottom"/>
            <w:gridSpan w:val="2"/>
          </w:tcPr>
          <w:p>
            <w:pPr>
              <w:spacing w:after="0" w:line="37" w:lineRule="exact"/>
              <w:rPr>
                <w:sz w:val="20"/>
                <w:szCs w:val="20"/>
                <w:color w:val="auto"/>
              </w:rPr>
            </w:pPr>
            <w:r>
              <w:rPr>
                <w:rFonts w:ascii="Arial" w:cs="Arial" w:eastAsia="Arial" w:hAnsi="Arial"/>
                <w:sz w:val="4"/>
                <w:szCs w:val="4"/>
                <w:color w:val="FFFFFF"/>
              </w:rPr>
              <w:t>connection with the</w:t>
            </w:r>
          </w:p>
        </w:tc>
        <w:tc>
          <w:tcPr>
            <w:tcW w:w="560" w:type="dxa"/>
            <w:vAlign w:val="bottom"/>
          </w:tcPr>
          <w:p>
            <w:pPr>
              <w:spacing w:after="0"/>
              <w:rPr>
                <w:sz w:val="3"/>
                <w:szCs w:val="3"/>
                <w:color w:val="auto"/>
              </w:rPr>
            </w:pPr>
          </w:p>
        </w:tc>
        <w:tc>
          <w:tcPr>
            <w:tcW w:w="8240" w:type="dxa"/>
            <w:vAlign w:val="bottom"/>
            <w:gridSpan w:val="16"/>
          </w:tcPr>
          <w:p>
            <w:pPr>
              <w:jc w:val="right"/>
              <w:ind w:right="320"/>
              <w:spacing w:after="0" w:line="37" w:lineRule="exact"/>
              <w:rPr>
                <w:sz w:val="20"/>
                <w:szCs w:val="20"/>
                <w:color w:val="auto"/>
              </w:rPr>
            </w:pPr>
            <w:r>
              <w:rPr>
                <w:rFonts w:ascii="Arial" w:cs="Arial" w:eastAsia="Arial" w:hAnsi="Arial"/>
                <w:sz w:val="4"/>
                <w:szCs w:val="4"/>
                <w:color w:val="FFFFFF"/>
              </w:rPr>
              <w:t>of Corteva separationInc.June 1, 2019 (the “Corteva Distribution”), (7) potential liability arising from fraudulent conveyance and similar laws in connection with DuPont’s</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distribution of Dow distributionInc.April 1, 2019 and/or the Corteva Distributions (the “Previous Distributions”), (8) failure to effectively manage acquisitions, divestitures, alliances, joint ventures and other</w:t>
            </w:r>
          </w:p>
        </w:tc>
      </w:tr>
      <w:tr>
        <w:trPr>
          <w:trHeight w:val="36"/>
        </w:trPr>
        <w:tc>
          <w:tcPr>
            <w:tcW w:w="4080" w:type="dxa"/>
            <w:vAlign w:val="bottom"/>
            <w:gridSpan w:val="7"/>
          </w:tcPr>
          <w:p>
            <w:pPr>
              <w:spacing w:after="0" w:line="37" w:lineRule="exact"/>
              <w:rPr>
                <w:sz w:val="20"/>
                <w:szCs w:val="20"/>
                <w:color w:val="auto"/>
              </w:rPr>
            </w:pPr>
            <w:r>
              <w:rPr>
                <w:rFonts w:ascii="Arial" w:cs="Arial" w:eastAsia="Arial" w:hAnsi="Arial"/>
                <w:sz w:val="4"/>
                <w:szCs w:val="4"/>
                <w:color w:val="FFFFFF"/>
              </w:rPr>
              <w:t>portfolio changes, including meeting conditions under the Letter Agreement entered</w:t>
            </w:r>
          </w:p>
        </w:tc>
        <w:tc>
          <w:tcPr>
            <w:tcW w:w="4140" w:type="dxa"/>
            <w:vAlign w:val="bottom"/>
            <w:gridSpan w:val="10"/>
          </w:tcPr>
          <w:p>
            <w:pPr>
              <w:ind w:left="120"/>
              <w:spacing w:after="0" w:line="37" w:lineRule="exact"/>
              <w:rPr>
                <w:sz w:val="20"/>
                <w:szCs w:val="20"/>
                <w:color w:val="auto"/>
              </w:rPr>
            </w:pPr>
            <w:r>
              <w:rPr>
                <w:rFonts w:ascii="Arial" w:cs="Arial" w:eastAsia="Arial" w:hAnsi="Arial"/>
                <w:sz w:val="4"/>
                <w:szCs w:val="4"/>
                <w:color w:val="FFFFFF"/>
              </w:rPr>
              <w:t>connection with the Corteva Distribution, related to the transfer of certain levels of</w:t>
            </w:r>
          </w:p>
        </w:tc>
        <w:tc>
          <w:tcPr>
            <w:tcW w:w="280" w:type="dxa"/>
            <w:vAlign w:val="bottom"/>
          </w:tcPr>
          <w:p>
            <w:pPr>
              <w:spacing w:after="0"/>
              <w:rPr>
                <w:sz w:val="3"/>
                <w:szCs w:val="3"/>
                <w:color w:val="auto"/>
              </w:rPr>
            </w:pPr>
          </w:p>
        </w:tc>
        <w:tc>
          <w:tcPr>
            <w:tcW w:w="1300" w:type="dxa"/>
            <w:vAlign w:val="bottom"/>
          </w:tcPr>
          <w:p>
            <w:pPr>
              <w:jc w:val="right"/>
              <w:ind w:right="520"/>
              <w:spacing w:after="0" w:line="37" w:lineRule="exact"/>
              <w:rPr>
                <w:sz w:val="20"/>
                <w:szCs w:val="20"/>
                <w:color w:val="auto"/>
              </w:rPr>
            </w:pPr>
            <w:r>
              <w:rPr>
                <w:rFonts w:ascii="Arial" w:cs="Arial" w:eastAsia="Arial" w:hAnsi="Arial"/>
                <w:sz w:val="4"/>
                <w:szCs w:val="4"/>
                <w:color w:val="FFFFFF"/>
              </w:rPr>
              <w:t>and businesses,</w:t>
            </w:r>
          </w:p>
        </w:tc>
      </w:tr>
      <w:tr>
        <w:trPr>
          <w:trHeight w:val="36"/>
        </w:trPr>
        <w:tc>
          <w:tcPr>
            <w:tcW w:w="4080" w:type="dxa"/>
            <w:vAlign w:val="bottom"/>
            <w:gridSpan w:val="7"/>
          </w:tcPr>
          <w:p>
            <w:pPr>
              <w:spacing w:after="0" w:line="37" w:lineRule="exact"/>
              <w:rPr>
                <w:sz w:val="20"/>
                <w:szCs w:val="20"/>
                <w:color w:val="auto"/>
              </w:rPr>
            </w:pPr>
            <w:r>
              <w:rPr>
                <w:rFonts w:ascii="Arial" w:cs="Arial" w:eastAsia="Arial" w:hAnsi="Arial"/>
                <w:sz w:val="4"/>
                <w:szCs w:val="4"/>
                <w:color w:val="FFFFFF"/>
              </w:rPr>
              <w:t>(9) uncertainty as to the long-term value of DuPont common stock, (10) potential</w:t>
            </w:r>
          </w:p>
        </w:tc>
        <w:tc>
          <w:tcPr>
            <w:tcW w:w="4420" w:type="dxa"/>
            <w:vAlign w:val="bottom"/>
            <w:gridSpan w:val="11"/>
          </w:tcPr>
          <w:p>
            <w:pPr>
              <w:ind w:left="280"/>
              <w:spacing w:after="0" w:line="37" w:lineRule="exact"/>
              <w:rPr>
                <w:sz w:val="20"/>
                <w:szCs w:val="20"/>
                <w:color w:val="auto"/>
              </w:rPr>
            </w:pPr>
            <w:r>
              <w:rPr>
                <w:rFonts w:ascii="Arial" w:cs="Arial" w:eastAsia="Arial" w:hAnsi="Arial"/>
                <w:sz w:val="4"/>
                <w:szCs w:val="4"/>
                <w:color w:val="FFFFFF"/>
              </w:rPr>
              <w:t>or reduced access to the capital markets or increased cost of borrowings, includingassets</w:t>
            </w:r>
          </w:p>
        </w:tc>
        <w:tc>
          <w:tcPr>
            <w:tcW w:w="1300" w:type="dxa"/>
            <w:vAlign w:val="bottom"/>
          </w:tcPr>
          <w:p>
            <w:pPr>
              <w:jc w:val="right"/>
              <w:ind w:right="120"/>
              <w:spacing w:after="0" w:line="37" w:lineRule="exact"/>
              <w:rPr>
                <w:sz w:val="20"/>
                <w:szCs w:val="20"/>
                <w:color w:val="auto"/>
              </w:rPr>
            </w:pPr>
            <w:r>
              <w:rPr>
                <w:rFonts w:ascii="Arial" w:cs="Arial" w:eastAsia="Arial" w:hAnsi="Arial"/>
                <w:sz w:val="4"/>
                <w:szCs w:val="4"/>
                <w:color w:val="FFFFFF"/>
              </w:rPr>
              <w:t>result of  credit rating</w:t>
            </w:r>
          </w:p>
        </w:tc>
      </w:tr>
      <w:tr>
        <w:trPr>
          <w:trHeight w:val="36"/>
        </w:trPr>
        <w:tc>
          <w:tcPr>
            <w:tcW w:w="1880" w:type="dxa"/>
            <w:vAlign w:val="bottom"/>
            <w:gridSpan w:val="4"/>
          </w:tcPr>
          <w:p>
            <w:pPr>
              <w:spacing w:after="0" w:line="37" w:lineRule="exact"/>
              <w:rPr>
                <w:sz w:val="20"/>
                <w:szCs w:val="20"/>
                <w:color w:val="auto"/>
              </w:rPr>
            </w:pPr>
            <w:r>
              <w:rPr>
                <w:rFonts w:ascii="Arial" w:cs="Arial" w:eastAsia="Arial" w:hAnsi="Arial"/>
                <w:sz w:val="4"/>
                <w:szCs w:val="4"/>
                <w:color w:val="FFFFFF"/>
              </w:rPr>
              <w:t>downgrade, (11) inherent uncertainties</w:t>
            </w:r>
          </w:p>
        </w:tc>
        <w:tc>
          <w:tcPr>
            <w:tcW w:w="380" w:type="dxa"/>
            <w:vAlign w:val="bottom"/>
          </w:tcPr>
          <w:p>
            <w:pPr>
              <w:spacing w:after="0"/>
              <w:rPr>
                <w:sz w:val="3"/>
                <w:szCs w:val="3"/>
                <w:color w:val="auto"/>
              </w:rPr>
            </w:pPr>
          </w:p>
        </w:tc>
        <w:tc>
          <w:tcPr>
            <w:tcW w:w="2160" w:type="dxa"/>
            <w:vAlign w:val="bottom"/>
            <w:gridSpan w:val="3"/>
          </w:tcPr>
          <w:p>
            <w:pPr>
              <w:jc w:val="center"/>
              <w:spacing w:after="0" w:line="37" w:lineRule="exact"/>
              <w:rPr>
                <w:sz w:val="20"/>
                <w:szCs w:val="20"/>
                <w:color w:val="auto"/>
              </w:rPr>
            </w:pPr>
            <w:r>
              <w:rPr>
                <w:rFonts w:ascii="Arial" w:cs="Arial" w:eastAsia="Arial" w:hAnsi="Arial"/>
                <w:sz w:val="4"/>
                <w:szCs w:val="4"/>
                <w:color w:val="FFFFFF"/>
              </w:rPr>
              <w:t>in the estimates and judgments usedinabilitythe</w:t>
            </w:r>
          </w:p>
        </w:tc>
        <w:tc>
          <w:tcPr>
            <w:tcW w:w="380" w:type="dxa"/>
            <w:vAlign w:val="bottom"/>
          </w:tcPr>
          <w:p>
            <w:pPr>
              <w:spacing w:after="0"/>
              <w:rPr>
                <w:sz w:val="3"/>
                <w:szCs w:val="3"/>
                <w:color w:val="auto"/>
              </w:rPr>
            </w:pPr>
          </w:p>
        </w:tc>
        <w:tc>
          <w:tcPr>
            <w:tcW w:w="5000" w:type="dxa"/>
            <w:vAlign w:val="bottom"/>
            <w:gridSpan w:val="10"/>
          </w:tcPr>
          <w:p>
            <w:pPr>
              <w:jc w:val="right"/>
              <w:ind w:right="40"/>
              <w:spacing w:after="0" w:line="37" w:lineRule="exact"/>
              <w:rPr>
                <w:sz w:val="20"/>
                <w:szCs w:val="20"/>
                <w:color w:val="auto"/>
              </w:rPr>
            </w:pPr>
            <w:r>
              <w:rPr>
                <w:rFonts w:ascii="Arial" w:cs="Arial" w:eastAsia="Arial" w:hAnsi="Arial"/>
                <w:sz w:val="4"/>
                <w:szCs w:val="4"/>
                <w:color w:val="FFFFFF"/>
              </w:rPr>
              <w:t>of financial statements and the providing of estimates of financial measures, in accordance with the</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accounting principles generally acceptedinvolvedtheUnited States of America and related standards,preparationoran adjusted basis, (12) the integration of IFF and its Frutarom business and/or N&amp;Bco being more</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difficult, time consuming or costly than expected, (13) the failure to achieve expected or targeted future financial and operating performance and results, (14) the possibility that IFF may be unable to</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achieve expected benefits, synergies and operating efficiencies in connection with the proposed transaction within the expected time frames or at all or to successfully integrate Frutarom and N&amp;Bco,</w:t>
            </w:r>
          </w:p>
        </w:tc>
      </w:tr>
      <w:tr>
        <w:trPr>
          <w:trHeight w:val="36"/>
        </w:trPr>
        <w:tc>
          <w:tcPr>
            <w:tcW w:w="7180" w:type="dxa"/>
            <w:vAlign w:val="bottom"/>
            <w:gridSpan w:val="14"/>
          </w:tcPr>
          <w:p>
            <w:pPr>
              <w:spacing w:after="0" w:line="37" w:lineRule="exact"/>
              <w:rPr>
                <w:sz w:val="20"/>
                <w:szCs w:val="20"/>
                <w:color w:val="auto"/>
              </w:rPr>
            </w:pPr>
            <w:r>
              <w:rPr>
                <w:rFonts w:ascii="Arial" w:cs="Arial" w:eastAsia="Arial" w:hAnsi="Arial"/>
                <w:sz w:val="4"/>
                <w:szCs w:val="4"/>
                <w:color w:val="FFFFFF"/>
              </w:rPr>
              <w:t>(15) customer loss and business disruption being greater than expect d following the proposed transaction, (16) the impact of divestitures required as</w:t>
            </w:r>
          </w:p>
        </w:tc>
        <w:tc>
          <w:tcPr>
            <w:tcW w:w="2620" w:type="dxa"/>
            <w:vAlign w:val="bottom"/>
            <w:gridSpan w:val="5"/>
          </w:tcPr>
          <w:p>
            <w:pPr>
              <w:jc w:val="right"/>
              <w:ind w:right="420"/>
              <w:spacing w:after="0" w:line="37" w:lineRule="exact"/>
              <w:rPr>
                <w:sz w:val="20"/>
                <w:szCs w:val="20"/>
                <w:color w:val="auto"/>
              </w:rPr>
            </w:pPr>
            <w:r>
              <w:rPr>
                <w:rFonts w:ascii="Arial" w:cs="Arial" w:eastAsia="Arial" w:hAnsi="Arial"/>
                <w:sz w:val="4"/>
                <w:szCs w:val="4"/>
                <w:color w:val="FFFFFF"/>
              </w:rPr>
              <w:t>condition to consummation of the proposed</w:t>
            </w:r>
          </w:p>
        </w:tc>
      </w:tr>
      <w:tr>
        <w:trPr>
          <w:trHeight w:val="36"/>
        </w:trPr>
        <w:tc>
          <w:tcPr>
            <w:tcW w:w="5740" w:type="dxa"/>
            <w:vAlign w:val="bottom"/>
            <w:gridSpan w:val="11"/>
          </w:tcPr>
          <w:p>
            <w:pPr>
              <w:spacing w:after="0" w:line="37" w:lineRule="exact"/>
              <w:rPr>
                <w:sz w:val="20"/>
                <w:szCs w:val="20"/>
                <w:color w:val="auto"/>
              </w:rPr>
            </w:pPr>
            <w:r>
              <w:rPr>
                <w:rFonts w:ascii="Arial" w:cs="Arial" w:eastAsia="Arial" w:hAnsi="Arial"/>
                <w:sz w:val="4"/>
                <w:szCs w:val="4"/>
                <w:color w:val="FFFFFF"/>
              </w:rPr>
              <w:t>transaction as well as other conditional commitments, (17) legislative, regulatory and economic developments; (18) an</w:t>
            </w:r>
          </w:p>
        </w:tc>
        <w:tc>
          <w:tcPr>
            <w:tcW w:w="360" w:type="dxa"/>
            <w:vAlign w:val="bottom"/>
          </w:tcPr>
          <w:p>
            <w:pPr>
              <w:spacing w:after="0"/>
              <w:rPr>
                <w:sz w:val="3"/>
                <w:szCs w:val="3"/>
                <w:color w:val="auto"/>
              </w:rPr>
            </w:pPr>
          </w:p>
        </w:tc>
        <w:tc>
          <w:tcPr>
            <w:tcW w:w="3700" w:type="dxa"/>
            <w:vAlign w:val="bottom"/>
            <w:gridSpan w:val="7"/>
          </w:tcPr>
          <w:p>
            <w:pPr>
              <w:jc w:val="right"/>
              <w:ind w:right="340"/>
              <w:spacing w:after="0" w:line="37" w:lineRule="exact"/>
              <w:rPr>
                <w:sz w:val="20"/>
                <w:szCs w:val="20"/>
                <w:color w:val="auto"/>
              </w:rPr>
            </w:pPr>
            <w:r>
              <w:rPr>
                <w:rFonts w:ascii="Arial" w:cs="Arial" w:eastAsia="Arial" w:hAnsi="Arial"/>
                <w:sz w:val="4"/>
                <w:szCs w:val="4"/>
                <w:color w:val="FFFFFF"/>
              </w:rPr>
              <w:t>or decrease in the anticipated transaction taxes (including due to any</w:t>
            </w:r>
          </w:p>
        </w:tc>
      </w:tr>
      <w:tr>
        <w:trPr>
          <w:trHeight w:val="36"/>
        </w:trPr>
        <w:tc>
          <w:tcPr>
            <w:tcW w:w="9800" w:type="dxa"/>
            <w:vAlign w:val="bottom"/>
            <w:gridSpan w:val="19"/>
          </w:tcPr>
          <w:p>
            <w:pPr>
              <w:ind w:left="40"/>
              <w:spacing w:after="0" w:line="37" w:lineRule="exact"/>
              <w:rPr>
                <w:sz w:val="20"/>
                <w:szCs w:val="20"/>
                <w:color w:val="auto"/>
              </w:rPr>
            </w:pPr>
            <w:r>
              <w:rPr>
                <w:rFonts w:ascii="Arial" w:cs="Arial" w:eastAsia="Arial" w:hAnsi="Arial"/>
                <w:sz w:val="4"/>
                <w:szCs w:val="4"/>
                <w:color w:val="FFFFFF"/>
              </w:rPr>
              <w:t>hanges to tax legislation and its impact on tax rates (and the timing of the effectiveness of any such changes)) to be paidincreaseconnection with the separation prior to the closing of the transactions could</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cause an adjustment to the exchange ratio, (19) potential litigation relating to the proposed transaction that could be instituted against DuPont, IFF or their respective directors, (20) risks associated with</w:t>
            </w:r>
          </w:p>
        </w:tc>
      </w:tr>
      <w:tr>
        <w:trPr>
          <w:trHeight w:val="36"/>
        </w:trPr>
        <w:tc>
          <w:tcPr>
            <w:tcW w:w="1560" w:type="dxa"/>
            <w:vAlign w:val="bottom"/>
            <w:gridSpan w:val="3"/>
          </w:tcPr>
          <w:p>
            <w:pPr>
              <w:spacing w:after="0" w:line="37" w:lineRule="exact"/>
              <w:rPr>
                <w:sz w:val="20"/>
                <w:szCs w:val="20"/>
                <w:color w:val="auto"/>
              </w:rPr>
            </w:pPr>
            <w:r>
              <w:rPr>
                <w:rFonts w:ascii="Arial" w:cs="Arial" w:eastAsia="Arial" w:hAnsi="Arial"/>
                <w:sz w:val="4"/>
                <w:szCs w:val="4"/>
                <w:color w:val="FFFFFF"/>
              </w:rPr>
              <w:t>third party contracts containing</w:t>
            </w:r>
          </w:p>
        </w:tc>
        <w:tc>
          <w:tcPr>
            <w:tcW w:w="320" w:type="dxa"/>
            <w:vAlign w:val="bottom"/>
          </w:tcPr>
          <w:p>
            <w:pPr>
              <w:spacing w:after="0"/>
              <w:rPr>
                <w:sz w:val="3"/>
                <w:szCs w:val="3"/>
                <w:color w:val="auto"/>
              </w:rPr>
            </w:pPr>
          </w:p>
        </w:tc>
        <w:tc>
          <w:tcPr>
            <w:tcW w:w="7920" w:type="dxa"/>
            <w:vAlign w:val="bottom"/>
            <w:gridSpan w:val="15"/>
          </w:tcPr>
          <w:p>
            <w:pPr>
              <w:jc w:val="right"/>
              <w:ind w:right="20"/>
              <w:spacing w:after="0" w:line="37" w:lineRule="exact"/>
              <w:rPr>
                <w:sz w:val="20"/>
                <w:szCs w:val="20"/>
                <w:color w:val="auto"/>
              </w:rPr>
            </w:pPr>
            <w:r>
              <w:rPr>
                <w:rFonts w:ascii="Arial" w:cs="Arial" w:eastAsia="Arial" w:hAnsi="Arial"/>
                <w:sz w:val="4"/>
                <w:szCs w:val="4"/>
                <w:color w:val="FFFFFF"/>
              </w:rPr>
              <w:t>and/or other provisions that may be triggered by the proposed transaction, (21) negative effects of the announcement or the consummation of the transaction on the</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market price of DuPont’s and/orconsentIFF’common stock, (22) risks relating to the value of the IFF shares to be issued in the transaction and uncertainty as to the long-term value of IFF’s common</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(23) risks relating to IFF’s ongoing investigations into improper payments made in Frutarom businesses principally operating in Russia and the Ukraine, including expenses incurred with respectstock,the</w:t>
            </w:r>
          </w:p>
        </w:tc>
      </w:tr>
      <w:tr>
        <w:trPr>
          <w:trHeight w:val="36"/>
        </w:trPr>
        <w:tc>
          <w:tcPr>
            <w:tcW w:w="160" w:type="dxa"/>
            <w:vAlign w:val="bottom"/>
          </w:tcPr>
          <w:p>
            <w:pPr>
              <w:spacing w:after="0"/>
              <w:rPr>
                <w:sz w:val="3"/>
                <w:szCs w:val="3"/>
                <w:color w:val="auto"/>
              </w:rPr>
            </w:pPr>
          </w:p>
        </w:tc>
        <w:tc>
          <w:tcPr>
            <w:tcW w:w="5940" w:type="dxa"/>
            <w:vAlign w:val="bottom"/>
            <w:gridSpan w:val="11"/>
          </w:tcPr>
          <w:p>
            <w:pPr>
              <w:jc w:val="center"/>
              <w:ind w:left="440"/>
              <w:spacing w:after="0" w:line="37" w:lineRule="exact"/>
              <w:rPr>
                <w:sz w:val="20"/>
                <w:szCs w:val="20"/>
                <w:color w:val="auto"/>
              </w:rPr>
            </w:pPr>
            <w:r>
              <w:rPr>
                <w:rFonts w:ascii="Arial" w:cs="Arial" w:eastAsia="Arial" w:hAnsi="Arial"/>
                <w:sz w:val="4"/>
                <w:szCs w:val="4"/>
                <w:color w:val="FFFFFF"/>
              </w:rPr>
              <w:t>the cost of any remedial measures or compliance programs arising out of the investigations, legal proceedings</w:t>
            </w:r>
          </w:p>
        </w:tc>
        <w:tc>
          <w:tcPr>
            <w:tcW w:w="3700" w:type="dxa"/>
            <w:vAlign w:val="bottom"/>
            <w:gridSpan w:val="7"/>
          </w:tcPr>
          <w:p>
            <w:pPr>
              <w:jc w:val="right"/>
              <w:ind w:right="160"/>
              <w:spacing w:after="0" w:line="37" w:lineRule="exact"/>
              <w:rPr>
                <w:sz w:val="20"/>
                <w:szCs w:val="20"/>
                <w:color w:val="auto"/>
              </w:rPr>
            </w:pPr>
            <w:r>
              <w:rPr>
                <w:rFonts w:ascii="Arial" w:cs="Arial" w:eastAsia="Arial" w:hAnsi="Arial"/>
                <w:sz w:val="4"/>
                <w:szCs w:val="4"/>
                <w:color w:val="FFFFFF"/>
              </w:rPr>
              <w:t>government investigations that may arise relating to the subject of IFF’s</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investigations, and the outcome of any such legal or governme t investigations, such as the imposition of fines, penalties, orders, or injunctions, (24) the impact of the failure to comply with U.S. or</w:t>
            </w:r>
          </w:p>
        </w:tc>
      </w:tr>
      <w:tr>
        <w:trPr>
          <w:trHeight w:val="36"/>
        </w:trPr>
        <w:tc>
          <w:tcPr>
            <w:tcW w:w="7180" w:type="dxa"/>
            <w:vAlign w:val="bottom"/>
            <w:gridSpan w:val="14"/>
          </w:tcPr>
          <w:p>
            <w:pPr>
              <w:spacing w:after="0" w:line="37" w:lineRule="exact"/>
              <w:rPr>
                <w:sz w:val="20"/>
                <w:szCs w:val="20"/>
                <w:color w:val="auto"/>
              </w:rPr>
            </w:pPr>
            <w:r>
              <w:rPr>
                <w:rFonts w:ascii="Arial" w:cs="Arial" w:eastAsia="Arial" w:hAnsi="Arial"/>
                <w:sz w:val="4"/>
                <w:szCs w:val="4"/>
                <w:color w:val="FFFFFF"/>
              </w:rPr>
              <w:t>foreign anti-corruption and anti-bribery laws and regulations, including with respect to IFF’s ongoing investigations into improper payments made</w:t>
            </w:r>
          </w:p>
        </w:tc>
        <w:tc>
          <w:tcPr>
            <w:tcW w:w="2620" w:type="dxa"/>
            <w:vAlign w:val="bottom"/>
            <w:gridSpan w:val="5"/>
          </w:tcPr>
          <w:p>
            <w:pPr>
              <w:jc w:val="right"/>
              <w:ind w:right="100"/>
              <w:spacing w:after="0" w:line="37" w:lineRule="exact"/>
              <w:rPr>
                <w:sz w:val="20"/>
                <w:szCs w:val="20"/>
                <w:color w:val="auto"/>
              </w:rPr>
            </w:pPr>
            <w:r>
              <w:rPr>
                <w:rFonts w:ascii="Arial" w:cs="Arial" w:eastAsia="Arial" w:hAnsi="Arial"/>
                <w:sz w:val="4"/>
                <w:szCs w:val="4"/>
                <w:color w:val="FFFFFF"/>
              </w:rPr>
              <w:t>Frutarom businesses principally operating in Russia</w:t>
            </w:r>
          </w:p>
        </w:tc>
      </w:tr>
      <w:tr>
        <w:trPr>
          <w:trHeight w:val="36"/>
        </w:trPr>
        <w:tc>
          <w:tcPr>
            <w:tcW w:w="7540" w:type="dxa"/>
            <w:vAlign w:val="bottom"/>
            <w:gridSpan w:val="15"/>
          </w:tcPr>
          <w:p>
            <w:pPr>
              <w:spacing w:after="0" w:line="37" w:lineRule="exact"/>
              <w:rPr>
                <w:sz w:val="20"/>
                <w:szCs w:val="20"/>
                <w:color w:val="auto"/>
              </w:rPr>
            </w:pPr>
            <w:r>
              <w:rPr>
                <w:rFonts w:ascii="Arial" w:cs="Arial" w:eastAsia="Arial" w:hAnsi="Arial"/>
                <w:sz w:val="4"/>
                <w:szCs w:val="4"/>
                <w:color w:val="FFFFFF"/>
              </w:rPr>
              <w:t>and the Ukraine, (25) the impact of the outcome of legal claims, regulatory investigations and litigation, including any that may arise out of IFF’s ongoing</w:t>
            </w:r>
          </w:p>
        </w:tc>
        <w:tc>
          <w:tcPr>
            <w:tcW w:w="500" w:type="dxa"/>
            <w:vAlign w:val="bottom"/>
          </w:tcPr>
          <w:p>
            <w:pPr>
              <w:spacing w:after="0"/>
              <w:rPr>
                <w:sz w:val="3"/>
                <w:szCs w:val="3"/>
                <w:color w:val="auto"/>
              </w:rPr>
            </w:pPr>
          </w:p>
        </w:tc>
        <w:tc>
          <w:tcPr>
            <w:tcW w:w="1760" w:type="dxa"/>
            <w:vAlign w:val="bottom"/>
            <w:gridSpan w:val="3"/>
          </w:tcPr>
          <w:p>
            <w:pPr>
              <w:jc w:val="right"/>
              <w:ind w:right="80"/>
              <w:spacing w:after="0" w:line="37" w:lineRule="exact"/>
              <w:rPr>
                <w:sz w:val="20"/>
                <w:szCs w:val="20"/>
                <w:color w:val="auto"/>
              </w:rPr>
            </w:pPr>
            <w:r>
              <w:rPr>
                <w:rFonts w:ascii="Arial" w:cs="Arial" w:eastAsia="Arial" w:hAnsi="Arial"/>
                <w:sz w:val="4"/>
                <w:szCs w:val="4"/>
                <w:color w:val="FFFFFF"/>
              </w:rPr>
              <w:t>into improper payments made in</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Frutarom businesses principally operating in Russia and the Ukraine, (26) the ability of N&amp;Bco or IFF to retain and hire key personnel, (27) the risk that N&amp;Bco,investigationsasnewly formed entity that currently</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has no credit rating, will not have access to the capital markets on acceptable terms, (28) the risk that N&amp;Bco and IFF will incur significant indebtedness in connection with the potential transaction, and</w:t>
            </w:r>
          </w:p>
        </w:tc>
      </w:tr>
      <w:tr>
        <w:trPr>
          <w:trHeight w:val="36"/>
        </w:trPr>
        <w:tc>
          <w:tcPr>
            <w:tcW w:w="4800" w:type="dxa"/>
            <w:vAlign w:val="bottom"/>
            <w:gridSpan w:val="9"/>
          </w:tcPr>
          <w:p>
            <w:pPr>
              <w:spacing w:after="0" w:line="37" w:lineRule="exact"/>
              <w:rPr>
                <w:sz w:val="20"/>
                <w:szCs w:val="20"/>
                <w:color w:val="auto"/>
              </w:rPr>
            </w:pPr>
            <w:r>
              <w:rPr>
                <w:rFonts w:ascii="Arial" w:cs="Arial" w:eastAsia="Arial" w:hAnsi="Arial"/>
                <w:sz w:val="4"/>
                <w:szCs w:val="4"/>
                <w:color w:val="FFFFFF"/>
              </w:rPr>
              <w:t>the degree to which IFF will be leveraged following completion of the potential transaction may</w:t>
            </w:r>
          </w:p>
        </w:tc>
        <w:tc>
          <w:tcPr>
            <w:tcW w:w="340" w:type="dxa"/>
            <w:vAlign w:val="bottom"/>
          </w:tcPr>
          <w:p>
            <w:pPr>
              <w:spacing w:after="0"/>
              <w:rPr>
                <w:sz w:val="3"/>
                <w:szCs w:val="3"/>
                <w:color w:val="auto"/>
              </w:rPr>
            </w:pPr>
          </w:p>
        </w:tc>
        <w:tc>
          <w:tcPr>
            <w:tcW w:w="1240" w:type="dxa"/>
            <w:vAlign w:val="bottom"/>
            <w:gridSpan w:val="3"/>
          </w:tcPr>
          <w:p>
            <w:pPr>
              <w:ind w:left="20"/>
              <w:spacing w:after="0" w:line="37" w:lineRule="exact"/>
              <w:rPr>
                <w:sz w:val="20"/>
                <w:szCs w:val="20"/>
                <w:color w:val="auto"/>
              </w:rPr>
            </w:pPr>
            <w:r>
              <w:rPr>
                <w:rFonts w:ascii="Arial" w:cs="Arial" w:eastAsia="Arial" w:hAnsi="Arial"/>
                <w:sz w:val="4"/>
                <w:szCs w:val="4"/>
                <w:color w:val="FFFFFF"/>
              </w:rPr>
              <w:t>and adversely affect its</w:t>
            </w:r>
          </w:p>
        </w:tc>
        <w:tc>
          <w:tcPr>
            <w:tcW w:w="3420" w:type="dxa"/>
            <w:vAlign w:val="bottom"/>
            <w:gridSpan w:val="6"/>
          </w:tcPr>
          <w:p>
            <w:pPr>
              <w:jc w:val="right"/>
              <w:spacing w:after="0" w:line="37" w:lineRule="exact"/>
              <w:rPr>
                <w:sz w:val="20"/>
                <w:szCs w:val="20"/>
                <w:color w:val="auto"/>
              </w:rPr>
            </w:pPr>
            <w:r>
              <w:rPr>
                <w:rFonts w:ascii="Arial" w:cs="Arial" w:eastAsia="Arial" w:hAnsi="Arial"/>
                <w:sz w:val="4"/>
                <w:szCs w:val="4"/>
                <w:color w:val="FFFFFF"/>
              </w:rPr>
              <w:t>financial condition and results of operations, (29) the ability to</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obtain or consummate financing or refinancing related to the transaction upon acceptable terms ormateriallyall,and (30) other risks to DuPont’business,N&amp;Bco’ and IFF’s business, operations and results of operations</w:t>
            </w:r>
          </w:p>
        </w:tc>
      </w:tr>
      <w:tr>
        <w:trPr>
          <w:trHeight w:val="36"/>
        </w:trPr>
        <w:tc>
          <w:tcPr>
            <w:tcW w:w="6100" w:type="dxa"/>
            <w:vAlign w:val="bottom"/>
            <w:gridSpan w:val="12"/>
          </w:tcPr>
          <w:p>
            <w:pPr>
              <w:ind w:left="80"/>
              <w:spacing w:after="0" w:line="37" w:lineRule="exact"/>
              <w:rPr>
                <w:sz w:val="20"/>
                <w:szCs w:val="20"/>
                <w:color w:val="auto"/>
              </w:rPr>
            </w:pPr>
            <w:r>
              <w:rPr>
                <w:rFonts w:ascii="Arial" w:cs="Arial" w:eastAsia="Arial" w:hAnsi="Arial"/>
                <w:sz w:val="4"/>
                <w:szCs w:val="4"/>
                <w:color w:val="FFFFFF"/>
              </w:rPr>
              <w:t>cluding from: failure to develop and market new products and optimally manage product life cycles; ability, cost and impact</w:t>
            </w:r>
          </w:p>
        </w:tc>
        <w:tc>
          <w:tcPr>
            <w:tcW w:w="3700" w:type="dxa"/>
            <w:vAlign w:val="bottom"/>
            <w:gridSpan w:val="7"/>
          </w:tcPr>
          <w:p>
            <w:pPr>
              <w:jc w:val="right"/>
              <w:ind w:right="20"/>
              <w:spacing w:after="0" w:line="37" w:lineRule="exact"/>
              <w:rPr>
                <w:sz w:val="20"/>
                <w:szCs w:val="20"/>
                <w:color w:val="auto"/>
              </w:rPr>
            </w:pPr>
            <w:r>
              <w:rPr>
                <w:rFonts w:ascii="Arial" w:cs="Arial" w:eastAsia="Arial" w:hAnsi="Arial"/>
                <w:sz w:val="4"/>
                <w:szCs w:val="4"/>
                <w:color w:val="FFFFFF"/>
              </w:rPr>
              <w:t>business operations, including the supply chain, of responding to changes</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in market acceptance, rules, regulations and policies and failure to respond to such changes; outcome of significant litigation, environmental matters and other commitments and contingencies; failure to</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appropriately manage process safety and product stewardship issues; global economic and capital market conditions, including the continued availability of capital and financing, as well as inflation,</w:t>
            </w:r>
          </w:p>
        </w:tc>
      </w:tr>
      <w:tr>
        <w:trPr>
          <w:trHeight w:val="36"/>
        </w:trPr>
        <w:tc>
          <w:tcPr>
            <w:tcW w:w="2260" w:type="dxa"/>
            <w:vAlign w:val="bottom"/>
            <w:gridSpan w:val="5"/>
          </w:tcPr>
          <w:p>
            <w:pPr>
              <w:ind w:left="80"/>
              <w:spacing w:after="0" w:line="37" w:lineRule="exact"/>
              <w:rPr>
                <w:sz w:val="20"/>
                <w:szCs w:val="20"/>
                <w:color w:val="auto"/>
              </w:rPr>
            </w:pPr>
            <w:r>
              <w:rPr>
                <w:rFonts w:ascii="Arial" w:cs="Arial" w:eastAsia="Arial" w:hAnsi="Arial"/>
                <w:sz w:val="4"/>
                <w:szCs w:val="4"/>
                <w:color w:val="FFFFFF"/>
              </w:rPr>
              <w:t>terest and currency exchange rates; changes</w:t>
            </w:r>
          </w:p>
        </w:tc>
        <w:tc>
          <w:tcPr>
            <w:tcW w:w="7540" w:type="dxa"/>
            <w:vAlign w:val="bottom"/>
            <w:gridSpan w:val="14"/>
          </w:tcPr>
          <w:p>
            <w:pPr>
              <w:jc w:val="right"/>
              <w:spacing w:after="0" w:line="37" w:lineRule="exact"/>
              <w:rPr>
                <w:sz w:val="20"/>
                <w:szCs w:val="20"/>
                <w:color w:val="auto"/>
              </w:rPr>
            </w:pPr>
            <w:r>
              <w:rPr>
                <w:rFonts w:ascii="Arial" w:cs="Arial" w:eastAsia="Arial" w:hAnsi="Arial"/>
                <w:sz w:val="4"/>
                <w:szCs w:val="4"/>
                <w:color w:val="FFFFFF"/>
              </w:rPr>
              <w:t>political conditions, including tariffs, trade disputes and retaliatory actions; impairment of goodwill or intangible assets; the availability of and fluctuations</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in the cost of energy and raw materials; business or supply disruption, including in connection with the Previous Distributions; security threats, such as acts of sabotage, terrorism or war, natural disasters</w:t>
            </w:r>
          </w:p>
        </w:tc>
      </w:tr>
      <w:tr>
        <w:trPr>
          <w:trHeight w:val="36"/>
        </w:trPr>
        <w:tc>
          <w:tcPr>
            <w:tcW w:w="3120" w:type="dxa"/>
            <w:vAlign w:val="bottom"/>
            <w:gridSpan w:val="6"/>
          </w:tcPr>
          <w:p>
            <w:pPr>
              <w:spacing w:after="0" w:line="37" w:lineRule="exact"/>
              <w:rPr>
                <w:sz w:val="20"/>
                <w:szCs w:val="20"/>
                <w:color w:val="auto"/>
              </w:rPr>
            </w:pPr>
            <w:r>
              <w:rPr>
                <w:rFonts w:ascii="Arial" w:cs="Arial" w:eastAsia="Arial" w:hAnsi="Arial"/>
                <w:sz w:val="4"/>
                <w:szCs w:val="4"/>
                <w:color w:val="FFFFFF"/>
              </w:rPr>
              <w:t>and weather events and patterns which could result in a</w:t>
            </w:r>
          </w:p>
        </w:tc>
        <w:tc>
          <w:tcPr>
            <w:tcW w:w="6680" w:type="dxa"/>
            <w:vAlign w:val="bottom"/>
            <w:gridSpan w:val="13"/>
          </w:tcPr>
          <w:p>
            <w:pPr>
              <w:jc w:val="right"/>
              <w:ind w:right="280"/>
              <w:spacing w:after="0" w:line="37" w:lineRule="exact"/>
              <w:rPr>
                <w:sz w:val="20"/>
                <w:szCs w:val="20"/>
                <w:color w:val="auto"/>
              </w:rPr>
            </w:pPr>
            <w:r>
              <w:rPr>
                <w:rFonts w:ascii="Arial" w:cs="Arial" w:eastAsia="Arial" w:hAnsi="Arial"/>
                <w:sz w:val="4"/>
                <w:szCs w:val="4"/>
                <w:color w:val="FFFFFF"/>
              </w:rPr>
              <w:t>operational event for DuPont, N&amp;Bco or IFF, adversely impact demand or production; ability to discover, develop and protect new</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technologies and to protect and enforce DuPont’s, N&amp;Bco’significantorIFF’s intellectual property rights; unpredictability and severity of catastrophic events, including, but not limited to, acts of terrorism or</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outbreak of war or hostilities, as w ll as management’s response to any of the aforementioned factors. These risks, as well as other risks associated with the proposed merger, will be more fully discussed</w:t>
            </w:r>
          </w:p>
        </w:tc>
      </w:tr>
      <w:tr>
        <w:trPr>
          <w:trHeight w:val="36"/>
        </w:trPr>
        <w:tc>
          <w:tcPr>
            <w:tcW w:w="8040" w:type="dxa"/>
            <w:vAlign w:val="bottom"/>
            <w:gridSpan w:val="16"/>
          </w:tcPr>
          <w:p>
            <w:pPr>
              <w:spacing w:after="0" w:line="37" w:lineRule="exact"/>
              <w:rPr>
                <w:sz w:val="20"/>
                <w:szCs w:val="20"/>
                <w:color w:val="auto"/>
              </w:rPr>
            </w:pPr>
            <w:r>
              <w:rPr>
                <w:rFonts w:ascii="Arial" w:cs="Arial" w:eastAsia="Arial" w:hAnsi="Arial"/>
                <w:sz w:val="4"/>
                <w:szCs w:val="4"/>
                <w:color w:val="FFFFFF"/>
              </w:rPr>
              <w:t>in the registration statement and merger proxy on Form S-4 to be filed by IFF and the registration statement on Form 10 to be filed by N&amp;Bco. While the list of</w:t>
            </w:r>
          </w:p>
        </w:tc>
        <w:tc>
          <w:tcPr>
            <w:tcW w:w="1760" w:type="dxa"/>
            <w:vAlign w:val="bottom"/>
            <w:gridSpan w:val="3"/>
          </w:tcPr>
          <w:p>
            <w:pPr>
              <w:jc w:val="right"/>
              <w:ind w:right="200"/>
              <w:spacing w:after="0" w:line="37" w:lineRule="exact"/>
              <w:rPr>
                <w:sz w:val="20"/>
                <w:szCs w:val="20"/>
                <w:color w:val="auto"/>
              </w:rPr>
            </w:pPr>
            <w:r>
              <w:rPr>
                <w:rFonts w:ascii="Arial" w:cs="Arial" w:eastAsia="Arial" w:hAnsi="Arial"/>
                <w:sz w:val="4"/>
                <w:szCs w:val="4"/>
                <w:color w:val="FFFFFF"/>
              </w:rPr>
              <w:t>presented here is, and the list of</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factors to be presented in any registration statement filed in connection with the transaction are, considered representative, no such list should be considered to befactorscomplete statement of all p tential risks</w:t>
            </w:r>
          </w:p>
        </w:tc>
      </w:tr>
      <w:tr>
        <w:trPr>
          <w:trHeight w:val="36"/>
        </w:trPr>
        <w:tc>
          <w:tcPr>
            <w:tcW w:w="160" w:type="dxa"/>
            <w:vAlign w:val="bottom"/>
          </w:tcPr>
          <w:p>
            <w:pPr>
              <w:spacing w:after="0" w:line="37" w:lineRule="exact"/>
              <w:rPr>
                <w:sz w:val="20"/>
                <w:szCs w:val="20"/>
                <w:color w:val="auto"/>
              </w:rPr>
            </w:pPr>
            <w:r>
              <w:rPr>
                <w:rFonts w:ascii="Arial" w:cs="Arial" w:eastAsia="Arial" w:hAnsi="Arial"/>
                <w:sz w:val="4"/>
                <w:szCs w:val="4"/>
                <w:color w:val="FFFFFF"/>
              </w:rPr>
              <w:t>and</w:t>
            </w:r>
          </w:p>
        </w:tc>
        <w:tc>
          <w:tcPr>
            <w:tcW w:w="840" w:type="dxa"/>
            <w:vAlign w:val="bottom"/>
          </w:tcPr>
          <w:p>
            <w:pPr>
              <w:jc w:val="right"/>
              <w:ind w:right="140"/>
              <w:spacing w:after="0" w:line="37" w:lineRule="exact"/>
              <w:rPr>
                <w:sz w:val="20"/>
                <w:szCs w:val="20"/>
                <w:color w:val="auto"/>
              </w:rPr>
            </w:pPr>
            <w:r>
              <w:rPr>
                <w:rFonts w:ascii="Arial" w:cs="Arial" w:eastAsia="Arial" w:hAnsi="Arial"/>
                <w:sz w:val="4"/>
                <w:szCs w:val="4"/>
                <w:color w:val="FFFFFF"/>
              </w:rPr>
              <w:t>.</w:t>
            </w:r>
          </w:p>
        </w:tc>
        <w:tc>
          <w:tcPr>
            <w:tcW w:w="8800" w:type="dxa"/>
            <w:vAlign w:val="bottom"/>
            <w:gridSpan w:val="17"/>
          </w:tcPr>
          <w:p>
            <w:pPr>
              <w:jc w:val="right"/>
              <w:spacing w:after="0" w:line="37" w:lineRule="exact"/>
              <w:rPr>
                <w:sz w:val="20"/>
                <w:szCs w:val="20"/>
                <w:color w:val="auto"/>
              </w:rPr>
            </w:pPr>
            <w:r>
              <w:rPr>
                <w:rFonts w:ascii="Arial" w:cs="Arial" w:eastAsia="Arial" w:hAnsi="Arial"/>
                <w:sz w:val="4"/>
                <w:szCs w:val="4"/>
                <w:color w:val="FFFFFF"/>
              </w:rPr>
              <w:t>factors may present significant additional obstacles to the realization of forward looking statements. Further lists and descriptions of risks and uncertainties can be found in each</w:t>
            </w:r>
          </w:p>
        </w:tc>
      </w:tr>
      <w:tr>
        <w:trPr>
          <w:trHeight w:val="36"/>
        </w:trPr>
        <w:tc>
          <w:tcPr>
            <w:tcW w:w="5140" w:type="dxa"/>
            <w:vAlign w:val="bottom"/>
            <w:gridSpan w:val="10"/>
          </w:tcPr>
          <w:p>
            <w:pPr>
              <w:spacing w:after="0" w:line="37" w:lineRule="exact"/>
              <w:rPr>
                <w:sz w:val="20"/>
                <w:szCs w:val="20"/>
                <w:color w:val="auto"/>
              </w:rPr>
            </w:pPr>
            <w:r>
              <w:rPr>
                <w:rFonts w:ascii="Arial" w:cs="Arial" w:eastAsia="Arial" w:hAnsi="Arial"/>
                <w:sz w:val="4"/>
                <w:szCs w:val="4"/>
                <w:color w:val="FFFFFF"/>
              </w:rPr>
              <w:t>of IFF’uncertaintiesandDuPont’UnlistedForm 10-Q for the period ended September 30, 2019 and each of IFF’s and DuPont’</w:t>
            </w:r>
          </w:p>
        </w:tc>
        <w:tc>
          <w:tcPr>
            <w:tcW w:w="4660" w:type="dxa"/>
            <w:vAlign w:val="bottom"/>
            <w:gridSpan w:val="9"/>
          </w:tcPr>
          <w:p>
            <w:pPr>
              <w:jc w:val="right"/>
              <w:ind w:right="60"/>
              <w:spacing w:after="0" w:line="37" w:lineRule="exact"/>
              <w:rPr>
                <w:sz w:val="20"/>
                <w:szCs w:val="20"/>
                <w:color w:val="auto"/>
              </w:rPr>
            </w:pPr>
            <w:r>
              <w:rPr>
                <w:rFonts w:ascii="Arial" w:cs="Arial" w:eastAsia="Arial" w:hAnsi="Arial"/>
                <w:sz w:val="4"/>
                <w:szCs w:val="4"/>
                <w:color w:val="FFFFFF"/>
              </w:rPr>
              <w:t>respective subsequent reports on Form 10-Q, Form 10-K and Form 8-K, the contents of which</w:t>
            </w:r>
          </w:p>
        </w:tc>
      </w:tr>
      <w:tr>
        <w:trPr>
          <w:trHeight w:val="36"/>
        </w:trPr>
        <w:tc>
          <w:tcPr>
            <w:tcW w:w="4800" w:type="dxa"/>
            <w:vAlign w:val="bottom"/>
            <w:gridSpan w:val="9"/>
          </w:tcPr>
          <w:p>
            <w:pPr>
              <w:spacing w:after="0" w:line="37" w:lineRule="exact"/>
              <w:rPr>
                <w:sz w:val="20"/>
                <w:szCs w:val="20"/>
                <w:color w:val="auto"/>
              </w:rPr>
            </w:pPr>
            <w:r>
              <w:rPr>
                <w:rFonts w:ascii="Arial" w:cs="Arial" w:eastAsia="Arial" w:hAnsi="Arial"/>
                <w:sz w:val="4"/>
                <w:szCs w:val="4"/>
                <w:color w:val="FFFFFF"/>
              </w:rPr>
              <w:t>are not incorporated by reference into, nor do they form part of, this announcement. Any other risks</w:t>
            </w:r>
          </w:p>
        </w:tc>
        <w:tc>
          <w:tcPr>
            <w:tcW w:w="340" w:type="dxa"/>
            <w:vAlign w:val="bottom"/>
          </w:tcPr>
          <w:p>
            <w:pPr>
              <w:spacing w:after="0"/>
              <w:rPr>
                <w:sz w:val="3"/>
                <w:szCs w:val="3"/>
                <w:color w:val="auto"/>
              </w:rPr>
            </w:pPr>
          </w:p>
        </w:tc>
        <w:tc>
          <w:tcPr>
            <w:tcW w:w="4660" w:type="dxa"/>
            <w:vAlign w:val="bottom"/>
            <w:gridSpan w:val="9"/>
          </w:tcPr>
          <w:p>
            <w:pPr>
              <w:jc w:val="right"/>
              <w:spacing w:after="0" w:line="37" w:lineRule="exact"/>
              <w:rPr>
                <w:sz w:val="20"/>
                <w:szCs w:val="20"/>
                <w:color w:val="auto"/>
              </w:rPr>
            </w:pPr>
            <w:r>
              <w:rPr>
                <w:rFonts w:ascii="Arial" w:cs="Arial" w:eastAsia="Arial" w:hAnsi="Arial"/>
                <w:sz w:val="4"/>
                <w:szCs w:val="4"/>
                <w:color w:val="FFFFFF"/>
              </w:rPr>
              <w:t>with the proposed transaction will be more fully discussed in any registration statement filed</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with the SEC. While the list of factors presented here is, and the list of factors that may be presentedassociatedinregistration statement of IFF or N&amp;Bco would be, considered representative, no such list should</w:t>
            </w:r>
          </w:p>
        </w:tc>
      </w:tr>
      <w:tr>
        <w:trPr>
          <w:trHeight w:val="36"/>
        </w:trPr>
        <w:tc>
          <w:tcPr>
            <w:tcW w:w="1000" w:type="dxa"/>
            <w:vAlign w:val="bottom"/>
            <w:gridSpan w:val="2"/>
          </w:tcPr>
          <w:p>
            <w:pPr>
              <w:spacing w:after="0" w:line="37" w:lineRule="exact"/>
              <w:rPr>
                <w:sz w:val="20"/>
                <w:szCs w:val="20"/>
                <w:color w:val="auto"/>
              </w:rPr>
            </w:pPr>
            <w:r>
              <w:rPr>
                <w:rFonts w:ascii="Arial" w:cs="Arial" w:eastAsia="Arial" w:hAnsi="Arial"/>
                <w:sz w:val="4"/>
                <w:szCs w:val="4"/>
                <w:color w:val="FFFFFF"/>
              </w:rPr>
              <w:t>be considered to be</w:t>
            </w:r>
          </w:p>
        </w:tc>
        <w:tc>
          <w:tcPr>
            <w:tcW w:w="8800" w:type="dxa"/>
            <w:vAlign w:val="bottom"/>
            <w:gridSpan w:val="17"/>
          </w:tcPr>
          <w:p>
            <w:pPr>
              <w:jc w:val="center"/>
              <w:ind w:right="640"/>
              <w:spacing w:after="0" w:line="37" w:lineRule="exact"/>
              <w:rPr>
                <w:sz w:val="20"/>
                <w:szCs w:val="20"/>
                <w:color w:val="auto"/>
              </w:rPr>
            </w:pPr>
            <w:r>
              <w:rPr>
                <w:rFonts w:ascii="Arial" w:cs="Arial" w:eastAsia="Arial" w:hAnsi="Arial"/>
                <w:sz w:val="4"/>
                <w:szCs w:val="4"/>
                <w:color w:val="FFFFFF"/>
              </w:rPr>
              <w:t>complete statement of all potential risks and uncertainties. Unlisted factors may present significant additional obstacles to the realization of forward looking statements.</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Consequences of material differences in results as compared with those anticipated in the forward-looking statements could include, among other things, business disruption, operational problems,</w:t>
            </w:r>
          </w:p>
        </w:tc>
      </w:tr>
      <w:tr>
        <w:trPr>
          <w:trHeight w:val="36"/>
        </w:trPr>
        <w:tc>
          <w:tcPr>
            <w:tcW w:w="6380" w:type="dxa"/>
            <w:vAlign w:val="bottom"/>
            <w:gridSpan w:val="13"/>
          </w:tcPr>
          <w:p>
            <w:pPr>
              <w:spacing w:after="0" w:line="37" w:lineRule="exact"/>
              <w:rPr>
                <w:sz w:val="20"/>
                <w:szCs w:val="20"/>
                <w:color w:val="auto"/>
              </w:rPr>
            </w:pPr>
            <w:r>
              <w:rPr>
                <w:rFonts w:ascii="Arial" w:cs="Arial" w:eastAsia="Arial" w:hAnsi="Arial"/>
                <w:sz w:val="4"/>
                <w:szCs w:val="4"/>
                <w:color w:val="FFFFFF"/>
              </w:rPr>
              <w:t>financial loss, legal liability to third parties and similar risks, any of which could have a material adverse effect on IFF’s, DuPont’s</w:t>
            </w:r>
          </w:p>
        </w:tc>
        <w:tc>
          <w:tcPr>
            <w:tcW w:w="3420" w:type="dxa"/>
            <w:vAlign w:val="bottom"/>
            <w:gridSpan w:val="6"/>
          </w:tcPr>
          <w:p>
            <w:pPr>
              <w:jc w:val="right"/>
              <w:ind w:right="260"/>
              <w:spacing w:after="0" w:line="37" w:lineRule="exact"/>
              <w:rPr>
                <w:sz w:val="20"/>
                <w:szCs w:val="20"/>
                <w:color w:val="auto"/>
              </w:rPr>
            </w:pPr>
            <w:r>
              <w:rPr>
                <w:rFonts w:ascii="Arial" w:cs="Arial" w:eastAsia="Arial" w:hAnsi="Arial"/>
                <w:sz w:val="4"/>
                <w:szCs w:val="4"/>
                <w:color w:val="FFFFFF"/>
              </w:rPr>
              <w:t>N&amp;Bco’s consolidated financial condition, results of operations,</w:t>
            </w:r>
          </w:p>
        </w:tc>
      </w:tr>
      <w:tr>
        <w:trPr>
          <w:trHeight w:val="36"/>
        </w:trPr>
        <w:tc>
          <w:tcPr>
            <w:tcW w:w="8220" w:type="dxa"/>
            <w:vAlign w:val="bottom"/>
            <w:gridSpan w:val="17"/>
          </w:tcPr>
          <w:p>
            <w:pPr>
              <w:spacing w:after="0" w:line="37" w:lineRule="exact"/>
              <w:rPr>
                <w:sz w:val="20"/>
                <w:szCs w:val="20"/>
                <w:color w:val="auto"/>
              </w:rPr>
            </w:pPr>
            <w:r>
              <w:rPr>
                <w:rFonts w:ascii="Arial" w:cs="Arial" w:eastAsia="Arial" w:hAnsi="Arial"/>
                <w:sz w:val="4"/>
                <w:szCs w:val="4"/>
                <w:color w:val="FFFFFF"/>
              </w:rPr>
              <w:t>credit rating or liquidity. None of IFF, DuPont nor N&amp;Bco assumes any obligation to publicly provide revisions or updates to any forward-looking statements, whether as</w:t>
            </w:r>
          </w:p>
        </w:tc>
        <w:tc>
          <w:tcPr>
            <w:tcW w:w="1580" w:type="dxa"/>
            <w:vAlign w:val="bottom"/>
            <w:gridSpan w:val="2"/>
          </w:tcPr>
          <w:p>
            <w:pPr>
              <w:jc w:val="right"/>
              <w:ind w:right="900"/>
              <w:spacing w:after="0" w:line="37" w:lineRule="exact"/>
              <w:rPr>
                <w:sz w:val="20"/>
                <w:szCs w:val="20"/>
                <w:color w:val="auto"/>
              </w:rPr>
            </w:pPr>
            <w:r>
              <w:rPr>
                <w:rFonts w:ascii="Arial" w:cs="Arial" w:eastAsia="Arial" w:hAnsi="Arial"/>
                <w:sz w:val="4"/>
                <w:szCs w:val="4"/>
                <w:color w:val="FFFFFF"/>
              </w:rPr>
              <w:t>result of new</w:t>
            </w:r>
          </w:p>
        </w:tc>
      </w:tr>
      <w:tr>
        <w:trPr>
          <w:trHeight w:val="36"/>
        </w:trPr>
        <w:tc>
          <w:tcPr>
            <w:tcW w:w="9800" w:type="dxa"/>
            <w:vAlign w:val="bottom"/>
            <w:gridSpan w:val="19"/>
          </w:tcPr>
          <w:p>
            <w:pPr>
              <w:spacing w:after="0" w:line="37" w:lineRule="exact"/>
              <w:rPr>
                <w:sz w:val="20"/>
                <w:szCs w:val="20"/>
                <w:color w:val="auto"/>
              </w:rPr>
            </w:pPr>
            <w:r>
              <w:rPr>
                <w:rFonts w:ascii="Arial" w:cs="Arial" w:eastAsia="Arial" w:hAnsi="Arial"/>
                <w:sz w:val="4"/>
                <w:szCs w:val="4"/>
                <w:color w:val="FFFFFF"/>
              </w:rPr>
              <w:t>future developments or otherwise, should circumstances change, except as otherwise required by securities and other applicable laws. Participants in the Solicitation This communicationinformation,isnot</w:t>
            </w:r>
          </w:p>
        </w:tc>
      </w:tr>
      <w:tr>
        <w:trPr>
          <w:trHeight w:val="36"/>
        </w:trPr>
        <w:tc>
          <w:tcPr>
            <w:tcW w:w="4800" w:type="dxa"/>
            <w:vAlign w:val="bottom"/>
            <w:gridSpan w:val="9"/>
          </w:tcPr>
          <w:p>
            <w:pPr>
              <w:spacing w:after="0" w:line="37" w:lineRule="exact"/>
              <w:rPr>
                <w:sz w:val="20"/>
                <w:szCs w:val="20"/>
                <w:color w:val="auto"/>
              </w:rPr>
            </w:pPr>
            <w:r>
              <w:rPr>
                <w:rFonts w:ascii="Arial" w:cs="Arial" w:eastAsia="Arial" w:hAnsi="Arial"/>
                <w:sz w:val="4"/>
                <w:szCs w:val="4"/>
                <w:color w:val="FFFFFF"/>
              </w:rPr>
              <w:t>solicitation of a proxy from any investor or security holder. However, DuPont, IFF and certain of</w:t>
            </w:r>
          </w:p>
        </w:tc>
        <w:tc>
          <w:tcPr>
            <w:tcW w:w="5000" w:type="dxa"/>
            <w:vAlign w:val="bottom"/>
            <w:gridSpan w:val="10"/>
          </w:tcPr>
          <w:p>
            <w:pPr>
              <w:jc w:val="right"/>
              <w:ind w:right="180"/>
              <w:spacing w:after="0" w:line="37" w:lineRule="exact"/>
              <w:rPr>
                <w:sz w:val="20"/>
                <w:szCs w:val="20"/>
                <w:color w:val="auto"/>
              </w:rPr>
            </w:pPr>
            <w:r>
              <w:rPr>
                <w:rFonts w:ascii="Arial" w:cs="Arial" w:eastAsia="Arial" w:hAnsi="Arial"/>
                <w:sz w:val="4"/>
                <w:szCs w:val="4"/>
                <w:color w:val="FFFFFF"/>
              </w:rPr>
              <w:t>respective directors and executive officers may be deemed to be participants in the solicitation of</w:t>
            </w:r>
          </w:p>
        </w:tc>
      </w:tr>
      <w:tr>
        <w:trPr>
          <w:trHeight w:val="36"/>
        </w:trPr>
        <w:tc>
          <w:tcPr>
            <w:tcW w:w="1000" w:type="dxa"/>
            <w:vAlign w:val="bottom"/>
            <w:gridSpan w:val="2"/>
          </w:tcPr>
          <w:p>
            <w:pPr>
              <w:spacing w:after="0" w:line="37" w:lineRule="exact"/>
              <w:rPr>
                <w:sz w:val="20"/>
                <w:szCs w:val="20"/>
                <w:color w:val="auto"/>
              </w:rPr>
            </w:pPr>
            <w:r>
              <w:rPr>
                <w:rFonts w:ascii="Arial" w:cs="Arial" w:eastAsia="Arial" w:hAnsi="Arial"/>
                <w:sz w:val="4"/>
                <w:szCs w:val="4"/>
                <w:color w:val="FFFFFF"/>
              </w:rPr>
              <w:t>proxies in</w:t>
            </w:r>
          </w:p>
        </w:tc>
        <w:tc>
          <w:tcPr>
            <w:tcW w:w="3080" w:type="dxa"/>
            <w:vAlign w:val="bottom"/>
            <w:gridSpan w:val="5"/>
          </w:tcPr>
          <w:p>
            <w:pPr>
              <w:ind w:left="60"/>
              <w:spacing w:after="0" w:line="37" w:lineRule="exact"/>
              <w:rPr>
                <w:sz w:val="20"/>
                <w:szCs w:val="20"/>
                <w:color w:val="auto"/>
              </w:rPr>
            </w:pPr>
            <w:r>
              <w:rPr>
                <w:rFonts w:ascii="Arial" w:cs="Arial" w:eastAsia="Arial" w:hAnsi="Arial"/>
                <w:sz w:val="4"/>
                <w:szCs w:val="4"/>
                <w:color w:val="FFFFFF"/>
              </w:rPr>
              <w:t>with the proposed transaction under the rules of the SEC.</w:t>
            </w:r>
          </w:p>
        </w:tc>
        <w:tc>
          <w:tcPr>
            <w:tcW w:w="340" w:type="dxa"/>
            <w:vAlign w:val="bottom"/>
          </w:tcPr>
          <w:p>
            <w:pPr>
              <w:spacing w:after="0"/>
              <w:rPr>
                <w:sz w:val="3"/>
                <w:szCs w:val="3"/>
                <w:color w:val="auto"/>
              </w:rPr>
            </w:pPr>
          </w:p>
        </w:tc>
        <w:tc>
          <w:tcPr>
            <w:tcW w:w="5380" w:type="dxa"/>
            <w:vAlign w:val="bottom"/>
            <w:gridSpan w:val="11"/>
          </w:tcPr>
          <w:p>
            <w:pPr>
              <w:jc w:val="right"/>
              <w:ind w:right="160"/>
              <w:spacing w:after="0" w:line="37" w:lineRule="exact"/>
              <w:rPr>
                <w:sz w:val="20"/>
                <w:szCs w:val="20"/>
                <w:color w:val="auto"/>
              </w:rPr>
            </w:pPr>
            <w:r>
              <w:rPr>
                <w:rFonts w:ascii="Arial" w:cs="Arial" w:eastAsia="Arial" w:hAnsi="Arial"/>
                <w:sz w:val="4"/>
                <w:szCs w:val="4"/>
                <w:color w:val="FFFFFF"/>
              </w:rPr>
              <w:t>abouttheir directors and executive officers of DuPont may be found in its Annual Report on Form 10-K filed</w:t>
            </w:r>
          </w:p>
        </w:tc>
      </w:tr>
      <w:tr>
        <w:trPr>
          <w:trHeight w:val="0"/>
        </w:trPr>
        <w:tc>
          <w:tcPr>
            <w:tcW w:w="4420" w:type="dxa"/>
            <w:vAlign w:val="bottom"/>
            <w:gridSpan w:val="8"/>
          </w:tcPr>
          <w:p>
            <w:pPr>
              <w:spacing w:after="0" w:line="71" w:lineRule="exact"/>
              <w:rPr>
                <w:sz w:val="20"/>
                <w:szCs w:val="20"/>
                <w:color w:val="auto"/>
              </w:rPr>
            </w:pPr>
            <w:r>
              <w:rPr>
                <w:rFonts w:ascii="Arial" w:cs="Arial" w:eastAsia="Arial" w:hAnsi="Arial"/>
                <w:sz w:val="8"/>
                <w:szCs w:val="8"/>
                <w:color w:val="FFFFFF"/>
              </w:rPr>
              <w:t>with the SECconnectionFebruary 11, 2019 and its definitive proxy statement filed withInformationtheSEC</w:t>
            </w:r>
          </w:p>
        </w:tc>
        <w:tc>
          <w:tcPr>
            <w:tcW w:w="1320" w:type="dxa"/>
            <w:vAlign w:val="bottom"/>
            <w:gridSpan w:val="3"/>
          </w:tcPr>
          <w:p>
            <w:pPr>
              <w:ind w:left="20"/>
              <w:spacing w:after="0" w:line="71" w:lineRule="exact"/>
              <w:rPr>
                <w:sz w:val="20"/>
                <w:szCs w:val="20"/>
                <w:color w:val="auto"/>
              </w:rPr>
            </w:pPr>
            <w:r>
              <w:rPr>
                <w:rFonts w:ascii="Arial" w:cs="Arial" w:eastAsia="Arial" w:hAnsi="Arial"/>
                <w:sz w:val="8"/>
                <w:szCs w:val="8"/>
                <w:color w:val="FFFFFF"/>
              </w:rPr>
              <w:t>May 1, 2019. Information</w:t>
            </w:r>
          </w:p>
        </w:tc>
        <w:tc>
          <w:tcPr>
            <w:tcW w:w="4060" w:type="dxa"/>
            <w:vAlign w:val="bottom"/>
            <w:gridSpan w:val="8"/>
          </w:tcPr>
          <w:p>
            <w:pPr>
              <w:jc w:val="right"/>
              <w:spacing w:after="0" w:line="71" w:lineRule="exact"/>
              <w:rPr>
                <w:sz w:val="20"/>
                <w:szCs w:val="20"/>
                <w:color w:val="auto"/>
              </w:rPr>
            </w:pPr>
            <w:r>
              <w:rPr>
                <w:rFonts w:ascii="Arial" w:cs="Arial" w:eastAsia="Arial" w:hAnsi="Arial"/>
                <w:sz w:val="8"/>
                <w:szCs w:val="8"/>
                <w:color w:val="FFFFFF"/>
              </w:rPr>
              <w:t>the directors and executive officers of IFF may be found in its definitive proxy</w:t>
            </w:r>
          </w:p>
        </w:tc>
      </w:tr>
    </w:tbl>
    <w:p>
      <w:pPr>
        <w:ind w:right="380"/>
        <w:spacing w:after="0" w:line="187" w:lineRule="auto"/>
        <w:rPr>
          <w:sz w:val="20"/>
          <w:szCs w:val="20"/>
          <w:color w:val="auto"/>
        </w:rPr>
      </w:pPr>
      <w:r>
        <w:rPr>
          <w:rFonts w:ascii="Arial" w:cs="Arial" w:eastAsia="Arial" w:hAnsi="Arial"/>
          <w:sz w:val="8"/>
          <w:szCs w:val="8"/>
          <w:color w:val="FFFFFF"/>
        </w:rPr>
        <w:t>statement filed with the SEC on March 18, 2019. Other information regarding the participants in the proxy solicitation aboutand description of their direct and indirect interests, by security holdings or otherwise, will be contained in the registration statements, prospectuses and proxy statement and other relevant materials to be filed with the SEC when they become available.</w:t>
      </w:r>
    </w:p>
    <w:p>
      <w:pPr>
        <w:sectPr>
          <w:pgSz w:w="11900" w:h="16838" w:orient="portrait"/>
          <w:cols w:equalWidth="0" w:num="1">
            <w:col w:w="9800"/>
          </w:cols>
          <w:pgMar w:left="1060" w:top="1440" w:right="1039" w:bottom="1440" w:gutter="0" w:footer="0" w:header="0"/>
        </w:sectPr>
      </w:pPr>
    </w:p>
    <w:bookmarkStart w:id="76" w:name="page77"/>
    <w:bookmarkEnd w:id="76"/>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99.6</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Video Transcript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Andreas Fibig, Chairman and Chief Executive Officer of IFF:</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Hello, I’m Andreas Fibig, CEO &amp; Chairman of IFF.</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Edward Breen, Executive Chairman of DuPont: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And I’m Ed Breen, Executive Chairman of DuPont.</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Mr. Fibig:</w:t>
      </w:r>
    </w:p>
    <w:p>
      <w:pPr>
        <w:spacing w:after="0" w:line="108"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We are very excited to announce that IFF has entered into a definitive agreement to combine with DuPont’s Nutrition and Bioscience business, a world leader in food science and biotechnology.</w:t>
      </w:r>
    </w:p>
    <w:p>
      <w:pPr>
        <w:spacing w:after="0" w:line="152"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This combination will create a category-defining company that will deliver what our customers demand: high-quality products, innovative solutions and a partnership to drive growth.</w:t>
      </w:r>
    </w:p>
    <w:p>
      <w:pPr>
        <w:spacing w:after="0" w:line="152"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We will be a new ingredients and solutions provider with a unique ability to deliver differentiated, integrated solutions to thousands of customers across a broad range of end-markets.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Mr. Breen:</w:t>
      </w:r>
    </w:p>
    <w:p>
      <w:pPr>
        <w:spacing w:after="0" w:line="108" w:lineRule="exact"/>
        <w:rPr>
          <w:sz w:val="20"/>
          <w:szCs w:val="20"/>
          <w:color w:val="auto"/>
        </w:rPr>
      </w:pPr>
    </w:p>
    <w:p>
      <w:pPr>
        <w:ind w:right="380"/>
        <w:spacing w:after="0" w:line="277" w:lineRule="auto"/>
        <w:rPr>
          <w:sz w:val="20"/>
          <w:szCs w:val="20"/>
          <w:color w:val="auto"/>
        </w:rPr>
      </w:pPr>
      <w:r>
        <w:rPr>
          <w:rFonts w:ascii="Arial" w:cs="Arial" w:eastAsia="Arial" w:hAnsi="Arial"/>
          <w:sz w:val="16"/>
          <w:szCs w:val="16"/>
          <w:color w:val="auto"/>
        </w:rPr>
        <w:t>And IFF and DuPont’s Nutrition &amp; Bioscience businesses are really both terrific businesses and organizations. We’re really bringing the best of the industry together in this transaction.</w:t>
      </w:r>
    </w:p>
    <w:p>
      <w:pPr>
        <w:spacing w:after="0" w:line="15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When I joined DuPont four years ago, and I learned about this industry, I was so excited with the growth prospects and for almost four years I have been thinking about what if we could possibly get N&amp;B and IFF together to create a global leading company.</w:t>
      </w:r>
    </w:p>
    <w:p>
      <w:pPr>
        <w:spacing w:after="0" w:line="152"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These two organizations are well matched. We really have three pillars in my mind: we have a strong, long-lasting customer relationship at both companies. We both are steeped in innovation, and that’s our history, we both spend a lot of money on R&amp;D and now we will kind of have double the effort in that area. And both organizations are committed to sustainability, and Andreas I know you personally are very committed to that and lead an organization on that, so that is great.</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Mr. Fibig:</w:t>
      </w:r>
    </w:p>
    <w:p>
      <w:pPr>
        <w:spacing w:after="0" w:line="108"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Here are just two examples of many incredible opportunities ahead of us with this combination. Today, IFF provides the flavors, seasonings, taste modulation and natural color for plant-based burgers, while Nutrition &amp; Bioscience provides the texturants and the plant-based proteins. Together, we are present in roll, cheese, and burger.</w:t>
      </w:r>
    </w:p>
    <w:p>
      <w:pPr>
        <w:spacing w:after="0" w:line="162"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In Personal Care for example, IFF provides an encapsulation delivery system and scent products for detergents, with Nutrition &amp; Bioscience providing the enzymes for fluidity and stain removal. In each example, our combined company will be able to deliver all of these products in one differentiated solution to our customers.</w:t>
      </w:r>
    </w:p>
    <w:p>
      <w:pPr>
        <w:sectPr>
          <w:pgSz w:w="11900" w:h="16838" w:orient="portrait"/>
          <w:cols w:equalWidth="0" w:num="1">
            <w:col w:w="9800"/>
          </w:cols>
          <w:pgMar w:left="1060" w:top="255" w:right="10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Video Transcript</w:t>
      </w:r>
    </w:p>
    <w:p>
      <w:pPr>
        <w:spacing w:after="0" w:line="120"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Our leading R&amp;D capabilities are best-in-class. These R&amp;D platforms will help us to lead the industry’s evolution and provide a differentiated offering to our customers.</w:t>
      </w:r>
    </w:p>
    <w:p>
      <w:pPr>
        <w:spacing w:after="0" w:line="152" w:lineRule="exact"/>
        <w:rPr>
          <w:sz w:val="20"/>
          <w:szCs w:val="20"/>
          <w:color w:val="auto"/>
        </w:rPr>
      </w:pPr>
    </w:p>
    <w:p>
      <w:pPr>
        <w:ind w:right="380"/>
        <w:spacing w:after="0" w:line="277" w:lineRule="auto"/>
        <w:rPr>
          <w:sz w:val="20"/>
          <w:szCs w:val="20"/>
          <w:color w:val="auto"/>
        </w:rPr>
      </w:pPr>
      <w:r>
        <w:rPr>
          <w:rFonts w:ascii="Arial" w:cs="Arial" w:eastAsia="Arial" w:hAnsi="Arial"/>
          <w:sz w:val="16"/>
          <w:szCs w:val="16"/>
          <w:color w:val="auto"/>
        </w:rPr>
        <w:t>Our culture will combine the best of science and creativity, and we will be a strong innovation partner to our customers in nutrition, household and personal care of companies of all sizes.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Mr. Breen:</w:t>
      </w:r>
    </w:p>
    <w:p>
      <w:pPr>
        <w:spacing w:after="0" w:line="108" w:lineRule="exact"/>
        <w:rPr>
          <w:sz w:val="20"/>
          <w:szCs w:val="20"/>
          <w:color w:val="auto"/>
        </w:rPr>
      </w:pPr>
    </w:p>
    <w:p>
      <w:pPr>
        <w:ind w:right="380"/>
        <w:spacing w:after="0" w:line="277" w:lineRule="auto"/>
        <w:rPr>
          <w:sz w:val="20"/>
          <w:szCs w:val="20"/>
          <w:color w:val="auto"/>
        </w:rPr>
      </w:pPr>
      <w:r>
        <w:rPr>
          <w:rFonts w:ascii="Arial" w:cs="Arial" w:eastAsia="Arial" w:hAnsi="Arial"/>
          <w:sz w:val="16"/>
          <w:szCs w:val="16"/>
          <w:color w:val="auto"/>
        </w:rPr>
        <w:t>This combination is really a merger of equals. We are bringing together the best of both organizations and there will be leadership from both of the companies coming together in leading this new company.</w:t>
      </w:r>
    </w:p>
    <w:p>
      <w:pPr>
        <w:spacing w:after="0" w:line="152" w:lineRule="exact"/>
        <w:rPr>
          <w:sz w:val="20"/>
          <w:szCs w:val="20"/>
          <w:color w:val="auto"/>
        </w:rPr>
      </w:pPr>
    </w:p>
    <w:p>
      <w:pPr>
        <w:spacing w:after="0" w:line="351" w:lineRule="auto"/>
        <w:rPr>
          <w:sz w:val="20"/>
          <w:szCs w:val="20"/>
          <w:color w:val="auto"/>
        </w:rPr>
      </w:pPr>
      <w:r>
        <w:rPr>
          <w:rFonts w:ascii="Arial" w:cs="Arial" w:eastAsia="Arial" w:hAnsi="Arial"/>
          <w:sz w:val="14"/>
          <w:szCs w:val="14"/>
          <w:color w:val="auto"/>
        </w:rPr>
        <w:t>Andreas will be the CEO of this combined company and I’m really excited about that with your leadership and the track record you’ve had with this company. And I’m very excited to be taking on the role, after we merge the companies and close the deal, as Lead Director of the Board of the company.</w:t>
      </w:r>
    </w:p>
    <w:p>
      <w:pPr>
        <w:spacing w:after="0" w:line="10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Board will include directors from IFF and appointees from DuPont. Following the transaction, DuPont shareholders will own 55.4% of the shares of the combined company, while existing IFF shareholders will own the remaining 44.6% of the company.</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Mr. Fibig:</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This is an exciting day. I would say a day writing history for both organizations and our teams.</w:t>
      </w:r>
    </w:p>
    <w:p>
      <w:pPr>
        <w:spacing w:after="0" w:line="200" w:lineRule="exact"/>
        <w:rPr>
          <w:sz w:val="20"/>
          <w:szCs w:val="20"/>
          <w:color w:val="auto"/>
        </w:rPr>
      </w:pPr>
    </w:p>
    <w:p>
      <w:pPr>
        <w:ind w:right="60"/>
        <w:spacing w:after="0" w:line="351" w:lineRule="auto"/>
        <w:rPr>
          <w:sz w:val="20"/>
          <w:szCs w:val="20"/>
          <w:color w:val="auto"/>
        </w:rPr>
      </w:pPr>
      <w:r>
        <w:rPr>
          <w:rFonts w:ascii="Arial" w:cs="Arial" w:eastAsia="Arial" w:hAnsi="Arial"/>
          <w:sz w:val="14"/>
          <w:szCs w:val="14"/>
          <w:color w:val="auto"/>
        </w:rPr>
        <w:t>And today is just the beginning. It’s important to note that this combination is subject to regulatory and shareholder approval and will take some time to complete. Until then, IFF and DuPont Nutrition &amp; Bioscience unit will remain independent entities and will continue to operate business as usual.</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We do not anticipate any disruption to the way we will work with our valued customers, suppliers or other partners.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Our integrated workforces will have the potential to unlock growth, spur even greater creativity and exciting innovation potential.</w:t>
      </w:r>
    </w:p>
    <w:p>
      <w:pPr>
        <w:spacing w:after="0" w:line="200"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As we move forward over the coming months, we look forward to sharing more about how our customers, employees, shareholders and communities will benefit from this very exciting new opportunity.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And thank you, Ed.</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Mr. Breen: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Thank you, Andreas and thanks, also from the DuPont N&amp;B team.</w:t>
      </w:r>
    </w:p>
    <w:p>
      <w:pPr>
        <w:sectPr>
          <w:pgSz w:w="11900" w:h="16838" w:orient="portrait"/>
          <w:cols w:equalWidth="0" w:num="1">
            <w:col w:w="9780"/>
          </w:cols>
          <w:pgMar w:left="1060" w:top="255" w:right="105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Video Transcript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08"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This communication is not intended to and shall not constitute an offer to sell or the solicitation of an offer to sell or the solicitation of an offer to buy any securities or a solicitation of any vote of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In connection with the proposed combination of Nutrition &amp; Biosciences, Inc. (“N&amp;Bco”), a wholly owned subsidiary of DuPont de Nemours, Inc. (“DuPont”), and International Flavors &amp; Fragrances Inc. (“IFF”), which will immediately follow the proposed separation of N&amp;Bco from DuPont (the “proposed transaction”), N&amp;Bco, IFF, Neptune Merger Sub I Inc. (“Merger Sub I”) and Neptune Merger Sub II LLC (“Merger Sub II”) intend to file relevant materials with the SEC, including a registration statement on Form S-4 that will include a proxy statement/prospectus relating to the proposed transaction. In addition, N&amp;Bco expects to file a registration statement in connection with its separation from DuPont. INVESTORS AND SECURITY HOLDERS ARE URGED TO READ THE REGISTRATION STATEMENTS, PROXY STATEMENT/PROSPECTUS AND ANY OTHER RELEVANT DOCUMENTS WHEN THEY BECOME AVAILABLE BECAUSE THEY WILL CONTAIN IMPORTANT INFORMATION ABOUT IFF, N&amp;BCO, MERGER SUB I, MERGER SUB II AND THE PROPOSED TRANSACTION. A definitive proxy statement will be sent to shareholders of IFF seeking approval of the proposed transaction. The documents relating to the proposed transaction (when they are available) can be obtained free of charge from the SEC’s website at www.sec.gov. Free copies of these documents, once available, and each of the companies’ other filings with the SEC may also be obtained from the respective companies by contacting the investor relations department of DuPont or IFF at the following:</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on Forward-Looking Statements</w:t>
      </w:r>
    </w:p>
    <w:p>
      <w:pPr>
        <w:spacing w:after="0" w:line="108" w:lineRule="exact"/>
        <w:rPr>
          <w:sz w:val="20"/>
          <w:szCs w:val="20"/>
          <w:color w:val="auto"/>
        </w:rPr>
      </w:pPr>
    </w:p>
    <w:p>
      <w:pPr>
        <w:ind w:right="100"/>
        <w:spacing w:after="0" w:line="271" w:lineRule="auto"/>
        <w:rPr>
          <w:sz w:val="20"/>
          <w:szCs w:val="20"/>
          <w:color w:val="auto"/>
        </w:rPr>
      </w:pPr>
      <w:r>
        <w:rPr>
          <w:rFonts w:ascii="Arial" w:cs="Arial" w:eastAsia="Arial" w:hAnsi="Arial"/>
          <w:sz w:val="15"/>
          <w:szCs w:val="15"/>
          <w:color w:val="auto"/>
        </w:rPr>
        <w:t>This communication contains “forward-looking statements” within the meaning of the federal securities laws, including Section 27A of the Securities Act, and Section 21E of the Securities Exchange Act of 1934, as amended (the “Exchange Act”). In this context, forward-looking statements often address expected future business and financial performance and financial condition, and often contain words such as “expect,” “anticipate,” “intend,” “plan,” “believe,” “seek,” “see,” “will,” “would,” “target,” similar expressions, and variations or negatives of these words. Forward-looking statements by their nature address matters that are, to different degrees, uncertain, such as statements about the proposed transaction, the expected timetable for completing the proposed transaction, the benefits and synergies of the proposed transaction, future opportunities for the combined company and products and any other statements regarding DuPont’s, IFF’s and N&amp;Bco’s future operations, financial or operating results, capital allocation, dividend policy, debt ratio, anticipated business levels, future earnings, planned activities, anticipated growth, market opportunities, strategies, competitions, and other expectations and targets for future periods. There are several factors which could cause actual plans and results to differ materially from those expressed or implied in forward-looking statements. Such factors include, but are not limited to, (1) the parties’ ability to meet expectations regarding the timing, completion and accounting and tax treatments of the proposed transaction, (2) changes in relevant tax and other laws, (3) any failure to obtain necessary regulatory approvals, approval of IFF’s shareholders, anticipated tax treatment or any required financing or to satisfy any of the other conditions to the</w:t>
      </w:r>
    </w:p>
    <w:p>
      <w:pPr>
        <w:sectPr>
          <w:pgSz w:w="11900" w:h="16838" w:orient="portrait"/>
          <w:cols w:equalWidth="0" w:num="1">
            <w:col w:w="9780"/>
          </w:cols>
          <w:pgMar w:left="1060" w:top="255" w:right="1059" w:bottom="1440" w:gutter="0" w:footer="0" w:header="0"/>
        </w:sectPr>
      </w:pPr>
    </w:p>
    <w:bookmarkStart w:id="79" w:name="page80"/>
    <w:bookmarkEnd w:id="79"/>
    <w:p>
      <w:pPr>
        <w:ind w:left="7"/>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Video Transcript</w:t>
      </w:r>
    </w:p>
    <w:p>
      <w:pPr>
        <w:spacing w:after="0" w:line="120" w:lineRule="exact"/>
        <w:rPr>
          <w:sz w:val="20"/>
          <w:szCs w:val="20"/>
          <w:color w:val="auto"/>
        </w:rPr>
      </w:pPr>
    </w:p>
    <w:p>
      <w:pPr>
        <w:ind w:left="7" w:right="40"/>
        <w:spacing w:after="0" w:line="290" w:lineRule="auto"/>
        <w:rPr>
          <w:sz w:val="20"/>
          <w:szCs w:val="20"/>
          <w:color w:val="auto"/>
        </w:rPr>
      </w:pPr>
      <w:r>
        <w:rPr>
          <w:rFonts w:ascii="Arial" w:cs="Arial" w:eastAsia="Arial" w:hAnsi="Arial"/>
          <w:sz w:val="14"/>
          <w:szCs w:val="14"/>
          <w:color w:val="auto"/>
        </w:rPr>
        <w:t>proposed transaction, (4) the possibility that unforeseen liabilities, future capital expenditures, revenues, expenses, earnings, synergies, economic performance, indebtedness, financial condition, losses, future prospects, business and management strategies that could impact the value, timing or pursuit of the proposed transaction, (5) risks and costs and pursuit and/or implementation of the separation of N&amp;Bco, including timing anticipated to complete the separation, any changes to the configuration of businesses included in the separation if implemented, (6) risks related to indemnification of certain legacy liabilities of E. I. du Pont de Nemours and Company (“Historical EID”) in connection with the distribution of Corteva Inc. on June 1,</w:t>
      </w:r>
    </w:p>
    <w:p>
      <w:pPr>
        <w:spacing w:after="0" w:line="1" w:lineRule="exact"/>
        <w:rPr>
          <w:sz w:val="20"/>
          <w:szCs w:val="20"/>
          <w:color w:val="auto"/>
        </w:rPr>
      </w:pPr>
    </w:p>
    <w:p>
      <w:pPr>
        <w:ind w:left="7"/>
        <w:spacing w:after="0" w:line="286" w:lineRule="auto"/>
        <w:rPr>
          <w:sz w:val="20"/>
          <w:szCs w:val="20"/>
          <w:color w:val="auto"/>
        </w:rPr>
      </w:pPr>
      <w:r>
        <w:rPr>
          <w:rFonts w:ascii="Arial" w:cs="Arial" w:eastAsia="Arial" w:hAnsi="Arial"/>
          <w:sz w:val="14"/>
          <w:szCs w:val="14"/>
          <w:color w:val="auto"/>
        </w:rPr>
        <w:t>2019 (the “Corteva Distribution”), (7) potential liability arising from fraudulent conveyance and similar laws in connection with DuPont’s distribution of Dow Inc. on April 1, 2019 and/or the Corteva Distributions (the “Previous Distributions”), (8) failure to effectively manage acquisitions, divestitures, alliances, joint ventures and other portfolio changes, including meeting conditions under the Letter Agreement entered in connection with the Corteva Distribution, related to the transfer of certain levels of assets and businesses, (9) uncertainty as to the long-term value of DuPont common stock,</w:t>
      </w:r>
    </w:p>
    <w:p>
      <w:pPr>
        <w:spacing w:after="0" w:line="1" w:lineRule="exact"/>
        <w:rPr>
          <w:sz w:val="20"/>
          <w:szCs w:val="20"/>
          <w:color w:val="auto"/>
        </w:rPr>
      </w:pPr>
    </w:p>
    <w:p>
      <w:pPr>
        <w:ind w:left="307" w:hanging="307"/>
        <w:spacing w:after="0"/>
        <w:tabs>
          <w:tab w:leader="none" w:pos="307" w:val="left"/>
        </w:tabs>
        <w:numPr>
          <w:ilvl w:val="0"/>
          <w:numId w:val="9"/>
        </w:numPr>
        <w:rPr>
          <w:rFonts w:ascii="Arial" w:cs="Arial" w:eastAsia="Arial" w:hAnsi="Arial"/>
          <w:sz w:val="15"/>
          <w:szCs w:val="15"/>
          <w:color w:val="auto"/>
        </w:rPr>
      </w:pPr>
      <w:r>
        <w:rPr>
          <w:rFonts w:ascii="Arial" w:cs="Arial" w:eastAsia="Arial" w:hAnsi="Arial"/>
          <w:sz w:val="15"/>
          <w:szCs w:val="15"/>
          <w:color w:val="auto"/>
        </w:rPr>
        <w:t>potential inability or reduced access to the capital markets or increased cost of borrowings, including as a result of a credit rating downgrade,</w:t>
      </w:r>
    </w:p>
    <w:p>
      <w:pPr>
        <w:spacing w:after="0" w:line="19" w:lineRule="exact"/>
        <w:rPr>
          <w:rFonts w:ascii="Arial" w:cs="Arial" w:eastAsia="Arial" w:hAnsi="Arial"/>
          <w:sz w:val="15"/>
          <w:szCs w:val="15"/>
          <w:color w:val="auto"/>
        </w:rPr>
      </w:pPr>
    </w:p>
    <w:p>
      <w:pPr>
        <w:jc w:val="both"/>
        <w:ind w:left="7" w:right="360" w:hanging="7"/>
        <w:spacing w:after="0" w:line="286" w:lineRule="auto"/>
        <w:tabs>
          <w:tab w:leader="none" w:pos="308" w:val="left"/>
        </w:tabs>
        <w:numPr>
          <w:ilvl w:val="0"/>
          <w:numId w:val="9"/>
        </w:numPr>
        <w:rPr>
          <w:rFonts w:ascii="Arial" w:cs="Arial" w:eastAsia="Arial" w:hAnsi="Arial"/>
          <w:sz w:val="14"/>
          <w:szCs w:val="14"/>
          <w:color w:val="auto"/>
        </w:rPr>
      </w:pPr>
      <w:r>
        <w:rPr>
          <w:rFonts w:ascii="Arial" w:cs="Arial" w:eastAsia="Arial" w:hAnsi="Arial"/>
          <w:sz w:val="14"/>
          <w:szCs w:val="14"/>
          <w:color w:val="auto"/>
        </w:rPr>
        <w:t>inherent uncertainties involved in the estimates and judgments used in the preparation of financial statements and the providing of estimates of financial measures, in accordance with the accounting principles generally accepted in the United States of America and related standards, or on an adjusted basis, (12) the integration of IFF and its Frutarom business and/or N&amp;Bco being more difficult, time consuming or costly than expected,</w:t>
      </w:r>
    </w:p>
    <w:p>
      <w:pPr>
        <w:spacing w:after="0" w:line="1" w:lineRule="exact"/>
        <w:rPr>
          <w:rFonts w:ascii="Arial" w:cs="Arial" w:eastAsia="Arial" w:hAnsi="Arial"/>
          <w:sz w:val="14"/>
          <w:szCs w:val="14"/>
          <w:color w:val="auto"/>
        </w:rPr>
      </w:pPr>
    </w:p>
    <w:p>
      <w:pPr>
        <w:ind w:left="7" w:right="40" w:hanging="7"/>
        <w:spacing w:after="0" w:line="289" w:lineRule="auto"/>
        <w:tabs>
          <w:tab w:leader="none" w:pos="314"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failure to achieve expected or targeted future financial and operating performance and results, (14) the possibility that IFF may be unable to achieve expected benefits, synergies and operating efficiencies in connection with the proposed transaction within the expected time frames or at all or to successfully integrate Frutarom and N&amp;Bco, (15) customer loss and business disruption being greater than expected following the proposed transaction, (16) the impact of divestitures required as a condition to consummation of the proposed transaction as well as other conditional commitments, (17) legislative, regulatory and economic developments; (18) an increase or decrease in the anticipated transaction taxes (including due to any changes to tax legislation and its impact on tax rates (and the timing of the effectiveness of any such changes)) to be paid in connection with the separation prior to the closing of the transactions could cause an adjustment to the exchange ratio, (19) potential litigation relating to the proposed transaction that could be instituted against DuPont, IFF or their respective directors, (20) risks associated with third party contracts containing consent and/or other provisions that may be triggered by the proposed transaction, (21) negative effects of the announcement or the consummation of the transaction on the market price of DuPont’s and/or IFF’s common stock, (22) risks relating to the value of the IFF shares to be issued in the transaction and uncertainty as to the long-term value of IFF’s common stock, (23) risks relating to IFF’s ongoing investigations into improper payments made in Frutarom businesses principally operating in Russia and the Ukraine, including expenses incurred with respect to the investigations, the cost of any remedial measures or compliance programs arising out of the investigations, legal proceedings or government investigations that may arise relating to the subject of IFF’s investigations, and the outcome of any such legal or government investigations, such as the imposition of fines, penalties, orders, or injunctions, (24) the impact of the failure to comply with U.S. or foreign anti-corruption and anti-bribery laws and regulations, including with respect to IFF’s ongoing investigations into improper payments made in Frutarom businesses principally operating in Russia and the Ukraine, (25) the impact of the outcome of legal claims, regulatory investigations and litigation, including any that may arise out of IFF’s</w:t>
      </w:r>
    </w:p>
    <w:p>
      <w:pPr>
        <w:sectPr>
          <w:pgSz w:w="11900" w:h="16838" w:orient="portrait"/>
          <w:cols w:equalWidth="0" w:num="1">
            <w:col w:w="9807"/>
          </w:cols>
          <w:pgMar w:left="1053" w:top="255" w:right="103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Video Transcript</w:t>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ongoing investigations into improper payments made in Frutarom businesses principally operating in Russia and the Ukraine, (26) the ability of N&amp;Bco or IFF to retain and hire key personnel, (27) the risk that N&amp;Bco, as a newly formed entity that currently has no credit rating, will not have access to the capital markets on acceptable terms, (28) the risk that N&amp;Bco and IFF will incur significant indebtedness in connection with the potential transaction, and the degree to which IFF will be leveraged following completion of the potential transaction may materially and adversely affect its business, financial condition and results of operations, (29) the ability to obtain or consummate financing or refinancing related to the transaction upon acceptable terms or at all, and (30) other risks to DuPont’s, N&amp;Bco’s and IFF’s business, operations and results of operations including from: failure to develop and market new products and optimally manage product life cycles; ability, cost and impact on business operations, including the supply chain, of responding to changes in market acceptance, rules, regulations and policies and failure to respond to such changes; outcome of significant litigation, environmental matters and other commitments and contingencies; failure to appropriately manage process safety and product stewardship issues; global economic and capital market conditions, including the continued availability of capital and financing, as well as inflation, interest and currency exchange rates; changes in political conditions, including tariffs, trade disputes and retaliatory actions; impairment of goodwill or intangible assets; the availability of and fluctuations in the cost of energy and raw materials; business or supply disruption, including in connection with the Previous Distributions; security threats, such as acts of sabotage, terrorism or war, natural disasters and weather events and patterns which could result in a significant operational event for DuPont, N&amp;Bco or IFF, adversely impact demand or production; ability to discover, develop and protect new technologies and to protect and enforce DuPont’s, N&amp;Bco’s or IFF’s intellectual property rights; unpredictability and severity of catastrophic events, including, but not limited to, acts of terrorism or outbreak of war or hostilities, as well as management’s response to any of the aforementioned factors. These risks, as well as other risks associated with the proposed merger, will be more fully discussed in the registration statement and merger proxy on Form S-4 to be filed by IFF and the registration statement on Form 10 to be filed by N&amp;Bco. While the list of factors presented here is, and the list of factors to be presented in any registration statement filed in connection with the transaction are, considered representative, no such list should be considered to be a complete statement of all potential risks and uncertainties. Unlisted factors may present significant additional obstacles to the realization of forward looking statements. Further lists and descriptions of risks and uncertainties can be found in each of IFF’s and DuPont’s Form 10-Q for the period ended September 30, 2019 and each of IFF’s and DuPont’s respective subsequent reports on Form 10-Q, Form 10-K and Form 8-K, the contents of which are not incorporated by reference into, nor do they form part of, this announcement. Any other risks associated with the proposed transaction will be more fully discussed in any registration statement filed with the SEC. While the list of factors presented here is, and the list of factors that may be presented in a registration statement of IFF or N&amp;Bco would be, considered representative, no such list should be considered to be a complete statement of all potential risks and uncertainties. Unlisted factors may present significant additional obstacles to the realization of forward 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IFF’s, DuPont’s or N&amp;Bco’s consolidated financial condition, results of operations, credit rating or liquidity. None of IFF, DuPont nor N&amp;Bco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sectPr>
          <w:pgSz w:w="11900" w:h="16838" w:orient="portrait"/>
          <w:cols w:equalWidth="0" w:num="1">
            <w:col w:w="9800"/>
          </w:cols>
          <w:pgMar w:left="1060" w:top="255" w:right="10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Video Transcript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108"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This communication is not a solicitation of a proxy from any investor or security holder. However, DuPont, IFF and certain of their respective directors and executive officers may be deemed to be participants in the solicitation of proxies in connection with the proposed transaction under the rules of the SEC. Information about the directors and executive officers of DuPont may be found in its Annual Report on Form 10-K filed with the SEC on February 11, 2019 and its definitive proxy statement filed with the SEC on May 1, 2019. Information about the directors and executive officers of IFF may be found in its definitive proxy statement filed with the SEC on March 18, 2019. Other information regarding the participants in the proxy solicitation and a description of their direct and indirect interests, by security holdings or otherwise, will be contained in the registration statements, prospectuses and proxy statement and other relevant materials to be filed with the SEC when they become available.</w:t>
      </w:r>
    </w:p>
    <w:p>
      <w:pPr>
        <w:sectPr>
          <w:pgSz w:w="11900" w:h="16838" w:orient="portrait"/>
          <w:cols w:equalWidth="0" w:num="1">
            <w:col w:w="9680"/>
          </w:cols>
          <w:pgMar w:left="1060" w:top="255" w:right="1159"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6254750" cy="10909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54750" cy="109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Dear [NAME]:</w:t>
      </w:r>
    </w:p>
    <w:p>
      <w:pPr>
        <w:spacing w:after="0" w:line="104" w:lineRule="exact"/>
        <w:rPr>
          <w:sz w:val="20"/>
          <w:szCs w:val="20"/>
          <w:color w:val="auto"/>
        </w:rPr>
      </w:pPr>
    </w:p>
    <w:p>
      <w:pPr>
        <w:ind w:right="60"/>
        <w:spacing w:after="0" w:line="351" w:lineRule="auto"/>
        <w:rPr>
          <w:sz w:val="20"/>
          <w:szCs w:val="20"/>
          <w:color w:val="auto"/>
        </w:rPr>
      </w:pPr>
      <w:r>
        <w:rPr>
          <w:rFonts w:ascii="Arial" w:cs="Arial" w:eastAsia="Arial" w:hAnsi="Arial"/>
          <w:sz w:val="14"/>
          <w:szCs w:val="14"/>
          <w:color w:val="auto"/>
        </w:rPr>
        <w:t xml:space="preserve">I’m writing to share with you that IFF has agreed to merge with DuPont’s Nutrition &amp; Biosciences business, a leader in food science and biotechnology, in a transaction that will create a new global integrated solutions leader across consumer-oriented end markets. You can read the press release </w:t>
      </w:r>
      <w:r>
        <w:rPr>
          <w:rFonts w:ascii="Arial" w:cs="Arial" w:eastAsia="Arial" w:hAnsi="Arial"/>
          <w:sz w:val="14"/>
          <w:szCs w:val="14"/>
          <w:u w:val="single" w:color="auto"/>
          <w:color w:val="auto"/>
        </w:rPr>
        <w:t>here</w:t>
      </w:r>
      <w:r>
        <w:rPr>
          <w:rFonts w:ascii="Arial" w:cs="Arial" w:eastAsia="Arial" w:hAnsi="Arial"/>
          <w:sz w:val="14"/>
          <w:szCs w:val="14"/>
          <w:color w:val="auto"/>
        </w:rPr>
        <w:t>.</w:t>
      </w:r>
    </w:p>
    <w:p>
      <w:pPr>
        <w:spacing w:after="0" w:line="106"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The parties are targeting closing the transaction by the end of the first quarter of 2021, subject to certain regulatory and shareholder approvals as well as other customary closing conditions. Until then, IFF and N&amp;B will remain independent entities, and we will operate separately.</w:t>
      </w:r>
    </w:p>
    <w:p>
      <w:pPr>
        <w:spacing w:after="0" w:line="128"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While this transaction represents a big change for IFF, what won’t change is our commitment to the finest ingredients, the outstanding creativity of our perfumers and our partnership with our Fine Fragrance customers.</w:t>
      </w:r>
    </w:p>
    <w:p>
      <w:pPr>
        <w:spacing w:after="0" w:line="152"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 xml:space="preserve">I encourage you to direct any questions to your account manager here at IFF. If you’re interested in learning more about the transaction, I encourage you to read the press release we issued earlier today and to review our transaction website: </w:t>
      </w:r>
      <w:r>
        <w:rPr>
          <w:rFonts w:ascii="Arial" w:cs="Arial" w:eastAsia="Arial" w:hAnsi="Arial"/>
          <w:sz w:val="15"/>
          <w:szCs w:val="15"/>
          <w:u w:val="single" w:color="auto"/>
          <w:color w:val="auto"/>
        </w:rPr>
        <w:t>www.StrongerInnovationTogether.com</w:t>
      </w:r>
      <w:r>
        <w:rPr>
          <w:rFonts w:ascii="Arial" w:cs="Arial" w:eastAsia="Arial" w:hAnsi="Arial"/>
          <w:sz w:val="15"/>
          <w:szCs w:val="15"/>
          <w:color w:val="auto"/>
        </w:rPr>
        <w:t>.</w:t>
      </w:r>
    </w:p>
    <w:p>
      <w:pPr>
        <w:spacing w:after="0" w:line="128"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Thank you for your continued support. This is an exciting day for IFF, and we are confident that this combination will position both our organizations for long-term success.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Nicolas Mirzayantz</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Divisional CEO, Scent</w:t>
      </w:r>
    </w:p>
    <w:p>
      <w:pPr>
        <w:sectPr>
          <w:pgSz w:w="11900" w:h="16838" w:orient="portrait"/>
          <w:cols w:equalWidth="0" w:num="1">
            <w:col w:w="9800"/>
          </w:cols>
          <w:pgMar w:left="1060" w:top="255" w:right="1039"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11747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02500" cy="117475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08"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 xml:space="preserve">This communication is not intended to and shall not constitute an offer to sell or the solicitation of an offer to sell or the solicitation of an offer to buy any securities or a solicitation of any vote of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In connection with the proposed combination of Nutrition &amp; Biosciences, Inc. (“N&amp;Bco”), a wholly owned subsidiary of DuPont de Nemours, Inc. (“DuPont”), and International Flavors &amp; Fragrances Inc. (“IFF”), which will immediately follow the proposed separation of N&amp;Bco from DuPont (the “proposed transaction”), N&amp;Bco and IFF intend to file relevant materials with the SEC, including a registration statement on Form S-4 that will include a proxy statement/prospectus relating to the proposed transaction. In addition, N&amp;Bco expects to file a registration statement in connection with its separation from DuPont. INVESTORS AND SECURITY HOLDERS ARE URGED TO READ THE REGISTRATION STATEMENTS, PROXY STATEMENT/PROSPECTUS AND ANY OTHER RELEVANT DOCUMENTS WHEN THEY BECOME AVAILABLE BECAUSE THEY WILL CONTAIN IMPORTANT INFORMATION ABOUT IFF, N&amp;BCO AND THE PROPOSED TRANSACTION. A definitive proxy statement will be sent to shareholders of IFF seeking approval of the proposed transaction. The documents relating to the proposed transaction (when they are available) can be obtained free of charge from the SEC’s website at </w:t>
      </w:r>
      <w:r>
        <w:rPr>
          <w:rFonts w:ascii="Arial" w:cs="Arial" w:eastAsia="Arial" w:hAnsi="Arial"/>
          <w:sz w:val="15"/>
          <w:szCs w:val="15"/>
          <w:u w:val="single" w:color="auto"/>
          <w:color w:val="auto"/>
        </w:rPr>
        <w:t>www.sec.gov</w:t>
      </w:r>
      <w:r>
        <w:rPr>
          <w:rFonts w:ascii="Arial" w:cs="Arial" w:eastAsia="Arial" w:hAnsi="Arial"/>
          <w:sz w:val="15"/>
          <w:szCs w:val="15"/>
          <w:color w:val="auto"/>
        </w:rPr>
        <w:t>. The proxy statement, prospectus and/or information statement and other documents (when they are available) will also be available free of charge on IFF’s website at https://ir.iff.com/ or on DuPont’s website at https://www.investors.dupont.com/investors/dupont-investors/default.aspx.</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on Forward-Looking Statements</w:t>
      </w:r>
    </w:p>
    <w:p>
      <w:pPr>
        <w:spacing w:after="0" w:line="108"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This communication contains “forward-looking statements” within the meaning of the federal securities laws, including Section 27A of the Securities Act, and Section 21E of the Securities Exchange Act of 1934, as amended (the “Exchange Act”). In this context, forward-looking statements often address expected future business and financial performance and financial condition, and often contain words such as “expect,” “anticipate,” “intend,” “plan,” “believe,” “seek,” “see,” “will,” “would,” “target,” similar expressions, and variations or negatives of these words. Forward-looking statements by their nature address matters that are, to different degrees, uncertain, such as statements about the proposed transaction, the expected timetable for completing the proposed transaction, the benefits and synergies of the proposed transaction, future opportunities for the combined company and products and any other statements regarding DuPont’s, IFF’s and N&amp;Bco’s future operations, financial or operating results, capital allocation, dividend policy, debt ratio, anticipated business levels, future earnings, planned activities, anticipated growth, market opportunities, strategies, competitions, and other expectations and targets for future periods. There are several factors which could cause actual plans and results to differ materially from those expressed or implied in forward-looking statements. Such factors include, but are not limited to, (1) the parties’ ability to meet expectations regarding the timing, completion and accounting and tax treatments of the proposed transaction, (2) changes in relevant tax and other laws, (3) any failure to obtain necessary regulatory approvals, approval of IFF’s shareholders, anticipated tax treatment or any required financing or to satisfy any of the other conditions to the proposed transaction, (4) the possibility that unforeseen liabilities, future capital expenditures, revenues, expenses, earnings, synergies, economic performance, indebtedness, financial condition, losses, future prospects, business and management strategies that could impact the value, timing or pursuit of the proposed transaction, (5) risks and costs and pursuit and/or implementation of the separation of N&amp;Bco, including timing anticipated to complete the separation, any changes to the configuration of businesses included in the separation if implemented, (6) risks related to indemnification of certain legacy liabilities of E. I. du Pont de Nemours and</w:t>
      </w:r>
    </w:p>
    <w:p>
      <w:pPr>
        <w:sectPr>
          <w:pgSz w:w="11900" w:h="16838" w:orient="portrait"/>
          <w:cols w:equalWidth="0" w:num="1">
            <w:col w:w="9760"/>
          </w:cols>
          <w:pgMar w:left="1060" w:top="1440" w:right="1079"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11747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02500" cy="11747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7" w:right="40"/>
        <w:spacing w:after="0" w:line="287" w:lineRule="auto"/>
        <w:rPr>
          <w:sz w:val="20"/>
          <w:szCs w:val="20"/>
          <w:color w:val="auto"/>
        </w:rPr>
      </w:pPr>
      <w:r>
        <w:rPr>
          <w:rFonts w:ascii="Arial" w:cs="Arial" w:eastAsia="Arial" w:hAnsi="Arial"/>
          <w:sz w:val="14"/>
          <w:szCs w:val="14"/>
          <w:color w:val="auto"/>
        </w:rPr>
        <w:t>Company (“Historical EID”) in connection with the distribution of Corteva Inc. on June 1, 2019 (the “Corteva Distribution”), (7) potential liability arising from fraudulent conveyance and similar laws in connection with DuPont’s distribution of Dow Inc. on April 1, 2019 and/or the Corteva Distributions (the “Previous Distributions”), (8) failure to effectively manage acquisitions, divestitures, alliances, joint ventures and other portfolio changes, including meeting conditions under the Letter Agreement entered in connection with the Corteva Distribution, related to the transfer of certain levels of assets and businesses, (9) uncertainty as to the long-term value of DuPont common stock, (10) potential inability or reduced access to the capital markets or increased cost of borrowings, including as a result of a credit rating downgrade, (11) inherent uncertainties involved in the estimates and judgments used in the preparation of financial statements and the providing of estimates of financial measures, in accordance with the accounting principles generally accepted in the United States of America and related standards, or on an adjusted basis, (12) the integration of IFF and its Frutarom business and/or N&amp;Bco being more difficult, time consuming or costly than expected, (13) the failure to achieve expected or targeted future financial and operating performance and results, (14) the possibility that IFF may be unable to achieve expected benefits, synergies and operating efficiencies in connection with the proposed transaction within the expected time frames or at all or to successfully integrate Frutarom and N&amp;Bco, (15) customer loss and business disruption being greater than expected following the proposed transaction, (16) the impact of divestitures required as a condition to consummation of the proposed transaction as well as other conditional commitments, (17) legislative, regulatory and economic developments; (18) an increase or decrease in the anticipated transaction taxes (including due to any changes to tax legislation and its impact on tax rates (and the timing of the effectiveness of any such changes)) to be paid in connection with the separation prior to the closing of the transactions could cause an adjustment to the exchange ratio, (19) potential litigation relating to the proposed transaction that could be instituted against DuPont, IFF or their respective directors,</w:t>
      </w:r>
    </w:p>
    <w:p>
      <w:pPr>
        <w:spacing w:after="0" w:line="7" w:lineRule="exact"/>
        <w:rPr>
          <w:sz w:val="20"/>
          <w:szCs w:val="20"/>
          <w:color w:val="auto"/>
        </w:rPr>
      </w:pPr>
    </w:p>
    <w:p>
      <w:pPr>
        <w:ind w:left="307" w:hanging="307"/>
        <w:spacing w:after="0"/>
        <w:tabs>
          <w:tab w:leader="none" w:pos="307" w:val="left"/>
        </w:tabs>
        <w:numPr>
          <w:ilvl w:val="0"/>
          <w:numId w:val="11"/>
        </w:numPr>
        <w:rPr>
          <w:rFonts w:ascii="Arial" w:cs="Arial" w:eastAsia="Arial" w:hAnsi="Arial"/>
          <w:sz w:val="15"/>
          <w:szCs w:val="15"/>
          <w:color w:val="auto"/>
        </w:rPr>
      </w:pPr>
      <w:r>
        <w:rPr>
          <w:rFonts w:ascii="Arial" w:cs="Arial" w:eastAsia="Arial" w:hAnsi="Arial"/>
          <w:sz w:val="15"/>
          <w:szCs w:val="15"/>
          <w:color w:val="auto"/>
        </w:rPr>
        <w:t>risks associated with third party contracts containing consent and/or other provisions that may be triggered by the proposed transaction,</w:t>
      </w:r>
    </w:p>
    <w:p>
      <w:pPr>
        <w:spacing w:after="0" w:line="19" w:lineRule="exact"/>
        <w:rPr>
          <w:rFonts w:ascii="Arial" w:cs="Arial" w:eastAsia="Arial" w:hAnsi="Arial"/>
          <w:sz w:val="15"/>
          <w:szCs w:val="15"/>
          <w:color w:val="auto"/>
        </w:rPr>
      </w:pPr>
    </w:p>
    <w:p>
      <w:pPr>
        <w:ind w:left="307" w:hanging="307"/>
        <w:spacing w:after="0"/>
        <w:tabs>
          <w:tab w:leader="none" w:pos="307" w:val="left"/>
        </w:tabs>
        <w:numPr>
          <w:ilvl w:val="0"/>
          <w:numId w:val="11"/>
        </w:numPr>
        <w:rPr>
          <w:rFonts w:ascii="Arial" w:cs="Arial" w:eastAsia="Arial" w:hAnsi="Arial"/>
          <w:sz w:val="15"/>
          <w:szCs w:val="15"/>
          <w:color w:val="auto"/>
        </w:rPr>
      </w:pPr>
      <w:r>
        <w:rPr>
          <w:rFonts w:ascii="Arial" w:cs="Arial" w:eastAsia="Arial" w:hAnsi="Arial"/>
          <w:sz w:val="15"/>
          <w:szCs w:val="15"/>
          <w:color w:val="auto"/>
        </w:rPr>
        <w:t>negative effects of the announcement or the consummation of the transaction on the market price of DuPont’s and/or IFF’s common stock,</w:t>
      </w:r>
    </w:p>
    <w:p>
      <w:pPr>
        <w:spacing w:after="0" w:line="19" w:lineRule="exact"/>
        <w:rPr>
          <w:rFonts w:ascii="Arial" w:cs="Arial" w:eastAsia="Arial" w:hAnsi="Arial"/>
          <w:sz w:val="15"/>
          <w:szCs w:val="15"/>
          <w:color w:val="auto"/>
        </w:rPr>
      </w:pPr>
    </w:p>
    <w:p>
      <w:pPr>
        <w:ind w:left="307" w:hanging="307"/>
        <w:spacing w:after="0"/>
        <w:tabs>
          <w:tab w:leader="none" w:pos="307" w:val="left"/>
        </w:tabs>
        <w:numPr>
          <w:ilvl w:val="0"/>
          <w:numId w:val="11"/>
        </w:numPr>
        <w:rPr>
          <w:rFonts w:ascii="Arial" w:cs="Arial" w:eastAsia="Arial" w:hAnsi="Arial"/>
          <w:sz w:val="15"/>
          <w:szCs w:val="15"/>
          <w:color w:val="auto"/>
        </w:rPr>
      </w:pPr>
      <w:r>
        <w:rPr>
          <w:rFonts w:ascii="Arial" w:cs="Arial" w:eastAsia="Arial" w:hAnsi="Arial"/>
          <w:sz w:val="15"/>
          <w:szCs w:val="15"/>
          <w:color w:val="auto"/>
        </w:rPr>
        <w:t>risks relating to the value of the IFF shares to be issued in the transaction and uncertainty as to the long-term value of IFF’s common stock,</w:t>
      </w:r>
    </w:p>
    <w:p>
      <w:pPr>
        <w:spacing w:after="0" w:line="19" w:lineRule="exact"/>
        <w:rPr>
          <w:rFonts w:ascii="Arial" w:cs="Arial" w:eastAsia="Arial" w:hAnsi="Arial"/>
          <w:sz w:val="15"/>
          <w:szCs w:val="15"/>
          <w:color w:val="auto"/>
        </w:rPr>
      </w:pPr>
    </w:p>
    <w:p>
      <w:pPr>
        <w:ind w:left="7" w:hanging="7"/>
        <w:spacing w:after="0" w:line="269" w:lineRule="auto"/>
        <w:tabs>
          <w:tab w:leader="none" w:pos="314" w:val="left"/>
        </w:tabs>
        <w:numPr>
          <w:ilvl w:val="0"/>
          <w:numId w:val="11"/>
        </w:numPr>
        <w:rPr>
          <w:rFonts w:ascii="Arial" w:cs="Arial" w:eastAsia="Arial" w:hAnsi="Arial"/>
          <w:sz w:val="15"/>
          <w:szCs w:val="15"/>
          <w:color w:val="auto"/>
        </w:rPr>
      </w:pPr>
      <w:r>
        <w:rPr>
          <w:rFonts w:ascii="Arial" w:cs="Arial" w:eastAsia="Arial" w:hAnsi="Arial"/>
          <w:sz w:val="15"/>
          <w:szCs w:val="15"/>
          <w:color w:val="auto"/>
        </w:rPr>
        <w:t>risks relating to IFF’s ongoing investigations into improper payments made in Frutarom businesses principally operating in Russia and the Ukraine, including expenses incurred with respect to the investigations, the cost of any remedial measures or compliance programs arising out of the investigations, legal proceedings or government investigations that may arise relating to the subject of IFF’s investigations, and the outcome of any such legal or government investigations, such as the imposition of fines, penalties, orders, or injunctions, (24) the impact of the failure to comply with U.S. or foreign anti-corruption and anti-bribery laws and regulations, including with respect to IFF’s ongoing investigations into improper payments made in Frutarom businesses principally operating in Russia and the Ukraine, (25) the impact of the outcome of legal claims, regulatory investigations and litigation, including any that may arise out of IFF’s ongoing investigations into improper payments made in Frutarom businesses principally operating in Russia and the Ukraine, (26) the ability of N&amp;Bco or IFF to retain and hire key personnel, (27) the risk that N&amp;Bco, as a newly formed entity that currently has no credit rating, will not have access to the capital markets on acceptable terms, (28) the risk that N&amp;Bco and IFF will incur significant indebtedness in connection with the potential transaction, and the degree to which IFF will be leveraged following completion of the potential transaction may materially and adversely affect its business, financial condition and results of operations, (29) the ability to obtain or consummate financing or refinancing related to the transaction upon acceptable terms or at all, and (30) other risks to DuPont’s, N&amp;Bco’s and IFF’s business, operations and results of operations including from: failure to develop and market new products and optimally manage product life cycles; ability, cost and impact on business operations, including the supply chain, of responding to changes in market acceptance, rules, regulations and policies and failure to respond to such changes; outcome of significant litigation, environmental matters and other commitments and contingencies; failure to appropriately manage process safety and product stewardship issues; global economic and capital market conditions, including the continued availability of capital and financing, as well</w:t>
      </w:r>
    </w:p>
    <w:p>
      <w:pPr>
        <w:sectPr>
          <w:pgSz w:w="11900" w:h="16838" w:orient="portrait"/>
          <w:cols w:equalWidth="0" w:num="1">
            <w:col w:w="9787"/>
          </w:cols>
          <w:pgMar w:left="1053" w:top="1440" w:right="105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11747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02500" cy="11747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as inflation, interest and currency exchange rates; changes in political conditions, including tariffs, trade disputes and retaliatory actions; impairment of goodwill or intangible assets; the availability of and fluctuations in the cost of energy and raw materials; business or supply disruption, including in connection with the Previous Distributions; security threats, such as acts of sabotage, terrorism or war, natural disasters and weather events and patterns which could result in a significant operational event for DuPont, N&amp;Bco or IFF, adversely impact demand or production; ability to discover, develop and protect new technologies and to protect and enforce DuPont’s, N&amp;Bco’s or IFF’s intellectual property rights; unpredictability and severity of catastrophic events, including, but not limited to, acts of terrorism or outbreak of war or hostilities, as well as management’s response to any of the aforementioned factors. These risks, as well as other risks associated with the proposed merger, will be more fully discussed in the registration statement and merger proxy on Form S-4 to be filed by IFF and the registration statement on Form 10 to be filed by N&amp;Bco. While the list of factors presented here is, and the list of factors to be presented in any registration statement filed in connection with the transaction are, considered representative, no such list should be considered to be a complete statement of all potential risks and uncertainties. Unlisted factors may present significant additional obstacles to the realization of forward looking statements. Further lists and descriptions of risks and uncertainties can be found in each of IFF’s and DuPont’s Form 10-Q for the period ended September 30, 2019 and each of IFF’s and DuPont’s respective subsequent reports on Form 10-Q, Form 10-K and Form 8-K, the contents of which are not incorporated by reference into, nor do they form part of, this announcement. Any other risks associated with the proposed transaction will be more fully discussed in any registration statement filed with the SEC. While the list of factors presented here is, and the list of factors that may be presented in a registration statement of IFF or N&amp;Bco would be, considered representative, no such list should be considered to be a complete statement of all potential risks and uncertainties. Unlisted factors may present significant additional obstacles to the realization of forward 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IFF’s, DuPont’s or N&amp;Bco’s consolidated financial condition, results of operations, credit rating or liquidity. None of IFF, DuPont nor N&amp;Bco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108" w:lineRule="exact"/>
        <w:rPr>
          <w:sz w:val="20"/>
          <w:szCs w:val="20"/>
          <w:color w:val="auto"/>
        </w:rPr>
      </w:pPr>
    </w:p>
    <w:p>
      <w:pPr>
        <w:ind w:right="100"/>
        <w:spacing w:after="0" w:line="274" w:lineRule="auto"/>
        <w:rPr>
          <w:sz w:val="20"/>
          <w:szCs w:val="20"/>
          <w:color w:val="auto"/>
        </w:rPr>
      </w:pPr>
      <w:r>
        <w:rPr>
          <w:rFonts w:ascii="Arial" w:cs="Arial" w:eastAsia="Arial" w:hAnsi="Arial"/>
          <w:sz w:val="15"/>
          <w:szCs w:val="15"/>
          <w:color w:val="auto"/>
        </w:rPr>
        <w:t>This communication is not a solicitation of a proxy from any investor or security holder. However, DuPont, IFF and certain of their respective directors and executive officers may be deemed to be participants in the solicitation of proxies in connection with the proposed transaction under the rules of the SEC. Information about the directors and executive officers of DuPont may be found in its Annual Report on Form 10-K filed with the SEC on February 11, 2019 and its definitive proxy statement filed with the SEC on May 1, 2019. Information about the directors and executive officers of IFF may be found in its definitive proxy statement filed with the SEC on March 18, 2019. Other information regarding the participants in the proxy solicitation and a description of their direct and indirect interests, by security holdings or otherwise, will be contained in the registration statements, prospectuses and proxy statement and other relevant materials to be filed with the SEC when they become available.</w:t>
      </w:r>
    </w:p>
    <w:p>
      <w:pPr>
        <w:sectPr>
          <w:pgSz w:w="11900" w:h="16838" w:orient="portrait"/>
          <w:cols w:equalWidth="0" w:num="1">
            <w:col w:w="9780"/>
          </w:cols>
          <w:pgMar w:left="1060" w:top="1440" w:right="1059" w:bottom="1440" w:gutter="0" w:footer="0" w:header="0"/>
        </w:sectPr>
      </w:pPr>
    </w:p>
    <w:bookmarkStart w:id="86" w:name="page87"/>
    <w:bookmarkEnd w:id="86"/>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6254750" cy="10909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54750" cy="109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Dear [NAME]:</w:t>
      </w:r>
    </w:p>
    <w:p>
      <w:pPr>
        <w:spacing w:after="0" w:line="104"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I am excited to announce that IFF has agreed to merge with DuPont’s Nutrition &amp; Biosciences business, a leader in food science and biotechnology, in a transaction that will position us to become a new global integrated solutions leader across consumer-oriented end markets.</w:t>
      </w:r>
    </w:p>
    <w:p>
      <w:pPr>
        <w:spacing w:after="0" w:line="12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This combination will bolster our innovative product and solutions offering and enhance our ability to partner with and deliver growth for our customers. Together, we will complement our Scent leadership by delivering in-demand, differentiated solutions with an expanded ability to better respond to evolving consumer preferences for natural, healthier and “better for you” products. We will have the breadth and depth to serve a wide range of end markets, including Food &amp; Beverage, Home &amp; Personal Care and Health &amp; Wellness.</w:t>
      </w:r>
    </w:p>
    <w:p>
      <w:pPr>
        <w:spacing w:after="0" w:line="167"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IFF and N&amp;B will be stronger together, with a collective portfolio of products that will be the most complete and well-balanced in our industry and a breadth that cannot be replicated. By combining IFF’s leadership in natural solutions with N&amp;B’s leadership in clean label, including cultures, enzymes and plant-based proteins, we will be positioned to deliver superior integrated and differentiated offerings to our Scent customers. In addition, our combined company will boast the broadest technology portfolio, leading R&amp;D capabilities, a best-in-class innovation portfolio and critical consumer insights to help you bring next-generation products to market even faster.</w:t>
      </w:r>
    </w:p>
    <w:p>
      <w:pPr>
        <w:spacing w:after="0" w:line="168"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Here is just one example of the incredible opportunity ahead of us with this combination. Today, IFF provides the encapsulation delivery system and scent products for detergents, with N&amp;B providing the enzymes for fluidity and stain removal. Together, we will be able to deliver all of these products in integrated solutions to our customers and help you increase speed to market.</w:t>
      </w:r>
    </w:p>
    <w:p>
      <w:pPr>
        <w:spacing w:after="0" w:line="162" w:lineRule="exact"/>
        <w:rPr>
          <w:sz w:val="20"/>
          <w:szCs w:val="20"/>
          <w:color w:val="auto"/>
        </w:rPr>
      </w:pPr>
    </w:p>
    <w:p>
      <w:pPr>
        <w:jc w:val="both"/>
        <w:ind w:right="80"/>
        <w:spacing w:after="0" w:line="264" w:lineRule="auto"/>
        <w:rPr>
          <w:sz w:val="20"/>
          <w:szCs w:val="20"/>
          <w:color w:val="auto"/>
        </w:rPr>
      </w:pPr>
      <w:r>
        <w:rPr>
          <w:rFonts w:ascii="Arial" w:cs="Arial" w:eastAsia="Arial" w:hAnsi="Arial"/>
          <w:sz w:val="16"/>
          <w:szCs w:val="16"/>
          <w:color w:val="auto"/>
        </w:rPr>
        <w:t xml:space="preserve">The parties are targeting closing the transaction by the end of the first quarter of 2021, subject to certain regulatory and shareholder approvals as well as other customary closing conditions. Until then, IFF and N&amp;B will remain independent entities, and we will operate separately. </w:t>
      </w:r>
      <w:r>
        <w:rPr>
          <w:rFonts w:ascii="Arial" w:cs="Arial" w:eastAsia="Arial" w:hAnsi="Arial"/>
          <w:sz w:val="16"/>
          <w:szCs w:val="16"/>
          <w:b w:val="1"/>
          <w:bCs w:val="1"/>
          <w:color w:val="auto"/>
        </w:rPr>
        <w:t>This means that for the</w:t>
      </w:r>
      <w:r>
        <w:rPr>
          <w:rFonts w:ascii="Arial" w:cs="Arial" w:eastAsia="Arial" w:hAnsi="Arial"/>
          <w:sz w:val="16"/>
          <w:szCs w:val="16"/>
          <w:color w:val="auto"/>
        </w:rPr>
        <w:t xml:space="preserve"> </w:t>
      </w:r>
      <w:r>
        <w:rPr>
          <w:rFonts w:ascii="Arial" w:cs="Arial" w:eastAsia="Arial" w:hAnsi="Arial"/>
          <w:sz w:val="16"/>
          <w:szCs w:val="16"/>
          <w:b w:val="1"/>
          <w:bCs w:val="1"/>
          <w:color w:val="auto"/>
        </w:rPr>
        <w:t>time being, there will be no changes to the way we work together.</w:t>
      </w:r>
    </w:p>
    <w:p>
      <w:pPr>
        <w:spacing w:after="0" w:line="162" w:lineRule="exact"/>
        <w:rPr>
          <w:sz w:val="20"/>
          <w:szCs w:val="20"/>
          <w:color w:val="auto"/>
        </w:rPr>
      </w:pPr>
    </w:p>
    <w:p>
      <w:pPr>
        <w:ind w:right="400"/>
        <w:spacing w:after="0" w:line="351" w:lineRule="auto"/>
        <w:rPr>
          <w:sz w:val="20"/>
          <w:szCs w:val="20"/>
          <w:color w:val="auto"/>
        </w:rPr>
      </w:pPr>
      <w:r>
        <w:rPr>
          <w:rFonts w:ascii="Arial" w:cs="Arial" w:eastAsia="Arial" w:hAnsi="Arial"/>
          <w:sz w:val="14"/>
          <w:szCs w:val="14"/>
          <w:color w:val="auto"/>
        </w:rPr>
        <w:t>We encourage you to direct any questions to your existing point of contact here at IFF. If you’re interested in learning more about the transaction, I encourage you to read the press release we issued earlier today and to review our transaction website: www.StrongerInnovationTogether.com.</w:t>
      </w:r>
    </w:p>
    <w:p>
      <w:pPr>
        <w:spacing w:after="0" w:line="106" w:lineRule="exact"/>
        <w:rPr>
          <w:sz w:val="20"/>
          <w:szCs w:val="20"/>
          <w:color w:val="auto"/>
        </w:rPr>
      </w:pPr>
    </w:p>
    <w:p>
      <w:pPr>
        <w:ind w:right="460"/>
        <w:spacing w:after="0" w:line="351" w:lineRule="auto"/>
        <w:rPr>
          <w:sz w:val="20"/>
          <w:szCs w:val="20"/>
          <w:color w:val="auto"/>
        </w:rPr>
      </w:pPr>
      <w:r>
        <w:rPr>
          <w:rFonts w:ascii="Arial" w:cs="Arial" w:eastAsia="Arial" w:hAnsi="Arial"/>
          <w:sz w:val="14"/>
          <w:szCs w:val="14"/>
          <w:color w:val="auto"/>
        </w:rPr>
        <w:t>This is an exciting day for IFF, and we are confident that this combination will position both our organizations us to deliver leading differentiated, integrated solutions to our customers. Thank you for your continued support and we look forward to continuing our relationship.</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Nicolas Mirzayantz</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Divisional CEO, Scent</w:t>
      </w:r>
    </w:p>
    <w:p>
      <w:pPr>
        <w:sectPr>
          <w:pgSz w:w="11900" w:h="16838" w:orient="portrait"/>
          <w:cols w:equalWidth="0" w:num="1">
            <w:col w:w="9800"/>
          </w:cols>
          <w:pgMar w:left="1060" w:top="255" w:right="103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11747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02500" cy="11747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08"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This communication is not intended to and shall not constitute an offer to sell or the solicitation of an offer to sell or the solicitation of an offer to buy any securities or a solicitation of any vote of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In connection with the proposed combination of Nutrition &amp; Biosciences, Inc. (“N&amp;Bco”), a wholly owned subsidiary of DuPont de Nemours, Inc. (“DuPont”), and International Flavors &amp; Fragrances Inc. (“IFF”), which will immediately follow the proposed separation of N&amp;Bco from DuPont (the “proposed transaction”), N&amp;Bco and IFF intend to file relevant materials with the SEC, including a registration statement on Form S-4 that will include a proxy statement/prospectus relating to the proposed transaction. In addition, N&amp;Bco expects to file a registration statement in connection with its separation from DuPont. INVESTORS AND SECURITY HOLDERS ARE URGED TO READ THE REGISTRATION STATEMENTS, PROXY STATEMENT/PROSPECTUS AND ANY OTHER RELEVANT DOCUMENTS WHEN THEY BECOME AVAILABLE BECAUSE THEY WILL CONTAIN IMPORTANT INFORMATION ABOUT IFF, N&amp;BCO AND THE PROPOSED TRANSACTION. A definitive proxy statement will be sent to shareholders of IFF seeking approval of the proposed transaction. The documents relating to the proposed transaction (when they are available) can be obtained free of charge from the SEC’s website at www.sec.gov. The proxy statement, prospectus and/or information statement and other documents (when they are available) will also be available free of charge on IFF’s website at https://ir.iff.com/ or on DuPont’s website at https://www.investors.dupont.com/investors/dupont-investors/default.aspx.</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on Forward-Looking Statements</w:t>
      </w:r>
    </w:p>
    <w:p>
      <w:pPr>
        <w:spacing w:after="0" w:line="108"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This communication contains “forward-looking statements” within the meaning of the federal securities laws, including Section 27A of the Securities Act, and Section 21E of the Securities Exchange Act of 1934, as amended (the “Exchange Act”). In this context, forward-looking statements often address expected future business and financial performance and financial condition, and often contain words such as “expect,” “anticipate,” “intend,” “plan,” “believe,” “seek,” “see,” “will,” “would,” “target,” similar expressions, and variations or negatives of these words. Forward-looking statements by their nature address matters that are, to different degrees, uncertain, such as</w:t>
      </w:r>
    </w:p>
    <w:p>
      <w:pPr>
        <w:sectPr>
          <w:pgSz w:w="11900" w:h="16838" w:orient="portrait"/>
          <w:cols w:equalWidth="0" w:num="1">
            <w:col w:w="9760"/>
          </w:cols>
          <w:pgMar w:left="1060" w:top="1440" w:right="1079"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11747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02500" cy="11747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7" w:right="20"/>
        <w:spacing w:after="0" w:line="289" w:lineRule="auto"/>
        <w:rPr>
          <w:sz w:val="20"/>
          <w:szCs w:val="20"/>
          <w:color w:val="auto"/>
        </w:rPr>
      </w:pPr>
      <w:r>
        <w:rPr>
          <w:rFonts w:ascii="Arial" w:cs="Arial" w:eastAsia="Arial" w:hAnsi="Arial"/>
          <w:sz w:val="14"/>
          <w:szCs w:val="14"/>
          <w:color w:val="auto"/>
        </w:rPr>
        <w:t>statements about the proposed transaction, the expected timetable for completing the proposed transaction, the benefits and synergies of the proposed transaction, future opportunities for the combined company and products and any other statements regarding DuPont’s, IFF’s and N&amp;Bco’s future operations, financial or operating results, capital allocation, dividend policy, debt ratio, anticipated business levels, future earnings, planned activities, anticipated growth, market opportunities, strategies, competitions, and other expectations and targets for future periods. There are several factors which could cause actual plans and results to differ materially from those expressed or implied in forward-looking statements. Such factors include, but are not limited to, (1) the parties’ ability to meet expectations regarding the timing, completion and accounting and tax treatments of the proposed transaction,</w:t>
      </w:r>
    </w:p>
    <w:p>
      <w:pPr>
        <w:spacing w:after="0" w:line="2" w:lineRule="exact"/>
        <w:rPr>
          <w:sz w:val="20"/>
          <w:szCs w:val="20"/>
          <w:color w:val="auto"/>
        </w:rPr>
      </w:pPr>
    </w:p>
    <w:p>
      <w:pPr>
        <w:ind w:left="7" w:hanging="7"/>
        <w:spacing w:after="0" w:line="286" w:lineRule="auto"/>
        <w:tabs>
          <w:tab w:leader="none" w:pos="234"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relevant tax and other laws, (3) any failure to obtain necessary regulatory approvals, approval of IFF’s shareholders, anticipated tax treatment or any required financing or to satisfy any of the other conditions to the proposed transaction, (4) the possibility that unforeseen liabilities, future capital expenditures, revenues, expenses, earnings, synergies, economic performance, indebtedness, financial condition, losses, future prospects, business and management strategies that could impact the value, timing or pursuit of the proposed transaction, (5) risks and costs and pursuit and/or implementation of the separation of N&amp;Bco, including timing anticipated to complete the separation, any changes to the configuration of businesses included in the separation if implemented, (6) risks related to indemnification of certain legacy liabilities of E. I. du Pont de Nemours and Company (“Historical EID”) in connection with the distribution of Corteva Inc. on June 1, 2019 (the “Corteva Distribution”), (7) potential liability arising from fraudulent conveyance and similar laws in connection with DuPont’s distribution of Dow Inc. on April 1, 2019 and/or the Corteva Distributions (the “Previous Distributions”), (8) failure to effectively manage acquisitions, divestitures, alliances, joint ventures and other portfolio changes, including meeting conditions under the Letter Agreement entered in connection with the Corteva Distribution, related to the transfer of certain levels of assets and businesses, (9) uncertainty as to the long-term value of DuPont common stock, (10) potential inability or reduced access to the capital markets or increased cost of borrowings, including as a result of a credit rating downgrade, (11) inherent uncertainties involved in the estimates and judgments used in the preparation of financial statements and the providing of estimates of financial measures, in accordance with the accounting principles generally accepted in the United States of America and related standards, or on an adjusted basis, (12) the integration of IFF and its Frutarom business and/or N&amp;Bco being more difficult, time consuming or costly than expected, (13) the failure to achieve expected or targeted future financial and operating performance and results, (14) the possibility that IFF may be unable to achieve expected benefits, synergies and operating efficiencies in connection with the proposed transaction within the expected time frames or at all or to successfully integrate Frutarom and N&amp;Bco, (15) customer loss and business disruption being greater than expected following the proposed transaction, (16) the impact of divestitures required as a condition to consummation of the proposed transaction as well as other conditional commitments, (17) legislative, regulatory and economic developments; (18) an increase or decrease in the anticipated transaction taxes (including due to any changes to tax legislation and its impact on tax rates (and the timing of the effectiveness of any such changes)) to be paid in connection with the separation prior to the closing of the transactions could cause an adjustment to the exchange ratio, (19) potential litigation relating to the proposed transaction that could be instituted against DuPont, IFF or their respective directors,</w:t>
      </w:r>
    </w:p>
    <w:p>
      <w:pPr>
        <w:spacing w:after="0" w:line="7" w:lineRule="exact"/>
        <w:rPr>
          <w:rFonts w:ascii="Arial" w:cs="Arial" w:eastAsia="Arial" w:hAnsi="Arial"/>
          <w:sz w:val="14"/>
          <w:szCs w:val="14"/>
          <w:color w:val="auto"/>
        </w:rPr>
      </w:pPr>
    </w:p>
    <w:p>
      <w:pPr>
        <w:ind w:left="307" w:hanging="307"/>
        <w:spacing w:after="0"/>
        <w:tabs>
          <w:tab w:leader="none" w:pos="307" w:val="left"/>
        </w:tabs>
        <w:numPr>
          <w:ilvl w:val="0"/>
          <w:numId w:val="13"/>
        </w:numPr>
        <w:rPr>
          <w:rFonts w:ascii="Arial" w:cs="Arial" w:eastAsia="Arial" w:hAnsi="Arial"/>
          <w:sz w:val="15"/>
          <w:szCs w:val="15"/>
          <w:color w:val="auto"/>
        </w:rPr>
      </w:pPr>
      <w:r>
        <w:rPr>
          <w:rFonts w:ascii="Arial" w:cs="Arial" w:eastAsia="Arial" w:hAnsi="Arial"/>
          <w:sz w:val="15"/>
          <w:szCs w:val="15"/>
          <w:color w:val="auto"/>
        </w:rPr>
        <w:t>risks associated with third party contracts containing consent and/or other provisions that may be triggered by the proposed transaction,</w:t>
      </w:r>
    </w:p>
    <w:p>
      <w:pPr>
        <w:spacing w:after="0" w:line="19" w:lineRule="exact"/>
        <w:rPr>
          <w:rFonts w:ascii="Arial" w:cs="Arial" w:eastAsia="Arial" w:hAnsi="Arial"/>
          <w:sz w:val="15"/>
          <w:szCs w:val="15"/>
          <w:color w:val="auto"/>
        </w:rPr>
      </w:pPr>
    </w:p>
    <w:p>
      <w:pPr>
        <w:ind w:left="307" w:hanging="307"/>
        <w:spacing w:after="0"/>
        <w:tabs>
          <w:tab w:leader="none" w:pos="307" w:val="left"/>
        </w:tabs>
        <w:numPr>
          <w:ilvl w:val="0"/>
          <w:numId w:val="13"/>
        </w:numPr>
        <w:rPr>
          <w:rFonts w:ascii="Arial" w:cs="Arial" w:eastAsia="Arial" w:hAnsi="Arial"/>
          <w:sz w:val="15"/>
          <w:szCs w:val="15"/>
          <w:color w:val="auto"/>
        </w:rPr>
      </w:pPr>
      <w:r>
        <w:rPr>
          <w:rFonts w:ascii="Arial" w:cs="Arial" w:eastAsia="Arial" w:hAnsi="Arial"/>
          <w:sz w:val="15"/>
          <w:szCs w:val="15"/>
          <w:color w:val="auto"/>
        </w:rPr>
        <w:t>negative effects of the announcement or the consummation of the transaction on the market price of DuPont’s and/or IFF’s common stock,</w:t>
      </w:r>
    </w:p>
    <w:p>
      <w:pPr>
        <w:spacing w:after="0" w:line="19" w:lineRule="exact"/>
        <w:rPr>
          <w:rFonts w:ascii="Arial" w:cs="Arial" w:eastAsia="Arial" w:hAnsi="Arial"/>
          <w:sz w:val="15"/>
          <w:szCs w:val="15"/>
          <w:color w:val="auto"/>
        </w:rPr>
      </w:pPr>
    </w:p>
    <w:p>
      <w:pPr>
        <w:ind w:left="307" w:hanging="307"/>
        <w:spacing w:after="0"/>
        <w:tabs>
          <w:tab w:leader="none" w:pos="307" w:val="left"/>
        </w:tabs>
        <w:numPr>
          <w:ilvl w:val="0"/>
          <w:numId w:val="13"/>
        </w:numPr>
        <w:rPr>
          <w:rFonts w:ascii="Arial" w:cs="Arial" w:eastAsia="Arial" w:hAnsi="Arial"/>
          <w:sz w:val="15"/>
          <w:szCs w:val="15"/>
          <w:color w:val="auto"/>
        </w:rPr>
      </w:pPr>
      <w:r>
        <w:rPr>
          <w:rFonts w:ascii="Arial" w:cs="Arial" w:eastAsia="Arial" w:hAnsi="Arial"/>
          <w:sz w:val="15"/>
          <w:szCs w:val="15"/>
          <w:color w:val="auto"/>
        </w:rPr>
        <w:t>risks relating to the value of the IFF shares to be issued in the transaction and uncertainty as to the long-term value of IFF’s common stock,</w:t>
      </w:r>
    </w:p>
    <w:p>
      <w:pPr>
        <w:spacing w:after="0" w:line="19" w:lineRule="exact"/>
        <w:rPr>
          <w:rFonts w:ascii="Arial" w:cs="Arial" w:eastAsia="Arial" w:hAnsi="Arial"/>
          <w:sz w:val="15"/>
          <w:szCs w:val="15"/>
          <w:color w:val="auto"/>
        </w:rPr>
      </w:pPr>
    </w:p>
    <w:p>
      <w:pPr>
        <w:ind w:left="7" w:hanging="7"/>
        <w:spacing w:after="0" w:line="276" w:lineRule="auto"/>
        <w:tabs>
          <w:tab w:leader="none" w:pos="314" w:val="left"/>
        </w:tabs>
        <w:numPr>
          <w:ilvl w:val="0"/>
          <w:numId w:val="13"/>
        </w:numPr>
        <w:rPr>
          <w:rFonts w:ascii="Arial" w:cs="Arial" w:eastAsia="Arial" w:hAnsi="Arial"/>
          <w:sz w:val="15"/>
          <w:szCs w:val="15"/>
          <w:color w:val="auto"/>
        </w:rPr>
      </w:pPr>
      <w:r>
        <w:rPr>
          <w:rFonts w:ascii="Arial" w:cs="Arial" w:eastAsia="Arial" w:hAnsi="Arial"/>
          <w:sz w:val="15"/>
          <w:szCs w:val="15"/>
          <w:color w:val="auto"/>
        </w:rPr>
        <w:t>risks relating to IFF’s ongoing investigations into improper payments made in Frutarom businesses principally operating in Russia and the Ukraine, including expenses incurred with respect to the investigations, the cost of any remedial measures or compliance programs arising out of the investigations, legal proceedings or government investigations that may arise relating to the subject of IFF’s investigations, and the outcome of any such legal or government investigations, such as the imposition of fines, penalties, orders, or injunctions, (24) the impact of the failure to</w:t>
      </w:r>
    </w:p>
    <w:p>
      <w:pPr>
        <w:sectPr>
          <w:pgSz w:w="11900" w:h="16838" w:orient="portrait"/>
          <w:cols w:equalWidth="0" w:num="1">
            <w:col w:w="9767"/>
          </w:cols>
          <w:pgMar w:left="1053" w:top="1440" w:right="107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11747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02500" cy="11747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comply with U.S. or foreign anti-corruption and anti-bribery laws and regulations, including with respect to IFF’s ongoing investigations into improper payments made in Frutarom businesses principally operating in Russia and the Ukraine, (25) the impact of the outcome of legal claims, regulatory investigations and litigation, including any that may arise out of IFF’s ongoing investigations into improper payments made in Frutarom businesses principally operating in Russia and the Ukraine, (26) the ability of N&amp;Bco or IFF to retain and hire key personnel, (27) the risk that N&amp;Bco, as a newly formed entity that currently has no credit rating, will not have access to the capital markets on acceptable terms, (28) the risk that N&amp;Bco and IFF will incur significant indebtedness in connection with the potential transaction, and the degree to which IFF will be leveraged following completion of the potential transaction may materially and adversely affect its business, financial condition and results of operations, (29) the ability to obtain or consummate financing or refinancing related to the transaction upon acceptable terms or at all, and (30) other risks to DuPont’s, N&amp;Bco’s and IFF’s business, operations and results of operations including from: failure to develop and market new products and optimally manage product life cycles; ability, cost and impact on business operations, including the supply chain, of responding to changes in market acceptance, rules, regulations and policies and failure to respond to such changes; outcome of significant litigation, environmental matters and other commitments and contingencies; failure to appropriately manage process safety and product stewardship issues; global economic and capital market conditions, including the continued availability of capital and financing, as well as inflation, interest and currency exchange rates; changes in political conditions, including tariffs, trade disputes and retaliatory actions; impairment of goodwill or intangible assets; the availability of and fluctuations in the cost of energy and raw materials; business or supply disruption, including in connection with the Previous Distributions; security threats, such as acts of sabotage, terrorism or war, natural disasters and weather events and patterns which could result in a significant operational event for DuPont, N&amp;Bco or IFF, adversely impact demand or production; ability to discover, develop and protect new technologies and to protect and enforce DuPont’s, N&amp;Bco’s or IFF’s intellectual property rights; unpredictability and severity of catastrophic events, including, but not limited to, acts of terrorism or outbreak of war or hostilities, as well as management’s response to any of the aforementioned factors. These risks, as well as other risks associated with the proposed merger, will be more fully discussed in the registration statement and merger proxy on Form S-4 to be filed by IFF and the registration statement on Form 10 to be filed by N&amp;Bco. While the list of factors presented here is, and the list of factors to be presented in any registration statement filed in connection with the transaction are, considered representative, no such list should be considered to be a complete statement of all potential risks and uncertainties. Unlisted factors may present significant additional obstacles to the realization of forward looking statements. Further lists and descriptions of risks and uncertainties can be found in each of IFF’s and DuPont’s Form 10-Q for the period ended September 30, 2019 and each of IFF’s and DuPont’s respective subsequent reports on Form 10-Q, Form 10-K and Form 8-K, the contents of which are not incorporated by reference into, nor do they form part of, this announcement. Any other risks associated with the proposed transaction will be more fully discussed in any registration statement filed with the SEC. While the list of factors presented here is, and the list of factors that may be presented in a registration statement of IFF or N&amp;Bco would be, considered representative, no such list should be considered to be a complete statement of all potential risks and uncertainties. Unlisted factors may present significant additional obstacles to the realization of forward 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IFF’s, DuPont’s or N&amp;Bco’s consolidated financial condition, results of operations, credit rating or liquidity. None of IFF, DuPont nor N&amp;Bco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sectPr>
          <w:pgSz w:w="11900" w:h="16838" w:orient="portrait"/>
          <w:cols w:equalWidth="0" w:num="1">
            <w:col w:w="9760"/>
          </w:cols>
          <w:pgMar w:left="1060" w:top="1440" w:right="107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11747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02500" cy="117475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108"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This communication is not a solicitation of a proxy from any investor or security holder. However, DuPont, IFF and certain of their respective directors and executive officers may be deemed to be participants in the solicitation of proxies in connection with the proposed transaction under the rules of the SEC. Information about the directors and executive officers of DuPont may be found in its Annual Report on Form 10-K filed with the SEC on February 11, 2019 and its definitive proxy statement filed with the SEC on May 1, 2019. Information about the directors and executive officers of IFF may be found in its definitive proxy statement filed with the SEC on March 18, 2019. Other information regarding the participants in the proxy solicitation and a description of their direct and indirect interests, by security holdings or otherwise, will be contained in the registration statements, prospectuses and proxy statement and other relevant materials to be filed with the SEC when they become available.</w:t>
      </w:r>
    </w:p>
    <w:p>
      <w:pPr>
        <w:sectPr>
          <w:pgSz w:w="11900" w:h="16838" w:orient="portrait"/>
          <w:cols w:equalWidth="0" w:num="1">
            <w:col w:w="9680"/>
          </w:cols>
          <w:pgMar w:left="1060" w:top="1440" w:right="1159" w:bottom="1440" w:gutter="0" w:footer="0" w:header="0"/>
        </w:sectPr>
      </w:pPr>
    </w:p>
    <w:bookmarkStart w:id="91" w:name="page92"/>
    <w:bookmarkEnd w:id="91"/>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13335</wp:posOffset>
            </wp:positionV>
            <wp:extent cx="5835015" cy="75514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35015" cy="755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color w:val="FFFFFF"/>
        </w:rPr>
        <w:t>Twitter:</w:t>
      </w:r>
    </w:p>
    <w:p>
      <w:pPr>
        <w:spacing w:after="0" w:line="188" w:lineRule="auto"/>
        <w:rPr>
          <w:sz w:val="20"/>
          <w:szCs w:val="20"/>
          <w:color w:val="auto"/>
        </w:rPr>
      </w:pPr>
      <w:r>
        <w:rPr>
          <w:rFonts w:ascii="Arial" w:cs="Arial" w:eastAsia="Arial" w:hAnsi="Arial"/>
          <w:sz w:val="8"/>
          <w:szCs w:val="8"/>
          <w:color w:val="FFFFFF"/>
        </w:rPr>
        <w:t>©IFF</w:t>
      </w:r>
    </w:p>
    <w:p>
      <w:pPr>
        <w:spacing w:after="0" w:line="188" w:lineRule="auto"/>
        <w:rPr>
          <w:sz w:val="20"/>
          <w:szCs w:val="20"/>
          <w:color w:val="auto"/>
        </w:rPr>
      </w:pPr>
      <w:r>
        <w:rPr>
          <w:rFonts w:ascii="Arial" w:cs="Arial" w:eastAsia="Arial" w:hAnsi="Arial"/>
          <w:sz w:val="8"/>
          <w:szCs w:val="8"/>
          <w:color w:val="FFFFFF"/>
        </w:rPr>
        <w:t>Exciting announcement! We’re combining with DuPont’s</w:t>
      </w:r>
    </w:p>
    <w:p>
      <w:pPr>
        <w:spacing w:after="0" w:line="188" w:lineRule="auto"/>
        <w:rPr>
          <w:sz w:val="20"/>
          <w:szCs w:val="20"/>
          <w:color w:val="auto"/>
        </w:rPr>
      </w:pPr>
      <w:r>
        <w:rPr>
          <w:rFonts w:ascii="Arial" w:cs="Arial" w:eastAsia="Arial" w:hAnsi="Arial"/>
          <w:sz w:val="4"/>
          <w:szCs w:val="4"/>
          <w:color w:val="FFFFFF"/>
        </w:rPr>
        <w:t>Nutrition St Biosciences to create a global integrated</w:t>
      </w:r>
    </w:p>
    <w:p>
      <w:pPr>
        <w:spacing w:after="0" w:line="188" w:lineRule="auto"/>
        <w:rPr>
          <w:sz w:val="20"/>
          <w:szCs w:val="20"/>
          <w:color w:val="auto"/>
        </w:rPr>
      </w:pPr>
      <w:r>
        <w:rPr>
          <w:rFonts w:ascii="Arial" w:cs="Arial" w:eastAsia="Arial" w:hAnsi="Arial"/>
          <w:sz w:val="8"/>
          <w:szCs w:val="8"/>
          <w:color w:val="FFFFFF"/>
        </w:rPr>
        <w:t>withsolutionsabroaderleadersetacrossofcapabilitiesconsumer-toorientedmeetcustomers’endmarkets</w:t>
      </w:r>
    </w:p>
    <w:p>
      <w:pPr>
        <w:spacing w:after="0" w:line="188" w:lineRule="auto"/>
        <w:rPr>
          <w:sz w:val="20"/>
          <w:szCs w:val="20"/>
          <w:color w:val="auto"/>
        </w:rPr>
      </w:pPr>
      <w:r>
        <w:rPr>
          <w:rFonts w:ascii="Arial" w:cs="Arial" w:eastAsia="Arial" w:hAnsi="Arial"/>
          <w:sz w:val="4"/>
          <w:szCs w:val="4"/>
          <w:color w:val="FFFFFF"/>
        </w:rPr>
        <w:t>StrongerlnnovationTogether.comevolvingneeds.Learnmore</w:t>
      </w:r>
    </w:p>
    <w:p>
      <w:pPr>
        <w:spacing w:after="0" w:line="188" w:lineRule="auto"/>
        <w:rPr>
          <w:sz w:val="20"/>
          <w:szCs w:val="20"/>
          <w:color w:val="auto"/>
        </w:rPr>
      </w:pPr>
      <w:r>
        <w:rPr>
          <w:rFonts w:ascii="Arial" w:cs="Arial" w:eastAsia="Arial" w:hAnsi="Arial"/>
          <w:sz w:val="7"/>
          <w:szCs w:val="7"/>
          <w:color w:val="FFFFFF"/>
        </w:rPr>
        <w:t>Nutrition</w:t>
      </w:r>
      <w:r>
        <w:rPr>
          <w:rFonts w:ascii="Arial" w:cs="Arial" w:eastAsia="Arial" w:hAnsi="Arial"/>
          <w:sz w:val="8"/>
          <w:szCs w:val="8"/>
          <w:color w:val="FFFFFF"/>
          <w:vertAlign w:val="superscript"/>
        </w:rPr>
        <w:t>DPont</w:t>
      </w:r>
      <w:r>
        <w:rPr>
          <w:rFonts w:ascii="Arial" w:cs="Arial" w:eastAsia="Arial" w:hAnsi="Arial"/>
          <w:sz w:val="7"/>
          <w:szCs w:val="7"/>
          <w:color w:val="FFFFFF"/>
        </w:rPr>
        <w:t xml:space="preserve"> &amp; Biosciences</w:t>
      </w:r>
    </w:p>
    <w:p>
      <w:pPr>
        <w:spacing w:after="0"/>
        <w:rPr>
          <w:sz w:val="20"/>
          <w:szCs w:val="20"/>
          <w:color w:val="auto"/>
        </w:rPr>
      </w:pPr>
      <w:r>
        <w:rPr>
          <w:rFonts w:ascii="Arial" w:cs="Arial" w:eastAsia="Arial" w:hAnsi="Arial"/>
          <w:sz w:val="12"/>
          <w:szCs w:val="12"/>
          <w:color w:val="FFFFFF"/>
        </w:rPr>
        <w:t>4:01 Dec 15, 2019 Twitter Web App</w:t>
      </w:r>
    </w:p>
    <w:p>
      <w:pPr>
        <w:sectPr>
          <w:pgSz w:w="11900" w:h="16838" w:orient="portrait"/>
          <w:cols w:equalWidth="0" w:num="1">
            <w:col w:w="9800"/>
          </w:cols>
          <w:pgMar w:left="1060" w:top="259" w:right="1039"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6"/>
          <w:szCs w:val="6"/>
          <w:color w:val="FFFFFF"/>
        </w:rPr>
        <w:t>5:What03PM—Decanexciting15,day2019for Twitterushere Web@IFF!AppWdedicationcouldn’t have</w:t>
      </w:r>
    </w:p>
    <w:p>
      <w:pPr>
        <w:spacing w:after="0" w:line="49" w:lineRule="exact"/>
        <w:rPr>
          <w:sz w:val="20"/>
          <w:szCs w:val="20"/>
          <w:color w:val="auto"/>
        </w:rPr>
      </w:pPr>
    </w:p>
    <w:p>
      <w:pPr>
        <w:ind w:left="2580"/>
        <w:spacing w:after="0"/>
        <w:rPr>
          <w:sz w:val="20"/>
          <w:szCs w:val="20"/>
          <w:color w:val="auto"/>
        </w:rPr>
      </w:pPr>
      <w:r>
        <w:rPr>
          <w:rFonts w:ascii="Arial" w:cs="Arial" w:eastAsia="Arial" w:hAnsi="Arial"/>
          <w:sz w:val="1"/>
          <w:szCs w:val="1"/>
          <w:color w:val="FFFFFF"/>
        </w:rPr>
        <w:t>ourreached this pointcolleagues.withoutLookingthepassionforwardand to this next of</w:t>
      </w:r>
    </w:p>
    <w:p>
      <w:pPr>
        <w:ind w:left="180"/>
        <w:spacing w:after="0" w:line="188" w:lineRule="auto"/>
        <w:rPr>
          <w:sz w:val="20"/>
          <w:szCs w:val="20"/>
          <w:color w:val="auto"/>
        </w:rPr>
      </w:pPr>
      <w:r>
        <w:rPr>
          <w:rFonts w:ascii="Arial" w:cs="Arial" w:eastAsia="Arial" w:hAnsi="Arial"/>
          <w:sz w:val="8"/>
          <w:szCs w:val="8"/>
          <w:color w:val="FFFFFF"/>
        </w:rPr>
        <w:t>amazing</w:t>
      </w:r>
    </w:p>
    <w:p>
      <w:pPr>
        <w:spacing w:after="0"/>
        <w:rPr>
          <w:sz w:val="20"/>
          <w:szCs w:val="20"/>
          <w:color w:val="auto"/>
        </w:rPr>
      </w:pPr>
      <w:r>
        <w:rPr>
          <w:rFonts w:ascii="Arial" w:cs="Arial" w:eastAsia="Arial" w:hAnsi="Arial"/>
          <w:sz w:val="7"/>
          <w:szCs w:val="7"/>
          <w:color w:val="FFFFFF"/>
        </w:rPr>
        <w:t>itstepout: StrongerlnnovationTogether.comourjourneytogether.Wanttolearn more? Check</w:t>
      </w:r>
    </w:p>
    <w:p>
      <w:pPr>
        <w:sectPr>
          <w:pgSz w:w="11900" w:h="16838" w:orient="portrait"/>
          <w:cols w:equalWidth="0" w:num="1">
            <w:col w:w="9399"/>
          </w:cols>
          <w:pgMar w:left="1060" w:top="1440" w:right="1440"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2"/>
          <w:szCs w:val="12"/>
          <w:color w:val="FFFFFF"/>
        </w:rPr>
        <w:t>IFF</w:t>
      </w:r>
    </w:p>
    <w:p>
      <w:pPr>
        <w:spacing w:after="0" w:line="188" w:lineRule="auto"/>
        <w:rPr>
          <w:sz w:val="20"/>
          <w:szCs w:val="20"/>
          <w:color w:val="auto"/>
        </w:rPr>
      </w:pPr>
      <w:r>
        <w:rPr>
          <w:rFonts w:ascii="Arial" w:cs="Arial" w:eastAsia="Arial" w:hAnsi="Arial"/>
          <w:sz w:val="8"/>
          <w:szCs w:val="8"/>
          <w:color w:val="FFFFFF"/>
        </w:rPr>
        <w:t>@|FF</w:t>
      </w:r>
    </w:p>
    <w:p>
      <w:pPr>
        <w:spacing w:after="0" w:line="188" w:lineRule="auto"/>
        <w:rPr>
          <w:sz w:val="20"/>
          <w:szCs w:val="20"/>
          <w:color w:val="auto"/>
        </w:rPr>
      </w:pPr>
      <w:r>
        <w:rPr>
          <w:rFonts w:ascii="Arial" w:cs="Arial" w:eastAsia="Arial" w:hAnsi="Arial"/>
          <w:sz w:val="4"/>
          <w:szCs w:val="4"/>
          <w:color w:val="FFFFFF"/>
        </w:rPr>
        <w:t>By combining with DuPont’s Nutrition &amp; Biosciences,</w:t>
      </w:r>
    </w:p>
    <w:p>
      <w:pPr>
        <w:spacing w:after="0"/>
        <w:rPr>
          <w:sz w:val="20"/>
          <w:szCs w:val="20"/>
          <w:color w:val="auto"/>
        </w:rPr>
      </w:pPr>
      <w:r>
        <w:rPr>
          <w:rFonts w:ascii="Arial" w:cs="Arial" w:eastAsia="Arial" w:hAnsi="Arial"/>
          <w:sz w:val="6"/>
          <w:szCs w:val="6"/>
          <w:color w:val="FFFFFF"/>
        </w:rPr>
        <w:t>helpwewillourblendcustomersourculturesproduceofnatural,sciencehealthierandcreativityand to</w:t>
      </w:r>
    </w:p>
    <w:p>
      <w:pPr>
        <w:spacing w:after="0" w:line="204" w:lineRule="auto"/>
        <w:rPr>
          <w:sz w:val="20"/>
          <w:szCs w:val="20"/>
          <w:color w:val="auto"/>
        </w:rPr>
      </w:pPr>
      <w:r>
        <w:rPr>
          <w:rFonts w:ascii="Arial" w:cs="Arial" w:eastAsia="Arial" w:hAnsi="Arial"/>
          <w:sz w:val="4"/>
          <w:szCs w:val="4"/>
          <w:color w:val="FFFFFF"/>
        </w:rPr>
        <w:t>StrongerlnnovationTogether.com“betterforyou”products.Check out the benefits:</w:t>
      </w:r>
    </w:p>
    <w:p>
      <w:pPr>
        <w:spacing w:after="0"/>
        <w:rPr>
          <w:sz w:val="20"/>
          <w:szCs w:val="20"/>
          <w:color w:val="auto"/>
        </w:rPr>
      </w:pPr>
      <w:r>
        <w:rPr>
          <w:rFonts w:ascii="Arial" w:cs="Arial" w:eastAsia="Arial" w:hAnsi="Arial"/>
          <w:sz w:val="12"/>
          <w:szCs w:val="12"/>
          <w:color w:val="FFFFFF"/>
        </w:rPr>
        <w:t>6:00 PM Dec 15, 2019 Twitter Web App</w:t>
      </w:r>
    </w:p>
    <w:p>
      <w:pPr>
        <w:sectPr>
          <w:pgSz w:w="11900" w:h="16838" w:orient="portrait"/>
          <w:cols w:equalWidth="0" w:num="1">
            <w:col w:w="9399"/>
          </w:cols>
          <w:pgMar w:left="1060" w:top="1440" w:right="1440"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2"/>
          <w:szCs w:val="12"/>
          <w:color w:val="FFFFFF"/>
        </w:rPr>
        <w:t>Facebook:</w:t>
      </w:r>
    </w:p>
    <w:p>
      <w:pPr>
        <w:spacing w:after="0" w:line="188" w:lineRule="auto"/>
        <w:rPr>
          <w:sz w:val="20"/>
          <w:szCs w:val="20"/>
          <w:color w:val="auto"/>
        </w:rPr>
      </w:pPr>
      <w:r>
        <w:rPr>
          <w:rFonts w:ascii="Arial" w:cs="Arial" w:eastAsia="Arial" w:hAnsi="Arial"/>
          <w:sz w:val="4"/>
          <w:szCs w:val="4"/>
          <w:color w:val="FFFFFF"/>
        </w:rPr>
        <w:t>IFF</w:t>
      </w:r>
    </w:p>
    <w:p>
      <w:pPr>
        <w:spacing w:after="0" w:line="188" w:lineRule="auto"/>
        <w:rPr>
          <w:sz w:val="20"/>
          <w:szCs w:val="20"/>
          <w:color w:val="auto"/>
        </w:rPr>
      </w:pPr>
      <w:r>
        <w:rPr>
          <w:rFonts w:ascii="Arial" w:cs="Arial" w:eastAsia="Arial" w:hAnsi="Arial"/>
          <w:sz w:val="8"/>
          <w:szCs w:val="8"/>
          <w:color w:val="FFFFFF"/>
        </w:rPr>
        <w:t>1 min</w:t>
      </w:r>
    </w:p>
    <w:p>
      <w:pPr>
        <w:spacing w:after="0" w:line="188" w:lineRule="auto"/>
        <w:rPr>
          <w:sz w:val="20"/>
          <w:szCs w:val="20"/>
          <w:color w:val="auto"/>
        </w:rPr>
      </w:pPr>
      <w:r>
        <w:rPr>
          <w:rFonts w:ascii="Arial" w:cs="Arial" w:eastAsia="Arial" w:hAnsi="Arial"/>
          <w:sz w:val="2"/>
          <w:szCs w:val="2"/>
          <w:color w:val="FFFFFF"/>
        </w:rPr>
        <w:t>W</w:t>
      </w:r>
      <w:r>
        <w:rPr>
          <w:rFonts w:ascii="Arial" w:cs="Arial" w:eastAsia="Arial" w:hAnsi="Arial"/>
          <w:sz w:val="4"/>
          <w:szCs w:val="4"/>
          <w:color w:val="FFFFFF"/>
          <w:vertAlign w:val="subscript"/>
        </w:rPr>
        <w:t>Biosciences</w:t>
      </w:r>
      <w:r>
        <w:rPr>
          <w:rFonts w:ascii="Arial" w:cs="Arial" w:eastAsia="Arial" w:hAnsi="Arial"/>
          <w:sz w:val="2"/>
          <w:szCs w:val="2"/>
          <w:color w:val="FFFFFF"/>
        </w:rPr>
        <w:t>reexcitedbusinesstosharetothat</w:t>
      </w:r>
      <w:r>
        <w:rPr>
          <w:rFonts w:ascii="Arial" w:cs="Arial" w:eastAsia="Arial" w:hAnsi="Arial"/>
          <w:sz w:val="4"/>
          <w:szCs w:val="4"/>
          <w:color w:val="FFFFFF"/>
          <w:vertAlign w:val="subscript"/>
        </w:rPr>
        <w:t>significantly</w:t>
      </w:r>
      <w:r>
        <w:rPr>
          <w:rFonts w:ascii="Arial" w:cs="Arial" w:eastAsia="Arial" w:hAnsi="Arial"/>
          <w:sz w:val="2"/>
          <w:szCs w:val="2"/>
          <w:color w:val="FFFFFF"/>
        </w:rPr>
        <w:t>createwe’regcombiningobalintegratedwith DuPont’ssolutions leader.Nutrition &amp;</w:t>
      </w:r>
    </w:p>
    <w:p>
      <w:pPr>
        <w:spacing w:after="0" w:line="188" w:lineRule="auto"/>
        <w:tabs>
          <w:tab w:leader="none" w:pos="1720" w:val="left"/>
        </w:tabs>
        <w:rPr>
          <w:sz w:val="20"/>
          <w:szCs w:val="20"/>
          <w:color w:val="auto"/>
        </w:rPr>
      </w:pPr>
      <w:r>
        <w:rPr>
          <w:rFonts w:ascii="Arial" w:cs="Arial" w:eastAsia="Arial" w:hAnsi="Arial"/>
          <w:sz w:val="8"/>
          <w:szCs w:val="8"/>
          <w:color w:val="FFFFFF"/>
        </w:rPr>
        <w:t>Together, we expect to</w:t>
      </w:r>
      <w:r>
        <w:rPr>
          <w:sz w:val="20"/>
          <w:szCs w:val="20"/>
          <w:color w:val="auto"/>
        </w:rPr>
        <w:tab/>
      </w:r>
      <w:r>
        <w:rPr>
          <w:rFonts w:ascii="Arial" w:cs="Arial" w:eastAsia="Arial" w:hAnsi="Arial"/>
          <w:sz w:val="8"/>
          <w:szCs w:val="8"/>
          <w:color w:val="FFFFFF"/>
        </w:rPr>
        <w:t>increase our customers’ speed to</w:t>
      </w:r>
    </w:p>
    <w:p>
      <w:pPr>
        <w:spacing w:after="0" w:line="215" w:lineRule="auto"/>
        <w:rPr>
          <w:sz w:val="20"/>
          <w:szCs w:val="20"/>
          <w:color w:val="auto"/>
        </w:rPr>
      </w:pPr>
      <w:r>
        <w:rPr>
          <w:rFonts w:ascii="Arial" w:cs="Arial" w:eastAsia="Arial" w:hAnsi="Arial"/>
          <w:sz w:val="7"/>
          <w:szCs w:val="7"/>
          <w:color w:val="FFFFFF"/>
        </w:rPr>
        <w:t>consumermarketcreateinsightsnew forefficienciesnext-generationinproductproducts.development and provide critical</w:t>
      </w:r>
    </w:p>
    <w:p>
      <w:pPr>
        <w:spacing w:after="0"/>
        <w:rPr>
          <w:sz w:val="20"/>
          <w:szCs w:val="20"/>
          <w:color w:val="auto"/>
        </w:rPr>
      </w:pPr>
      <w:r>
        <w:rPr>
          <w:rFonts w:ascii="Arial" w:cs="Arial" w:eastAsia="Arial" w:hAnsi="Arial"/>
          <w:sz w:val="9"/>
          <w:szCs w:val="9"/>
          <w:color w:val="FFFFFF"/>
        </w:rPr>
        <w:t>www.StrongerlnnovationTogether.comWanttolearnmore?Checkoutthebenefits here:</w:t>
      </w:r>
    </w:p>
    <w:p>
      <w:pPr>
        <w:sectPr>
          <w:pgSz w:w="11900" w:h="16838" w:orient="portrait"/>
          <w:cols w:equalWidth="0" w:num="1">
            <w:col w:w="9399"/>
          </w:cols>
          <w:pgMar w:left="1060" w:top="1440" w:right="1440"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6"/>
          <w:szCs w:val="6"/>
          <w:color w:val="FFFFFF"/>
        </w:rPr>
        <w:t>differentiatedoursharedculturesingredientsrootedandinsciencesolutionsandforcreativityourcustomers.willallow us to create</w:t>
      </w:r>
    </w:p>
    <w:p>
      <w:pPr>
        <w:spacing w:after="0" w:line="188" w:lineRule="auto"/>
        <w:rPr>
          <w:sz w:val="20"/>
          <w:szCs w:val="20"/>
          <w:color w:val="auto"/>
        </w:rPr>
      </w:pPr>
      <w:r>
        <w:rPr>
          <w:rFonts w:ascii="Arial" w:cs="Arial" w:eastAsia="Arial" w:hAnsi="Arial"/>
          <w:sz w:val="7"/>
          <w:szCs w:val="7"/>
          <w:color w:val="FFFFFF"/>
        </w:rPr>
        <w:t xml:space="preserve">Our combined company will be </w:t>
      </w:r>
      <w:r>
        <w:rPr>
          <w:rFonts w:ascii="Arial" w:cs="Arial" w:eastAsia="Arial" w:hAnsi="Arial"/>
          <w:sz w:val="8"/>
          <w:szCs w:val="8"/>
          <w:color w:val="FFFFFF"/>
          <w:vertAlign w:val="subscript"/>
        </w:rPr>
        <w:t>stronger</w:t>
      </w:r>
      <w:r>
        <w:rPr>
          <w:rFonts w:ascii="Arial" w:cs="Arial" w:eastAsia="Arial" w:hAnsi="Arial"/>
          <w:sz w:val="7"/>
          <w:szCs w:val="7"/>
          <w:color w:val="FFFFFF"/>
        </w:rPr>
        <w:t xml:space="preserve"> together and draw the best talent</w:t>
      </w:r>
    </w:p>
    <w:p>
      <w:pPr>
        <w:spacing w:after="0"/>
        <w:rPr>
          <w:sz w:val="20"/>
          <w:szCs w:val="20"/>
          <w:color w:val="auto"/>
        </w:rPr>
      </w:pPr>
      <w:r>
        <w:rPr>
          <w:rFonts w:ascii="Arial" w:cs="Arial" w:eastAsia="Arial" w:hAnsi="Arial"/>
          <w:sz w:val="6"/>
          <w:szCs w:val="6"/>
          <w:color w:val="FFFFFF"/>
        </w:rPr>
        <w:t>infromourbothjourney@IFFtakesandus,DuPontandweN&amp;B.thankWyouareforexcitedyour continuedtoseewheresupport.thisnext step</w:t>
      </w:r>
    </w:p>
    <w:p>
      <w:pPr>
        <w:spacing w:after="0" w:line="204" w:lineRule="auto"/>
        <w:rPr>
          <w:sz w:val="20"/>
          <w:szCs w:val="20"/>
          <w:color w:val="auto"/>
        </w:rPr>
      </w:pPr>
      <w:r>
        <w:rPr>
          <w:rFonts w:ascii="Arial" w:cs="Arial" w:eastAsia="Arial" w:hAnsi="Arial"/>
          <w:sz w:val="4"/>
          <w:szCs w:val="4"/>
          <w:color w:val="FFFFFF"/>
        </w:rPr>
        <w:t>IFF4</w:t>
      </w:r>
    </w:p>
    <w:p>
      <w:pPr>
        <w:spacing w:after="0" w:line="188" w:lineRule="auto"/>
        <w:rPr>
          <w:sz w:val="20"/>
          <w:szCs w:val="20"/>
          <w:color w:val="auto"/>
        </w:rPr>
      </w:pPr>
      <w:r>
        <w:rPr>
          <w:rFonts w:ascii="Arial" w:cs="Arial" w:eastAsia="Arial" w:hAnsi="Arial"/>
          <w:sz w:val="8"/>
          <w:szCs w:val="8"/>
          <w:color w:val="FFFFFF"/>
        </w:rPr>
        <w:t>7 mins</w:t>
      </w:r>
    </w:p>
    <w:p>
      <w:pPr>
        <w:spacing w:after="0"/>
        <w:rPr>
          <w:sz w:val="20"/>
          <w:szCs w:val="20"/>
          <w:color w:val="auto"/>
        </w:rPr>
      </w:pPr>
      <w:r>
        <w:rPr>
          <w:rFonts w:ascii="Arial" w:cs="Arial" w:eastAsia="Arial" w:hAnsi="Arial"/>
          <w:sz w:val="9"/>
          <w:szCs w:val="9"/>
          <w:color w:val="FFFFFF"/>
        </w:rPr>
        <w:t>LikeWantCommenttolearnmore?ShareCheck it out: StrongerlnnovationTogether.com</w:t>
      </w:r>
    </w:p>
    <w:p>
      <w:pPr>
        <w:sectPr>
          <w:pgSz w:w="11900" w:h="16838" w:orient="portrait"/>
          <w:cols w:equalWidth="0" w:num="1">
            <w:col w:w="9399"/>
          </w:cols>
          <w:pgMar w:left="1060" w:top="1440" w:right="1440"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3"/>
          <w:szCs w:val="3"/>
          <w:color w:val="FFFFFF"/>
        </w:rPr>
        <w:t>blendBycombiningourcultureswithofDuPont’ssci</w:t>
      </w:r>
      <w:r>
        <w:rPr>
          <w:rFonts w:ascii="Arial" w:cs="Arial" w:eastAsia="Arial" w:hAnsi="Arial"/>
          <w:sz w:val="6"/>
          <w:szCs w:val="6"/>
          <w:color w:val="FFFFFF"/>
          <w:vertAlign w:val="subscript"/>
        </w:rPr>
        <w:t>“better</w:t>
      </w:r>
      <w:r>
        <w:rPr>
          <w:rFonts w:ascii="Arial" w:cs="Arial" w:eastAsia="Arial" w:hAnsi="Arial"/>
          <w:sz w:val="3"/>
          <w:szCs w:val="3"/>
          <w:color w:val="FFFFFF"/>
        </w:rPr>
        <w:t>nce andNutritioncreativity&amp;Biosciencestohelpour business,customersweproducewill</w:t>
      </w:r>
    </w:p>
    <w:p>
      <w:pPr>
        <w:spacing w:after="0" w:line="138" w:lineRule="exact"/>
        <w:rPr>
          <w:sz w:val="20"/>
          <w:szCs w:val="20"/>
          <w:color w:val="auto"/>
        </w:rPr>
      </w:pPr>
    </w:p>
    <w:p>
      <w:pPr>
        <w:spacing w:after="0"/>
        <w:rPr>
          <w:sz w:val="20"/>
          <w:szCs w:val="20"/>
          <w:color w:val="auto"/>
        </w:rPr>
      </w:pPr>
      <w:r>
        <w:rPr>
          <w:rFonts w:ascii="Arial" w:cs="Arial" w:eastAsia="Arial" w:hAnsi="Arial"/>
          <w:sz w:val="8"/>
          <w:szCs w:val="8"/>
          <w:color w:val="FFFFFF"/>
        </w:rPr>
        <w:t>StrongerInnovationTogethernatural,healthierand oomforyou” products. Find out more here:</w:t>
      </w:r>
    </w:p>
    <w:p>
      <w:pPr>
        <w:spacing w:after="0"/>
        <w:rPr>
          <w:sz w:val="20"/>
          <w:szCs w:val="20"/>
          <w:color w:val="auto"/>
        </w:rPr>
      </w:pPr>
      <w:r>
        <w:rPr>
          <w:rFonts w:ascii="Arial" w:cs="Arial" w:eastAsia="Arial" w:hAnsi="Arial"/>
          <w:sz w:val="12"/>
          <w:szCs w:val="12"/>
          <w:color w:val="FFFFFF"/>
        </w:rPr>
        <w:t>Comment</w:t>
      </w:r>
    </w:p>
    <w:p>
      <w:pPr>
        <w:sectPr>
          <w:pgSz w:w="11900" w:h="16838" w:orient="portrait"/>
          <w:cols w:equalWidth="0" w:num="1">
            <w:col w:w="9399"/>
          </w:cols>
          <w:pgMar w:left="1060" w:top="1440" w:right="1440"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color w:val="FFFFFF"/>
        </w:rPr>
        <w:t>LinkedIn:</w:t>
      </w:r>
    </w:p>
    <w:p>
      <w:pPr>
        <w:spacing w:after="0" w:line="188" w:lineRule="auto"/>
        <w:rPr>
          <w:sz w:val="20"/>
          <w:szCs w:val="20"/>
          <w:color w:val="auto"/>
        </w:rPr>
      </w:pPr>
      <w:r>
        <w:rPr>
          <w:rFonts w:ascii="Arial" w:cs="Arial" w:eastAsia="Arial" w:hAnsi="Arial"/>
          <w:sz w:val="4"/>
          <w:szCs w:val="4"/>
          <w:color w:val="FFFFFF"/>
        </w:rPr>
        <w:t>147.International091followersFlavors &amp; Fragrances</w:t>
      </w:r>
    </w:p>
    <w:p>
      <w:pPr>
        <w:spacing w:after="0" w:line="188" w:lineRule="auto"/>
        <w:rPr>
          <w:sz w:val="20"/>
          <w:szCs w:val="20"/>
          <w:color w:val="auto"/>
        </w:rPr>
      </w:pPr>
      <w:r>
        <w:rPr>
          <w:rFonts w:ascii="Arial" w:cs="Arial" w:eastAsia="Arial" w:hAnsi="Arial"/>
          <w:sz w:val="7"/>
          <w:szCs w:val="7"/>
          <w:color w:val="FFFFFF"/>
        </w:rPr>
        <w:t xml:space="preserve">We’re cured to </w:t>
      </w:r>
      <w:r>
        <w:rPr>
          <w:rFonts w:ascii="Arial" w:cs="Arial" w:eastAsia="Arial" w:hAnsi="Arial"/>
          <w:sz w:val="8"/>
          <w:szCs w:val="8"/>
          <w:color w:val="FFFFFF"/>
          <w:vertAlign w:val="subscript"/>
        </w:rPr>
        <w:t>solutions</w:t>
      </w:r>
      <w:r>
        <w:rPr>
          <w:rFonts w:ascii="Arial" w:cs="Arial" w:eastAsia="Arial" w:hAnsi="Arial"/>
          <w:sz w:val="7"/>
          <w:szCs w:val="7"/>
          <w:color w:val="FFFFFF"/>
        </w:rPr>
        <w:t>harethat we’re combining with DuPont Nutrition &amp; Bioscences to create a</w:t>
      </w:r>
    </w:p>
    <w:p>
      <w:pPr>
        <w:spacing w:after="0" w:line="188" w:lineRule="auto"/>
        <w:rPr>
          <w:sz w:val="20"/>
          <w:szCs w:val="20"/>
          <w:color w:val="auto"/>
        </w:rPr>
      </w:pPr>
      <w:r>
        <w:rPr>
          <w:rFonts w:ascii="Arial" w:cs="Arial" w:eastAsia="Arial" w:hAnsi="Arial"/>
          <w:sz w:val="2"/>
          <w:szCs w:val="2"/>
          <w:color w:val="FFFFFF"/>
        </w:rPr>
        <w:t>Healthnewintegrated&amp;Wellness markets.leaderWithfora globalbroaderFoodset of&amp; capabilitiesBeverage,HomeandtheSt *1Persona</w:t>
      </w:r>
      <w:r>
        <w:rPr>
          <w:rFonts w:ascii="Arial" w:cs="Arial" w:eastAsia="Arial" w:hAnsi="Arial"/>
          <w:sz w:val="4"/>
          <w:szCs w:val="4"/>
          <w:color w:val="FFFFFF"/>
          <w:vertAlign w:val="subscript"/>
        </w:rPr>
        <w:t>categories,</w:t>
      </w:r>
      <w:r>
        <w:rPr>
          <w:rFonts w:ascii="Arial" w:cs="Arial" w:eastAsia="Arial" w:hAnsi="Arial"/>
          <w:sz w:val="2"/>
          <w:szCs w:val="2"/>
          <w:color w:val="FFFFFF"/>
        </w:rPr>
        <w:t>#2positionsCareand in</w:t>
      </w:r>
    </w:p>
    <w:p>
      <w:pPr>
        <w:spacing w:after="0" w:line="188" w:lineRule="auto"/>
        <w:tabs>
          <w:tab w:leader="none" w:pos="3960" w:val="left"/>
        </w:tabs>
        <w:rPr>
          <w:sz w:val="20"/>
          <w:szCs w:val="20"/>
          <w:color w:val="auto"/>
        </w:rPr>
      </w:pPr>
      <w:r>
        <w:rPr>
          <w:rFonts w:ascii="Arial" w:cs="Arial" w:eastAsia="Arial" w:hAnsi="Arial"/>
          <w:sz w:val="8"/>
          <w:szCs w:val="8"/>
          <w:color w:val="FFFFFF"/>
        </w:rPr>
        <w:t>Taste Scent, Nutrition, Cultures, Enzymes, Soy Proteins and Probiotics</w:t>
      </w:r>
      <w:r>
        <w:rPr>
          <w:sz w:val="20"/>
          <w:szCs w:val="20"/>
          <w:color w:val="auto"/>
        </w:rPr>
        <w:tab/>
      </w:r>
      <w:r>
        <w:rPr>
          <w:rFonts w:ascii="Arial" w:cs="Arial" w:eastAsia="Arial" w:hAnsi="Arial"/>
          <w:sz w:val="8"/>
          <w:szCs w:val="8"/>
          <w:color w:val="FFFFFF"/>
        </w:rPr>
        <w:t>we</w:t>
      </w:r>
    </w:p>
    <w:p>
      <w:pPr>
        <w:spacing w:after="0" w:line="188" w:lineRule="auto"/>
        <w:rPr>
          <w:sz w:val="20"/>
          <w:szCs w:val="20"/>
          <w:color w:val="auto"/>
        </w:rPr>
      </w:pPr>
      <w:r>
        <w:rPr>
          <w:rFonts w:ascii="Arial" w:cs="Arial" w:eastAsia="Arial" w:hAnsi="Arial"/>
          <w:sz w:val="8"/>
          <w:szCs w:val="8"/>
          <w:color w:val="FFFFFF"/>
        </w:rPr>
        <w:t>products.willbetter meet our customers demands for natural, healthier and ‘better for you”</w:t>
      </w:r>
    </w:p>
    <w:p>
      <w:pPr>
        <w:spacing w:after="0" w:line="188" w:lineRule="auto"/>
        <w:rPr>
          <w:sz w:val="20"/>
          <w:szCs w:val="20"/>
          <w:color w:val="auto"/>
        </w:rPr>
      </w:pPr>
      <w:r>
        <w:rPr>
          <w:rFonts w:ascii="Arial" w:cs="Arial" w:eastAsia="Arial" w:hAnsi="Arial"/>
          <w:sz w:val="4"/>
          <w:szCs w:val="4"/>
          <w:color w:val="FFFFFF"/>
        </w:rPr>
        <w:t>https://lnkd.in/dryAqVJWanttolearnmore?Checkout the benefits here:</w:t>
      </w:r>
    </w:p>
    <w:p>
      <w:pPr>
        <w:spacing w:after="0" w:line="188" w:lineRule="auto"/>
        <w:rPr>
          <w:sz w:val="20"/>
          <w:szCs w:val="20"/>
          <w:color w:val="auto"/>
        </w:rPr>
      </w:pPr>
      <w:r>
        <w:rPr>
          <w:rFonts w:ascii="Arial" w:cs="Arial" w:eastAsia="Arial" w:hAnsi="Arial"/>
          <w:sz w:val="7"/>
          <w:szCs w:val="7"/>
          <w:color w:val="FFFFFF"/>
        </w:rPr>
        <w:t>Nutrition</w:t>
      </w:r>
      <w:r>
        <w:rPr>
          <w:rFonts w:ascii="Arial" w:cs="Arial" w:eastAsia="Arial" w:hAnsi="Arial"/>
          <w:sz w:val="8"/>
          <w:szCs w:val="8"/>
          <w:color w:val="FFFFFF"/>
          <w:vertAlign w:val="superscript"/>
        </w:rPr>
        <w:t>DPont</w:t>
      </w:r>
    </w:p>
    <w:p>
      <w:pPr>
        <w:spacing w:after="0" w:line="188" w:lineRule="auto"/>
        <w:tabs>
          <w:tab w:leader="none" w:pos="440" w:val="left"/>
        </w:tabs>
        <w:rPr>
          <w:sz w:val="20"/>
          <w:szCs w:val="20"/>
          <w:color w:val="auto"/>
        </w:rPr>
      </w:pPr>
      <w:r>
        <w:rPr>
          <w:rFonts w:ascii="Arial" w:cs="Arial" w:eastAsia="Arial" w:hAnsi="Arial"/>
          <w:sz w:val="8"/>
          <w:szCs w:val="8"/>
          <w:color w:val="FFFFFF"/>
        </w:rPr>
        <w:t>Home</w:t>
      </w:r>
      <w:r>
        <w:rPr>
          <w:sz w:val="20"/>
          <w:szCs w:val="20"/>
          <w:color w:val="auto"/>
        </w:rPr>
        <w:tab/>
      </w:r>
      <w:r>
        <w:rPr>
          <w:rFonts w:ascii="Arial" w:cs="Arial" w:eastAsia="Arial" w:hAnsi="Arial"/>
          <w:sz w:val="8"/>
          <w:szCs w:val="8"/>
          <w:color w:val="FFFFFF"/>
        </w:rPr>
        <w:t>&amp; Biosciences</w:t>
      </w:r>
    </w:p>
    <w:p>
      <w:pPr>
        <w:spacing w:after="0"/>
        <w:rPr>
          <w:sz w:val="20"/>
          <w:szCs w:val="20"/>
          <w:color w:val="auto"/>
        </w:rPr>
      </w:pPr>
      <w:r>
        <w:rPr>
          <w:rFonts w:ascii="Arial" w:cs="Arial" w:eastAsia="Arial" w:hAnsi="Arial"/>
          <w:sz w:val="12"/>
          <w:szCs w:val="12"/>
          <w:color w:val="FFFFFF"/>
        </w:rPr>
        <w:t>77strorgerinnovationtogether.com1Comment</w:t>
      </w:r>
    </w:p>
    <w:p>
      <w:pPr>
        <w:sectPr>
          <w:pgSz w:w="11900" w:h="16838" w:orient="portrait"/>
          <w:cols w:equalWidth="0" w:num="1">
            <w:col w:w="9399"/>
          </w:cols>
          <w:pgMar w:left="1060" w:top="1440" w:right="1440"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color w:val="FFFFFF"/>
        </w:rPr>
        <w:t>+ Follow</w:t>
      </w:r>
    </w:p>
    <w:p>
      <w:pPr>
        <w:spacing w:after="0" w:line="188" w:lineRule="auto"/>
        <w:rPr>
          <w:sz w:val="20"/>
          <w:szCs w:val="20"/>
          <w:color w:val="auto"/>
        </w:rPr>
      </w:pPr>
      <w:r>
        <w:rPr>
          <w:rFonts w:ascii="Arial" w:cs="Arial" w:eastAsia="Arial" w:hAnsi="Arial"/>
          <w:sz w:val="8"/>
          <w:szCs w:val="8"/>
          <w:color w:val="FFFFFF"/>
        </w:rPr>
        <w:t>12m*International47,091followersFlavors &amp; Fragrances + Follow</w:t>
      </w:r>
    </w:p>
    <w:p>
      <w:pPr>
        <w:spacing w:after="0" w:line="188" w:lineRule="auto"/>
        <w:rPr>
          <w:sz w:val="20"/>
          <w:szCs w:val="20"/>
          <w:color w:val="auto"/>
        </w:rPr>
      </w:pPr>
      <w:r>
        <w:rPr>
          <w:rFonts w:ascii="Arial" w:cs="Arial" w:eastAsia="Arial" w:hAnsi="Arial"/>
          <w:sz w:val="8"/>
          <w:szCs w:val="8"/>
          <w:color w:val="FFFFFF"/>
        </w:rPr>
        <w:t>What an© exciting day for us herededicationIFF!We couldn’t have reached this ponit without the</w:t>
      </w:r>
    </w:p>
    <w:p>
      <w:pPr>
        <w:spacing w:after="0" w:line="188" w:lineRule="auto"/>
        <w:tabs>
          <w:tab w:leader="none" w:pos="2060" w:val="left"/>
          <w:tab w:leader="none" w:pos="3360" w:val="left"/>
        </w:tabs>
        <w:rPr>
          <w:sz w:val="20"/>
          <w:szCs w:val="20"/>
          <w:color w:val="auto"/>
        </w:rPr>
      </w:pPr>
      <w:r>
        <w:rPr>
          <w:rFonts w:ascii="Arial" w:cs="Arial" w:eastAsia="Arial" w:hAnsi="Arial"/>
          <w:sz w:val="4"/>
          <w:szCs w:val="4"/>
          <w:color w:val="FFFFFF"/>
        </w:rPr>
        <w:t>strong commitment passion and</w:t>
      </w:r>
      <w:r>
        <w:rPr>
          <w:sz w:val="20"/>
          <w:szCs w:val="20"/>
          <w:color w:val="auto"/>
        </w:rPr>
        <w:tab/>
      </w:r>
      <w:r>
        <w:rPr>
          <w:rFonts w:ascii="Arial" w:cs="Arial" w:eastAsia="Arial" w:hAnsi="Arial"/>
          <w:sz w:val="4"/>
          <w:szCs w:val="4"/>
          <w:color w:val="FFFFFF"/>
        </w:rPr>
        <w:t>of our amazing</w:t>
      </w:r>
      <w:r>
        <w:rPr>
          <w:sz w:val="20"/>
          <w:szCs w:val="20"/>
          <w:color w:val="auto"/>
        </w:rPr>
        <w:tab/>
      </w:r>
      <w:r>
        <w:rPr>
          <w:rFonts w:ascii="Arial" w:cs="Arial" w:eastAsia="Arial" w:hAnsi="Arial"/>
          <w:sz w:val="4"/>
          <w:szCs w:val="4"/>
          <w:color w:val="FFFFFF"/>
        </w:rPr>
        <w:t>and we look</w:t>
      </w:r>
    </w:p>
    <w:p>
      <w:pPr>
        <w:spacing w:after="0"/>
        <w:rPr>
          <w:sz w:val="20"/>
          <w:szCs w:val="20"/>
          <w:color w:val="auto"/>
        </w:rPr>
      </w:pPr>
      <w:r>
        <w:rPr>
          <w:rFonts w:ascii="Arial" w:cs="Arial" w:eastAsia="Arial" w:hAnsi="Arial"/>
          <w:sz w:val="5"/>
          <w:szCs w:val="5"/>
          <w:color w:val="FFFFFF"/>
        </w:rPr>
        <w:t>solutionsforwardtoproviderthisnextforstepmanyinouryearsjourney.tocornelTogether,Want towelearnwill more?createcolleaguesCheckleadingoutingredientsthebenefitsand</w:t>
      </w:r>
    </w:p>
    <w:p>
      <w:pPr>
        <w:spacing w:after="0" w:line="211" w:lineRule="auto"/>
        <w:rPr>
          <w:sz w:val="20"/>
          <w:szCs w:val="20"/>
          <w:color w:val="auto"/>
        </w:rPr>
      </w:pPr>
      <w:r>
        <w:rPr>
          <w:rFonts w:ascii="Arial" w:cs="Arial" w:eastAsia="Arial" w:hAnsi="Arial"/>
          <w:sz w:val="5"/>
          <w:szCs w:val="5"/>
          <w:color w:val="FFFFFF"/>
        </w:rPr>
        <w:t>here: https://lnkd.in/dV5SrpH</w:t>
      </w:r>
    </w:p>
    <w:p>
      <w:pPr>
        <w:spacing w:after="0" w:line="188" w:lineRule="auto"/>
        <w:rPr>
          <w:sz w:val="20"/>
          <w:szCs w:val="20"/>
          <w:color w:val="auto"/>
        </w:rPr>
      </w:pPr>
      <w:r>
        <w:rPr>
          <w:rFonts w:ascii="Arial" w:cs="Arial" w:eastAsia="Arial" w:hAnsi="Arial"/>
          <w:sz w:val="8"/>
          <w:szCs w:val="8"/>
          <w:color w:val="FFFFFF"/>
        </w:rPr>
        <w:t>IFFstrongerinnovitiontogetherMergewithDuPont’s.comNutrition &amp; Biosciences Business</w:t>
      </w:r>
    </w:p>
    <w:p>
      <w:pPr>
        <w:spacing w:after="0"/>
        <w:rPr>
          <w:sz w:val="20"/>
          <w:szCs w:val="20"/>
          <w:color w:val="auto"/>
        </w:rPr>
      </w:pPr>
      <w:r>
        <w:rPr>
          <w:rFonts w:ascii="Arial" w:cs="Arial" w:eastAsia="Arial" w:hAnsi="Arial"/>
          <w:sz w:val="12"/>
          <w:szCs w:val="12"/>
          <w:color w:val="FFFFFF"/>
        </w:rPr>
        <w:t>LikeOs Comment Share</w:t>
      </w:r>
    </w:p>
    <w:p>
      <w:pPr>
        <w:sectPr>
          <w:pgSz w:w="11900" w:h="16838" w:orient="portrait"/>
          <w:cols w:equalWidth="0" w:num="1">
            <w:col w:w="9399"/>
          </w:cols>
          <w:pgMar w:left="1060" w:top="1440" w:right="1440"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80" w:type="dxa"/>
            <w:vAlign w:val="bottom"/>
          </w:tcPr>
          <w:p>
            <w:pPr>
              <w:ind w:left="40"/>
              <w:spacing w:after="0"/>
              <w:rPr>
                <w:sz w:val="20"/>
                <w:szCs w:val="20"/>
                <w:color w:val="auto"/>
              </w:rPr>
            </w:pPr>
            <w:r>
              <w:rPr>
                <w:rFonts w:ascii="Arial" w:cs="Arial" w:eastAsia="Arial" w:hAnsi="Arial"/>
                <w:sz w:val="12"/>
                <w:szCs w:val="12"/>
                <w:color w:val="FFFFFF"/>
              </w:rPr>
              <w:t>ff</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3080" w:type="dxa"/>
            <w:vAlign w:val="bottom"/>
          </w:tcPr>
          <w:p>
            <w:pPr>
              <w:spacing w:after="0" w:line="37" w:lineRule="exact"/>
              <w:rPr>
                <w:sz w:val="20"/>
                <w:szCs w:val="20"/>
                <w:color w:val="auto"/>
              </w:rPr>
            </w:pPr>
            <w:r>
              <w:rPr>
                <w:rFonts w:ascii="Arial" w:cs="Arial" w:eastAsia="Arial" w:hAnsi="Arial"/>
                <w:sz w:val="4"/>
                <w:szCs w:val="4"/>
                <w:color w:val="FFFFFF"/>
              </w:rPr>
              <w:t>International Flavors &amp; Fragrances 147,110 followers 6m</w:t>
            </w:r>
          </w:p>
        </w:tc>
        <w:tc>
          <w:tcPr>
            <w:tcW w:w="880" w:type="dxa"/>
            <w:vAlign w:val="bottom"/>
            <w:vMerge w:val="restart"/>
          </w:tcPr>
          <w:p>
            <w:pPr>
              <w:ind w:left="300"/>
              <w:spacing w:after="0" w:line="35" w:lineRule="exact"/>
              <w:rPr>
                <w:sz w:val="20"/>
                <w:szCs w:val="20"/>
                <w:color w:val="auto"/>
              </w:rPr>
            </w:pPr>
            <w:r>
              <w:rPr>
                <w:rFonts w:ascii="Arial" w:cs="Arial" w:eastAsia="Arial" w:hAnsi="Arial"/>
                <w:sz w:val="4"/>
                <w:szCs w:val="4"/>
                <w:color w:val="FFFFFF"/>
              </w:rPr>
              <w:t>partner with</w:t>
            </w:r>
          </w:p>
        </w:tc>
        <w:tc>
          <w:tcPr>
            <w:tcW w:w="0" w:type="dxa"/>
            <w:vAlign w:val="bottom"/>
          </w:tcPr>
          <w:p>
            <w:pPr>
              <w:spacing w:after="0" w:line="20" w:lineRule="exact"/>
              <w:rPr>
                <w:sz w:val="1"/>
                <w:szCs w:val="1"/>
                <w:color w:val="auto"/>
              </w:rPr>
            </w:pPr>
          </w:p>
        </w:tc>
      </w:tr>
      <w:tr>
        <w:trPr>
          <w:trHeight w:val="0"/>
        </w:trPr>
        <w:tc>
          <w:tcPr>
            <w:tcW w:w="3080" w:type="dxa"/>
            <w:vAlign w:val="bottom"/>
          </w:tcPr>
          <w:p>
            <w:pPr>
              <w:spacing w:after="0" w:line="71" w:lineRule="exact"/>
              <w:rPr>
                <w:sz w:val="20"/>
                <w:szCs w:val="20"/>
                <w:color w:val="auto"/>
              </w:rPr>
            </w:pPr>
            <w:r>
              <w:rPr>
                <w:rFonts w:ascii="Arial" w:cs="Arial" w:eastAsia="Arial" w:hAnsi="Arial"/>
                <w:sz w:val="8"/>
                <w:szCs w:val="8"/>
                <w:color w:val="FFFFFF"/>
              </w:rPr>
              <w:t>With Dupont Nutrition St Biosciences, we will be a strong</w:t>
            </w:r>
          </w:p>
        </w:tc>
        <w:tc>
          <w:tcPr>
            <w:tcW w:w="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820"/>
        <w:spacing w:after="0" w:line="22" w:lineRule="auto"/>
        <w:rPr>
          <w:sz w:val="20"/>
          <w:szCs w:val="20"/>
          <w:color w:val="auto"/>
        </w:rPr>
      </w:pPr>
      <w:r>
        <w:rPr>
          <w:rFonts w:ascii="Arial" w:cs="Arial" w:eastAsia="Arial" w:hAnsi="Arial"/>
          <w:sz w:val="1"/>
          <w:szCs w:val="1"/>
          <w:color w:val="FFFFFF"/>
        </w:rPr>
        <w:t>innovation</w:t>
      </w:r>
    </w:p>
    <w:p>
      <w:pPr>
        <w:spacing w:after="0" w:line="188" w:lineRule="auto"/>
        <w:rPr>
          <w:sz w:val="20"/>
          <w:szCs w:val="20"/>
          <w:color w:val="auto"/>
        </w:rPr>
      </w:pPr>
      <w:r>
        <w:rPr>
          <w:rFonts w:ascii="Arial" w:cs="Arial" w:eastAsia="Arial" w:hAnsi="Arial"/>
          <w:sz w:val="4"/>
          <w:szCs w:val="4"/>
          <w:color w:val="FFFFFF"/>
        </w:rPr>
        <w:t>growth,leading R&amp;Dmeet evolvingcapabilitiesconsumerandthe demandsbroadest andtechnologyincreaseportfoliospeedtotomarket,low customers to drive</w:t>
      </w:r>
    </w:p>
    <w:p>
      <w:pPr>
        <w:spacing w:after="0" w:line="188" w:lineRule="auto"/>
        <w:rPr>
          <w:sz w:val="20"/>
          <w:szCs w:val="20"/>
          <w:color w:val="auto"/>
        </w:rPr>
      </w:pPr>
      <w:r>
        <w:rPr>
          <w:rFonts w:ascii="Arial" w:cs="Arial" w:eastAsia="Arial" w:hAnsi="Arial"/>
          <w:sz w:val="4"/>
          <w:szCs w:val="4"/>
          <w:color w:val="FFFFFF"/>
          <w:vertAlign w:val="superscript"/>
        </w:rPr>
        <w:t>Find out more Fere;</w:t>
      </w:r>
      <w:r>
        <w:rPr>
          <w:rFonts w:ascii="Arial" w:cs="Arial" w:eastAsia="Arial" w:hAnsi="Arial"/>
          <w:sz w:val="2"/>
          <w:szCs w:val="2"/>
          <w:color w:val="FFFFFF"/>
        </w:rPr>
        <w:t xml:space="preserve"> https://lnkd,in/dV58rpH</w:t>
      </w:r>
    </w:p>
    <w:p>
      <w:pPr>
        <w:spacing w:after="0" w:line="188" w:lineRule="auto"/>
        <w:rPr>
          <w:sz w:val="20"/>
          <w:szCs w:val="20"/>
          <w:color w:val="auto"/>
        </w:rPr>
      </w:pPr>
      <w:r>
        <w:rPr>
          <w:rFonts w:ascii="Arial" w:cs="Arial" w:eastAsia="Arial" w:hAnsi="Arial"/>
          <w:sz w:val="7"/>
          <w:szCs w:val="7"/>
          <w:color w:val="FFFFFF"/>
        </w:rPr>
        <w:t>IFF to</w:t>
      </w:r>
      <w:r>
        <w:rPr>
          <w:rFonts w:ascii="Arial" w:cs="Arial" w:eastAsia="Arial" w:hAnsi="Arial"/>
          <w:sz w:val="8"/>
          <w:szCs w:val="8"/>
          <w:color w:val="FFFFFF"/>
          <w:vertAlign w:val="subscript"/>
        </w:rPr>
        <w:t>gerinnovationtogether</w:t>
      </w:r>
      <w:r>
        <w:rPr>
          <w:rFonts w:ascii="Arial" w:cs="Arial" w:eastAsia="Arial" w:hAnsi="Arial"/>
          <w:sz w:val="7"/>
          <w:szCs w:val="7"/>
          <w:color w:val="FFFFFF"/>
        </w:rPr>
        <w:t>MerwithDuPont’ Nutrition &amp; Biosciences Business</w:t>
      </w:r>
    </w:p>
    <w:p>
      <w:pPr>
        <w:spacing w:after="0" w:line="188" w:lineRule="auto"/>
        <w:tabs>
          <w:tab w:leader="none" w:pos="1240" w:val="left"/>
        </w:tabs>
        <w:rPr>
          <w:sz w:val="20"/>
          <w:szCs w:val="20"/>
          <w:color w:val="auto"/>
        </w:rPr>
      </w:pPr>
      <w:r>
        <w:rPr>
          <w:rFonts w:ascii="Arial" w:cs="Arial" w:eastAsia="Arial" w:hAnsi="Arial"/>
          <w:sz w:val="4"/>
          <w:szCs w:val="4"/>
          <w:color w:val="FFFFFF"/>
        </w:rPr>
        <w:t>+strorFollow</w:t>
      </w:r>
      <w:r>
        <w:rPr>
          <w:sz w:val="20"/>
          <w:szCs w:val="20"/>
          <w:color w:val="auto"/>
        </w:rPr>
        <w:tab/>
      </w:r>
      <w:r>
        <w:rPr>
          <w:rFonts w:ascii="Arial" w:cs="Arial" w:eastAsia="Arial" w:hAnsi="Arial"/>
          <w:sz w:val="4"/>
          <w:szCs w:val="4"/>
          <w:color w:val="FFFFFF"/>
        </w:rPr>
        <w:t>.com</w:t>
      </w:r>
    </w:p>
    <w:p>
      <w:pPr>
        <w:spacing w:after="0"/>
        <w:rPr>
          <w:sz w:val="20"/>
          <w:szCs w:val="20"/>
          <w:color w:val="auto"/>
        </w:rPr>
      </w:pPr>
      <w:r>
        <w:rPr>
          <w:rFonts w:ascii="Arial" w:cs="Arial" w:eastAsia="Arial" w:hAnsi="Arial"/>
          <w:sz w:val="12"/>
          <w:szCs w:val="12"/>
          <w:color w:val="FFFFFF"/>
        </w:rPr>
        <w:t>Nutrition</w:t>
      </w:r>
      <w:r>
        <w:rPr>
          <w:rFonts w:ascii="Arial" w:cs="Arial" w:eastAsia="Arial" w:hAnsi="Arial"/>
          <w:sz w:val="24"/>
          <w:szCs w:val="24"/>
          <w:color w:val="FFFFFF"/>
          <w:vertAlign w:val="superscript"/>
        </w:rPr>
        <w:t>DPont</w:t>
      </w:r>
      <w:r>
        <w:rPr>
          <w:rFonts w:ascii="Arial" w:cs="Arial" w:eastAsia="Arial" w:hAnsi="Arial"/>
          <w:sz w:val="12"/>
          <w:szCs w:val="12"/>
          <w:color w:val="FFFFFF"/>
        </w:rPr>
        <w:t xml:space="preserve"> &amp; Biosciences</w:t>
      </w:r>
    </w:p>
    <w:p>
      <w:pPr>
        <w:sectPr>
          <w:pgSz w:w="11900" w:h="16838" w:orient="portrait"/>
          <w:cols w:equalWidth="0" w:num="1">
            <w:col w:w="9399"/>
          </w:cols>
          <w:pgMar w:left="1060" w:top="1440" w:right="1440"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color w:val="FFFFFF"/>
        </w:rPr>
        <w:t>iffincInstagram:Follow</w:t>
      </w:r>
    </w:p>
    <w:p>
      <w:pPr>
        <w:spacing w:after="0" w:line="188" w:lineRule="auto"/>
        <w:rPr>
          <w:sz w:val="20"/>
          <w:szCs w:val="20"/>
          <w:color w:val="auto"/>
        </w:rPr>
      </w:pPr>
      <w:r>
        <w:rPr>
          <w:rFonts w:ascii="Arial" w:cs="Arial" w:eastAsia="Arial" w:hAnsi="Arial"/>
          <w:sz w:val="4"/>
          <w:szCs w:val="4"/>
          <w:color w:val="FFFFFF"/>
        </w:rPr>
        <w:t>IFF</w:t>
      </w:r>
    </w:p>
    <w:p>
      <w:pPr>
        <w:spacing w:after="0" w:line="188" w:lineRule="auto"/>
        <w:rPr>
          <w:sz w:val="20"/>
          <w:szCs w:val="20"/>
          <w:color w:val="auto"/>
        </w:rPr>
      </w:pPr>
      <w:r>
        <w:rPr>
          <w:rFonts w:ascii="Arial" w:cs="Arial" w:eastAsia="Arial" w:hAnsi="Arial"/>
          <w:sz w:val="8"/>
          <w:szCs w:val="8"/>
          <w:color w:val="FFFFFF"/>
        </w:rPr>
        <w:t>2 likes</w:t>
      </w:r>
    </w:p>
    <w:p>
      <w:pPr>
        <w:spacing w:after="0" w:line="188" w:lineRule="auto"/>
        <w:rPr>
          <w:sz w:val="20"/>
          <w:szCs w:val="20"/>
          <w:color w:val="auto"/>
        </w:rPr>
      </w:pPr>
      <w:r>
        <w:rPr>
          <w:rFonts w:ascii="Arial" w:cs="Arial" w:eastAsia="Arial" w:hAnsi="Arial"/>
          <w:sz w:val="2"/>
          <w:szCs w:val="2"/>
          <w:color w:val="FFFFFF"/>
        </w:rPr>
        <w:t>As</w:t>
      </w:r>
      <w:r>
        <w:rPr>
          <w:rFonts w:ascii="Arial" w:cs="Arial" w:eastAsia="Arial" w:hAnsi="Arial"/>
          <w:sz w:val="4"/>
          <w:szCs w:val="4"/>
          <w:color w:val="FFFFFF"/>
          <w:vertAlign w:val="subscript"/>
        </w:rPr>
        <w:t>significantly</w:t>
      </w:r>
      <w:r>
        <w:rPr>
          <w:rFonts w:ascii="Arial" w:cs="Arial" w:eastAsia="Arial" w:hAnsi="Arial"/>
          <w:sz w:val="2"/>
          <w:szCs w:val="2"/>
          <w:color w:val="FFFFFF"/>
        </w:rPr>
        <w:t>combinedincreasecompany,customerweexpectspeedtoto</w:t>
      </w:r>
    </w:p>
    <w:p>
      <w:pPr>
        <w:spacing w:after="0" w:line="188" w:lineRule="auto"/>
        <w:rPr>
          <w:sz w:val="20"/>
          <w:szCs w:val="20"/>
          <w:color w:val="auto"/>
        </w:rPr>
      </w:pPr>
      <w:r>
        <w:rPr>
          <w:rFonts w:ascii="Arial" w:cs="Arial" w:eastAsia="Arial" w:hAnsi="Arial"/>
          <w:sz w:val="4"/>
          <w:szCs w:val="4"/>
          <w:color w:val="FFFFFF"/>
        </w:rPr>
        <w:t>market, create new efficiencies in</w:t>
      </w:r>
    </w:p>
    <w:p>
      <w:pPr>
        <w:spacing w:after="0" w:line="188" w:lineRule="auto"/>
        <w:rPr>
          <w:sz w:val="20"/>
          <w:szCs w:val="20"/>
          <w:color w:val="auto"/>
        </w:rPr>
      </w:pPr>
      <w:r>
        <w:rPr>
          <w:rFonts w:ascii="Arial" w:cs="Arial" w:eastAsia="Arial" w:hAnsi="Arial"/>
          <w:sz w:val="2"/>
          <w:szCs w:val="2"/>
          <w:color w:val="FFFFFF"/>
        </w:rPr>
        <w:t>cons</w:t>
      </w:r>
      <w:r>
        <w:rPr>
          <w:rFonts w:ascii="Arial" w:cs="Arial" w:eastAsia="Arial" w:hAnsi="Arial"/>
          <w:sz w:val="4"/>
          <w:szCs w:val="4"/>
          <w:color w:val="FFFFFF"/>
          <w:vertAlign w:val="subscript"/>
        </w:rPr>
        <w:t>products</w:t>
      </w:r>
      <w:r>
        <w:rPr>
          <w:rFonts w:ascii="Arial" w:cs="Arial" w:eastAsia="Arial" w:hAnsi="Arial"/>
          <w:sz w:val="2"/>
          <w:szCs w:val="2"/>
          <w:color w:val="FFFFFF"/>
        </w:rPr>
        <w:t>mer</w:t>
      </w:r>
      <w:r>
        <w:rPr>
          <w:rFonts w:ascii="Arial" w:cs="Arial" w:eastAsia="Arial" w:hAnsi="Arial"/>
          <w:sz w:val="4"/>
          <w:szCs w:val="4"/>
          <w:color w:val="FFFFFF"/>
          <w:vertAlign w:val="superscript"/>
        </w:rPr>
        <w:t>development and provide critical</w:t>
      </w:r>
    </w:p>
    <w:p>
      <w:pPr>
        <w:ind w:left="400"/>
        <w:spacing w:after="0" w:line="188" w:lineRule="auto"/>
        <w:rPr>
          <w:sz w:val="20"/>
          <w:szCs w:val="20"/>
          <w:color w:val="auto"/>
        </w:rPr>
      </w:pPr>
      <w:r>
        <w:rPr>
          <w:rFonts w:ascii="Arial" w:cs="Arial" w:eastAsia="Arial" w:hAnsi="Arial"/>
          <w:sz w:val="8"/>
          <w:szCs w:val="8"/>
          <w:color w:val="FFFFFF"/>
        </w:rPr>
        <w:t>. insights for next- generation</w:t>
      </w:r>
    </w:p>
    <w:p>
      <w:pPr>
        <w:spacing w:after="0" w:line="188" w:lineRule="auto"/>
        <w:rPr>
          <w:sz w:val="20"/>
          <w:szCs w:val="20"/>
          <w:color w:val="auto"/>
        </w:rPr>
      </w:pPr>
      <w:r>
        <w:rPr>
          <w:rFonts w:ascii="Arial" w:cs="Arial" w:eastAsia="Arial" w:hAnsi="Arial"/>
          <w:sz w:val="8"/>
          <w:szCs w:val="8"/>
          <w:color w:val="FFFFFF"/>
        </w:rPr>
        <w:t>Want to learn more? Check out the</w:t>
      </w:r>
    </w:p>
    <w:p>
      <w:pPr>
        <w:spacing w:after="0" w:line="188" w:lineRule="auto"/>
        <w:rPr>
          <w:sz w:val="20"/>
          <w:szCs w:val="20"/>
          <w:color w:val="auto"/>
        </w:rPr>
      </w:pPr>
      <w:r>
        <w:rPr>
          <w:rFonts w:ascii="Arial" w:cs="Arial" w:eastAsia="Arial" w:hAnsi="Arial"/>
          <w:sz w:val="4"/>
          <w:szCs w:val="4"/>
          <w:color w:val="FFFFFF"/>
        </w:rPr>
        <w:t>StrongerlnnovationTogether.combenefitshere:</w:t>
      </w:r>
    </w:p>
    <w:p>
      <w:pPr>
        <w:spacing w:after="0"/>
        <w:rPr>
          <w:sz w:val="20"/>
          <w:szCs w:val="20"/>
          <w:color w:val="auto"/>
        </w:rPr>
      </w:pPr>
      <w:r>
        <w:rPr>
          <w:rFonts w:ascii="Arial" w:cs="Arial" w:eastAsia="Arial" w:hAnsi="Arial"/>
          <w:sz w:val="12"/>
          <w:szCs w:val="12"/>
          <w:color w:val="FFFFFF"/>
        </w:rPr>
        <w:t>1m</w:t>
      </w:r>
    </w:p>
    <w:p>
      <w:pPr>
        <w:sectPr>
          <w:pgSz w:w="11900" w:h="16838" w:orient="portrait"/>
          <w:cols w:equalWidth="0" w:num="1">
            <w:col w:w="9399"/>
          </w:cols>
          <w:pgMar w:left="1060" w:top="1440" w:right="1440"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6979"/>
        <w:spacing w:after="0"/>
        <w:rPr>
          <w:sz w:val="20"/>
          <w:szCs w:val="20"/>
          <w:color w:val="auto"/>
        </w:rPr>
      </w:pPr>
      <w:r>
        <w:rPr>
          <w:rFonts w:ascii="Arial" w:cs="Arial" w:eastAsia="Arial" w:hAnsi="Arial"/>
          <w:sz w:val="10"/>
          <w:szCs w:val="10"/>
          <w:color w:val="FFFFFF"/>
        </w:rPr>
        <w:t xml:space="preserve">iffinc IFF and DuPont’s Nutrition and </w:t>
      </w:r>
      <w:r>
        <w:rPr>
          <w:rFonts w:ascii="Arial" w:cs="Arial" w:eastAsia="Arial" w:hAnsi="Arial"/>
          <w:sz w:val="19"/>
          <w:szCs w:val="19"/>
          <w:color w:val="FFFFFF"/>
          <w:vertAlign w:val="subscript"/>
        </w:rPr>
        <w:t>Biosciences</w:t>
      </w:r>
    </w:p>
    <w:p>
      <w:pPr>
        <w:jc w:val="right"/>
        <w:ind w:right="6979"/>
        <w:spacing w:after="0" w:line="188" w:lineRule="auto"/>
        <w:rPr>
          <w:sz w:val="20"/>
          <w:szCs w:val="20"/>
          <w:color w:val="auto"/>
        </w:rPr>
      </w:pPr>
      <w:r>
        <w:rPr>
          <w:rFonts w:ascii="Arial" w:cs="Arial" w:eastAsia="Arial" w:hAnsi="Arial"/>
          <w:sz w:val="4"/>
          <w:szCs w:val="4"/>
          <w:color w:val="FFFFFF"/>
          <w:vertAlign w:val="subscript"/>
        </w:rPr>
        <w:t>blend</w:t>
      </w:r>
      <w:r>
        <w:rPr>
          <w:rFonts w:ascii="Arial" w:cs="Arial" w:eastAsia="Arial" w:hAnsi="Arial"/>
          <w:sz w:val="2"/>
          <w:szCs w:val="2"/>
          <w:color w:val="FFFFFF"/>
        </w:rPr>
        <w:t>usinessourareculturbetter</w:t>
      </w:r>
      <w:r>
        <w:rPr>
          <w:rFonts w:ascii="Arial" w:cs="Arial" w:eastAsia="Arial" w:hAnsi="Arial"/>
          <w:sz w:val="4"/>
          <w:szCs w:val="4"/>
          <w:color w:val="FFFFFF"/>
          <w:vertAlign w:val="subscript"/>
        </w:rPr>
        <w:t>better</w:t>
      </w:r>
      <w:r>
        <w:rPr>
          <w:rFonts w:ascii="Arial" w:cs="Arial" w:eastAsia="Arial" w:hAnsi="Arial"/>
          <w:sz w:val="2"/>
          <w:szCs w:val="2"/>
          <w:color w:val="FFFFFF"/>
        </w:rPr>
        <w:t>sofandscien</w:t>
      </w:r>
      <w:r>
        <w:rPr>
          <w:rFonts w:ascii="Arial" w:cs="Arial" w:eastAsia="Arial" w:hAnsi="Arial"/>
          <w:sz w:val="4"/>
          <w:szCs w:val="4"/>
          <w:color w:val="FFFFFF"/>
          <w:vertAlign w:val="subscript"/>
        </w:rPr>
        <w:t>strongerconsumer</w:t>
      </w:r>
      <w:r>
        <w:rPr>
          <w:rFonts w:ascii="Arial" w:cs="Arial" w:eastAsia="Arial" w:hAnsi="Arial"/>
          <w:sz w:val="2"/>
          <w:szCs w:val="2"/>
          <w:color w:val="FFFFFF"/>
        </w:rPr>
        <w:t>andtogether.creativityWtowillhelp</w:t>
      </w:r>
    </w:p>
    <w:p>
      <w:pPr>
        <w:spacing w:after="0"/>
        <w:rPr>
          <w:sz w:val="20"/>
          <w:szCs w:val="20"/>
          <w:color w:val="auto"/>
        </w:rPr>
      </w:pPr>
      <w:r>
        <w:rPr>
          <w:rFonts w:ascii="Arial" w:cs="Arial" w:eastAsia="Arial" w:hAnsi="Arial"/>
          <w:sz w:val="7"/>
          <w:szCs w:val="7"/>
          <w:color w:val="FFFFFF"/>
        </w:rPr>
        <w:t>ournatural,customershealthier andmeet“better-for-you”demandsproducts.for</w:t>
      </w:r>
    </w:p>
    <w:p>
      <w:pPr>
        <w:spacing w:after="0" w:line="189" w:lineRule="auto"/>
        <w:rPr>
          <w:sz w:val="20"/>
          <w:szCs w:val="20"/>
          <w:color w:val="auto"/>
        </w:rPr>
      </w:pPr>
      <w:r>
        <w:rPr>
          <w:rFonts w:ascii="Arial" w:cs="Arial" w:eastAsia="Arial" w:hAnsi="Arial"/>
          <w:sz w:val="7"/>
          <w:szCs w:val="7"/>
          <w:color w:val="FFFFFF"/>
        </w:rPr>
        <w:t>2mFind out more here: StrongerlnnovationTogether.com</w:t>
      </w:r>
    </w:p>
    <w:p>
      <w:pPr>
        <w:spacing w:after="0" w:line="188" w:lineRule="auto"/>
        <w:rPr>
          <w:sz w:val="20"/>
          <w:szCs w:val="20"/>
          <w:color w:val="auto"/>
        </w:rPr>
      </w:pPr>
      <w:r>
        <w:rPr>
          <w:rFonts w:ascii="Arial" w:cs="Arial" w:eastAsia="Arial" w:hAnsi="Arial"/>
          <w:sz w:val="8"/>
          <w:szCs w:val="8"/>
          <w:color w:val="FFFFFF"/>
        </w:rPr>
        <w:t>3 likes</w:t>
      </w:r>
    </w:p>
    <w:p>
      <w:pPr>
        <w:spacing w:after="0" w:line="189" w:lineRule="auto"/>
        <w:rPr>
          <w:sz w:val="20"/>
          <w:szCs w:val="20"/>
          <w:color w:val="auto"/>
        </w:rPr>
      </w:pPr>
      <w:r>
        <w:rPr>
          <w:rFonts w:ascii="Arial" w:cs="Arial" w:eastAsia="Arial" w:hAnsi="Arial"/>
          <w:sz w:val="4"/>
          <w:szCs w:val="4"/>
          <w:color w:val="FFFFFF"/>
        </w:rPr>
        <w:t>iffinc2MINUTESFollow AGO</w:t>
      </w:r>
    </w:p>
    <w:p>
      <w:pPr>
        <w:spacing w:after="0" w:line="188" w:lineRule="auto"/>
        <w:rPr>
          <w:sz w:val="20"/>
          <w:szCs w:val="20"/>
          <w:color w:val="auto"/>
        </w:rPr>
      </w:pPr>
      <w:r>
        <w:rPr>
          <w:rFonts w:ascii="Arial" w:cs="Arial" w:eastAsia="Arial" w:hAnsi="Arial"/>
          <w:sz w:val="4"/>
          <w:szCs w:val="4"/>
          <w:color w:val="FFFFFF"/>
        </w:rPr>
        <w:t>IFF</w:t>
      </w:r>
    </w:p>
    <w:p>
      <w:pPr>
        <w:spacing w:after="0"/>
        <w:rPr>
          <w:sz w:val="20"/>
          <w:szCs w:val="20"/>
          <w:color w:val="auto"/>
        </w:rPr>
      </w:pPr>
      <w:r>
        <w:rPr>
          <w:rFonts w:ascii="Arial" w:cs="Arial" w:eastAsia="Arial" w:hAnsi="Arial"/>
          <w:sz w:val="12"/>
          <w:szCs w:val="12"/>
          <w:color w:val="FFFFFF"/>
        </w:rPr>
        <w:t>Add a comment...</w:t>
      </w:r>
    </w:p>
    <w:p>
      <w:pPr>
        <w:sectPr>
          <w:pgSz w:w="11900" w:h="16838" w:orient="portrait"/>
          <w:cols w:equalWidth="0" w:num="1">
            <w:col w:w="9399"/>
          </w:cols>
          <w:pgMar w:left="1060" w:top="1440" w:right="1440"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6"/>
          <w:szCs w:val="6"/>
          <w:color w:val="FFFFFF"/>
        </w:rPr>
        <w:t>YouTube Video: DuPont Nutrition &amp; Biosciences IFF toshareMrge with DuPont’s Nutrition &amp; Biosciences Business 18 views · Dec 15,2019 1.0 0 ...+ SHARE :=+ SAVE ... InternationalFlavors &amp; FragrancesInc.19.9KsubscribersSUBSCRIBEWe’reexcitedtowearecombiningwithDuPont’Nutrition&amp;Biosciencestocreateagloballeaderiningredientsandsolutionswtihbroadscopeof</w:t>
      </w:r>
    </w:p>
    <w:p>
      <w:pPr>
        <w:ind w:right="500"/>
        <w:spacing w:after="0" w:line="187" w:lineRule="auto"/>
        <w:rPr>
          <w:sz w:val="20"/>
          <w:szCs w:val="20"/>
          <w:color w:val="auto"/>
        </w:rPr>
      </w:pPr>
      <w:r>
        <w:rPr>
          <w:rFonts w:ascii="Arial" w:cs="Arial" w:eastAsia="Arial" w:hAnsi="Arial"/>
          <w:sz w:val="12"/>
          <w:szCs w:val="12"/>
          <w:color w:val="FFFFFF"/>
        </w:rPr>
        <w:t>capabilities.As a combined company.we expect to significantly increase customer speed to market. create new efficienciesbusinessproduct development and provide critical consumer insights for next generation products.</w:t>
      </w:r>
    </w:p>
    <w:p>
      <w:pPr>
        <w:sectPr>
          <w:pgSz w:w="11900" w:h="16838" w:orient="portrait"/>
          <w:cols w:equalWidth="0" w:num="1">
            <w:col w:w="9800"/>
          </w:cols>
          <w:pgMar w:left="1060" w:top="1440" w:right="10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99.10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6254750" cy="11137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54750" cy="111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Dear [NAME]:</w:t>
      </w:r>
    </w:p>
    <w:p>
      <w:pPr>
        <w:spacing w:after="0" w:line="104" w:lineRule="exact"/>
        <w:rPr>
          <w:sz w:val="20"/>
          <w:szCs w:val="20"/>
          <w:color w:val="auto"/>
        </w:rPr>
      </w:pPr>
    </w:p>
    <w:p>
      <w:pPr>
        <w:ind w:right="720"/>
        <w:spacing w:after="0" w:line="351" w:lineRule="auto"/>
        <w:rPr>
          <w:sz w:val="20"/>
          <w:szCs w:val="20"/>
          <w:color w:val="auto"/>
        </w:rPr>
      </w:pPr>
      <w:r>
        <w:rPr>
          <w:rFonts w:ascii="Arial" w:cs="Arial" w:eastAsia="Arial" w:hAnsi="Arial"/>
          <w:sz w:val="14"/>
          <w:szCs w:val="14"/>
          <w:color w:val="auto"/>
        </w:rPr>
        <w:t>I am excited to announce that IFF has agreed to merge with DuPont’s Nutrition &amp; Biosciences business, a world leader in food science and biotechnology, in a transaction that will position us to become a new global integrated solutions leader across consumer-oriented end markets.</w:t>
      </w:r>
    </w:p>
    <w:p>
      <w:pPr>
        <w:spacing w:after="0" w:line="106" w:lineRule="exact"/>
        <w:rPr>
          <w:sz w:val="20"/>
          <w:szCs w:val="20"/>
          <w:color w:val="auto"/>
        </w:rPr>
      </w:pPr>
    </w:p>
    <w:p>
      <w:pPr>
        <w:jc w:val="both"/>
        <w:ind w:right="40"/>
        <w:spacing w:after="0" w:line="264" w:lineRule="auto"/>
        <w:rPr>
          <w:sz w:val="20"/>
          <w:szCs w:val="20"/>
          <w:color w:val="auto"/>
        </w:rPr>
      </w:pPr>
      <w:r>
        <w:rPr>
          <w:rFonts w:ascii="Arial" w:cs="Arial" w:eastAsia="Arial" w:hAnsi="Arial"/>
          <w:sz w:val="16"/>
          <w:szCs w:val="16"/>
          <w:color w:val="auto"/>
        </w:rPr>
        <w:t xml:space="preserve">The parties are targeting closing the transaction by the end of the first quarter of 2021, subject to certain regulatory and shareholder approvals as well as other customary closing conditions. Until then, IFF and N&amp;B will remain independent entities, and we will operate separately. </w:t>
      </w:r>
      <w:r>
        <w:rPr>
          <w:rFonts w:ascii="Arial" w:cs="Arial" w:eastAsia="Arial" w:hAnsi="Arial"/>
          <w:sz w:val="16"/>
          <w:szCs w:val="16"/>
          <w:b w:val="1"/>
          <w:bCs w:val="1"/>
          <w:color w:val="auto"/>
        </w:rPr>
        <w:t>This means that, for the</w:t>
      </w:r>
      <w:r>
        <w:rPr>
          <w:rFonts w:ascii="Arial" w:cs="Arial" w:eastAsia="Arial" w:hAnsi="Arial"/>
          <w:sz w:val="16"/>
          <w:szCs w:val="16"/>
          <w:color w:val="auto"/>
        </w:rPr>
        <w:t xml:space="preserve"> </w:t>
      </w:r>
      <w:r>
        <w:rPr>
          <w:rFonts w:ascii="Arial" w:cs="Arial" w:eastAsia="Arial" w:hAnsi="Arial"/>
          <w:sz w:val="16"/>
          <w:szCs w:val="16"/>
          <w:b w:val="1"/>
          <w:bCs w:val="1"/>
          <w:color w:val="auto"/>
        </w:rPr>
        <w:t>time being, there will be no changes to the way we work together.</w:t>
      </w:r>
    </w:p>
    <w:p>
      <w:pPr>
        <w:spacing w:after="0" w:line="162" w:lineRule="exact"/>
        <w:rPr>
          <w:sz w:val="20"/>
          <w:szCs w:val="20"/>
          <w:color w:val="auto"/>
        </w:rPr>
      </w:pPr>
    </w:p>
    <w:p>
      <w:pPr>
        <w:ind w:right="400"/>
        <w:spacing w:after="0" w:line="351" w:lineRule="auto"/>
        <w:rPr>
          <w:sz w:val="20"/>
          <w:szCs w:val="20"/>
          <w:color w:val="auto"/>
        </w:rPr>
      </w:pPr>
      <w:r>
        <w:rPr>
          <w:rFonts w:ascii="Arial" w:cs="Arial" w:eastAsia="Arial" w:hAnsi="Arial"/>
          <w:sz w:val="14"/>
          <w:szCs w:val="14"/>
          <w:color w:val="auto"/>
        </w:rPr>
        <w:t>We encourage you to direct any questions to your existing point of contact here at IFF. If you’re interested in learning more about the transaction, I encourage you to read the press release we issued earlier today and to review our transaction website: www.StrongerInnovationTogether.com.</w:t>
      </w:r>
    </w:p>
    <w:p>
      <w:pPr>
        <w:spacing w:after="0" w:line="106" w:lineRule="exact"/>
        <w:rPr>
          <w:sz w:val="20"/>
          <w:szCs w:val="20"/>
          <w:color w:val="auto"/>
        </w:rPr>
      </w:pPr>
    </w:p>
    <w:p>
      <w:pPr>
        <w:ind w:right="480"/>
        <w:spacing w:after="0" w:line="277" w:lineRule="auto"/>
        <w:rPr>
          <w:sz w:val="20"/>
          <w:szCs w:val="20"/>
          <w:color w:val="auto"/>
        </w:rPr>
      </w:pPr>
      <w:r>
        <w:rPr>
          <w:rFonts w:ascii="Arial" w:cs="Arial" w:eastAsia="Arial" w:hAnsi="Arial"/>
          <w:sz w:val="16"/>
          <w:szCs w:val="16"/>
          <w:color w:val="auto"/>
        </w:rPr>
        <w:t>This is an exciting day, and we are confident that this combination will position both our organizations for long-term success. Thank you for your continued support.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[SENDER TBD]</w:t>
      </w:r>
    </w:p>
    <w:p>
      <w:pPr>
        <w:sectPr>
          <w:pgSz w:w="11900" w:h="16838" w:orient="portrait"/>
          <w:cols w:equalWidth="0" w:num="1">
            <w:col w:w="9800"/>
          </w:cols>
          <w:pgMar w:left="1060" w:top="255" w:right="103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11976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02500" cy="119761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08"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This communication is not intended to and shall not constitute an offer to sell or the solicitation of an offer to sell or the solicitation of an offer to buy any securities or a solicitation of any vote of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In connection with the proposed combination of Nutrition &amp; Biosciences, Inc. (“N&amp;Bco”), a wholly owned subsidiary of DuPont de Nemours, Inc. (“DuPont”), and International Flavors &amp; Fragrances Inc. (“IFF”), which will immediately follow the proposed separation of N&amp;Bco from DuPont (the “proposed transaction”), N&amp;Bco and IFF intend to file relevant materials with the SEC, including a registration statement on Form S-4 that will include a proxy statement/prospectus relating to the proposed transaction. In addition, N&amp;Bco expects to file a registration statement in connection with its separation from DuPont. INVESTORS AND SECURITY HOLDERS ARE URGED TO READ THE REGISTRATION STATEMENTS, PROXY STATEMENT/PROSPECTUS AND ANY OTHER RELEVANT DOCUMENTS WHEN THEY BECOME AVAILABLE BECAUSE THEY WILL CONTAIN IMPORTANT INFORMATION ABOUT IFF, N&amp;BCO AND THE PROPOSED TRANSACTION. A definitive proxy statement will be sent to shareholders of IFF seeking approval of the proposed transaction. The documents relating to the proposed transaction (when they are available) can be obtained free of charge from the SEC’s website at www.sec.gov. The proxy statement, prospectus and/or information statement and other documents (when they are available) will also be available free of charge on IFF’s website at https://ir.iff.com/ or on DuPont’s website at https://www.investors.dupont.com/investors/dupont-investors/default.aspx.</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on Forward-Looking Statements</w:t>
      </w:r>
    </w:p>
    <w:p>
      <w:pPr>
        <w:spacing w:after="0" w:line="108"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This communication contains “forward-looking statements” within the meaning of the federal securities laws, including Section 27A of the Securities Act, and Section 21E of the Securities Exchange Act of 1934, as amended (the “Exchange Act”). In this context, forward-looking statements often address expected future business and financial performance and financial condition, and often contain words such as “expect,” “anticipate,” “intend,” “plan,” “believe,” “seek,” “see,” “will,” “would,” “target,” similar expressions, and variations or negatives of these words. Forward-looking statements by their nature address matters that are, to different degrees, uncertain, such as statements about the proposed transaction, the expected timetable for completing the proposed transaction, the benefits and synergies of the proposed transaction, future opportunities for the combined company and products and any other statements regarding DuPont’s, IFF’s and N&amp;Bco’s future operations, financial or operating results, capital allocation, dividend policy, debt ratio, anticipated business levels, future earnings, planned activities, anticipated growth, market opportunities, strategies, competitions, and other expectations and targets for future periods. There are several factors which could cause actual plans and results to differ materially from those expressed or implied in forward-looking statements. Such factors include, but are not limited to, (1) the parties’ ability to meet expectations regarding the timing, completion and accounting and tax treatments of the proposed transaction, (2) changes in relevant tax and other laws, (3) any failure to obtain necessary regulatory approvals, approval of IFF’s shareholders, anticipated tax treatment or any required financing or to satisfy any of the other conditions to the proposed transaction, (4) the possibility that unforeseen liabilities, future capital expenditures, revenues, expenses, earnings, synergies, economic performance, indebtedness, financial condition, losses, future prospects, business and management strategies that could impact the value, timing or pursuit of the proposed</w:t>
      </w:r>
    </w:p>
    <w:p>
      <w:pPr>
        <w:sectPr>
          <w:pgSz w:w="11900" w:h="16838" w:orient="portrait"/>
          <w:cols w:equalWidth="0" w:num="1">
            <w:col w:w="9760"/>
          </w:cols>
          <w:pgMar w:left="1060" w:top="1440" w:right="1079"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11976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02500" cy="119761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7"/>
        <w:spacing w:after="0" w:line="288" w:lineRule="auto"/>
        <w:rPr>
          <w:sz w:val="20"/>
          <w:szCs w:val="20"/>
          <w:color w:val="auto"/>
        </w:rPr>
      </w:pPr>
      <w:r>
        <w:rPr>
          <w:rFonts w:ascii="Arial" w:cs="Arial" w:eastAsia="Arial" w:hAnsi="Arial"/>
          <w:sz w:val="14"/>
          <w:szCs w:val="14"/>
          <w:color w:val="auto"/>
        </w:rPr>
        <w:t>transaction, (5) risks and costs and pursuit and/or implementation of the separation of N&amp;Bco, including timing anticipated to complete the separation, any changes to the configuration of businesses included in the separation if implemented, (6) risks related to indemnification of certain legacy liabilities of E. I. du Pont de Nemours and Company (“Historical EID”) in connection with the distribution of Corteva Inc. on June 1, 2019 (the “Corteva Distribution”), (7) potential liability arising from fraudulent conveyance and similar laws in connection with DuPont’s distribution of Dow Inc. on April 1, 2019 and/or the Corteva Distributions (the “Previous Distributions”), (8) failure to effectively manage acquisitions, divestitures, alliances, joint ventures and other portfolio changes, including meeting conditions under the Letter Agreement entered in connection with the Corteva Distribution, related to the transfer of certain levels of assets and businesses, (9) uncertainty as to the long-term value of DuPont common stock, (10) potential inability or reduced access to the capital markets or increased cost of borrowings, including as a result of a credit rating downgrade, (11) inherent uncertainties involved in the estimates and judgments used in the preparation of financial statements and the providing of estimates of financial measures, in accordance with the accounting principles generally accepted in the United States of America and related standards, or on an adjusted basis,</w:t>
      </w:r>
    </w:p>
    <w:p>
      <w:pPr>
        <w:spacing w:after="0" w:line="3" w:lineRule="exact"/>
        <w:rPr>
          <w:sz w:val="20"/>
          <w:szCs w:val="20"/>
          <w:color w:val="auto"/>
        </w:rPr>
      </w:pPr>
    </w:p>
    <w:p>
      <w:pPr>
        <w:ind w:left="7" w:hanging="7"/>
        <w:spacing w:after="0" w:line="288" w:lineRule="auto"/>
        <w:tabs>
          <w:tab w:leader="none" w:pos="314"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integration of IFF and its Frutarom business and/or N&amp;Bco being more difficult, time consuming or costly than expected, (13) the failure to achieve expected or targeted future financial and operating performance and results, (14) the possibility that IFF may be unable to achieve expected benefits, synergies and operating efficiencies in connection with the proposed transaction within the expected time frames or at all or to successfully integrate Frutarom and N&amp;Bco, (15) customer loss and business disruption being greater than expected following the proposed transaction, (16) the impact of divestitures required as a condition to consummation of the proposed transaction as well as other conditional commitments, (17) legislative, regulatory and economic developments; (18) an increase or decrease in the anticipated transaction taxes (including due to any changes to tax legislation and its impact on tax rates (and the timing of the effectiveness of any such changes)) to be paid in connection with the separation prior to the closing of the transactions could cause an adjustment to the exchange ratio, (19) potential litigation relating to the proposed transaction that could be instituted against DuPont, IFF or their respective directors, (20) risks associated with third party contracts containing consent and/or other provisions that may be triggered by the proposed transaction, (21) negative effects of the announcement or the consummation of the transaction on the market price of DuPont’s and/or IFF’s common stock, (22) risks relating to the value of the IFF shares to be issued in the transaction and uncertainty as to the long-term value of IFF’s common stock, (23) risks relating to IFF’s ongoing investigations into improper payments made in Frutarom businesses principally operating in Russia and the Ukraine, including expenses incurred with respect to the investigations, the cost of any remedial measures or compliance programs arising out of the investigations, legal proceedings or government investigations that may arise relating to the subject of IFF’s investigations, and the outcome of any such legal or government investigations, such as the imposition of fines, penalties, orders, or injunctions, (24) the impact of the failure to comply with U.S. or foreign anti-corruption and anti-bribery laws and regulations, including with respect to IFF’s ongoing investigations into improper payments made in Frutarom businesses principally operating in Russia and the Ukraine, (25) the impact of the outcome of legal claims, regulatory investigations and litigation, including any that may arise out of IFF’s ongoing investigations into improper payments made in Frutarom businesses principally operating in Russia and the Ukraine, (26) the ability of N&amp;Bco or IFF to retain and hire key personnel, (27) the risk that N&amp;Bco, as a newly formed entity that currently has no credit rating, will not have access to the capital markets on acceptable terms, (28) the risk that N&amp;Bco and IFF will incur significant indebtedness in connection with the potential transaction, and the degree to which IFF will be leveraged following completion of the potential transaction may materially and adversely affect its business, financial condition and results of operations, (29) the ability to</w:t>
      </w:r>
    </w:p>
    <w:p>
      <w:pPr>
        <w:sectPr>
          <w:pgSz w:w="11900" w:h="16838" w:orient="portrait"/>
          <w:cols w:equalWidth="0" w:num="1">
            <w:col w:w="9787"/>
          </w:cols>
          <w:pgMar w:left="1053" w:top="1440" w:right="105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11976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02500" cy="119761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obtain or consummate financing or refinancing related to the transaction upon acceptable terms or at all, and (30) other risks to DuPont’s, N&amp;Bco’s and IFF’s business, operations and results of operations including from: failure to develop and market new products and optimally manage product life cycles; ability, cost and impact on business operations, including the supply chain, of responding to changes in market acceptance, rules, regulations and policies and failure to respond to such changes; outcome of significant litigation, environmental matters and other commitments and contingencies; failure to appropriately manage process safety and product stewardship issues; global economic and capital market conditions, including the continued availability of capital and financing, as well as inflation, interest and currency exchange rates; changes in political conditions, including tariffs, trade disputes and retaliatory actions; impairment of goodwill or intangible assets; the availability of and fluctuations in the cost of energy and raw materials; business or supply disruption, including in connection with the Previous Distributions; security threats, such as acts of sabotage, terrorism or war, natural disasters and weather events and patterns which could result in a significant operational event for DuPont, N&amp;Bco or IFF, adversely impact demand or production; ability to discover, develop and protect new technologies and to protect and enforce DuPont’s, N&amp;Bco’s or IFF’s intellectual property rights; unpredictability and severity of catastrophic events, including, but not limited to, acts of terrorism or outbreak of war or hostilities, as well as management’s response to any of the aforementioned factors. These risks, as well as other risks associated with the proposed merger, will be more fully discussed in the registration statement and merger proxy on Form S-4 to be filed by IFF and the registration statement on Form 10 to be filed by N&amp;Bco. While the list of factors presented here is, and the list of factors to be presented in any registration statement filed in connection with the transaction are, considered representative, no such list should be considered to be a complete statement of all potential risks and uncertainties. Unlisted factors may present significant additional obstacles to the realization of forward looking statements. Further lists and descriptions of risks and uncertainties can be found in each of IFF’s and DuPont’s Form 10-Q for the period ended September 30, 2019 and each of IFF’s and DuPont’s respective subsequent reports on Form 10-Q, Form 10-K and Form 8-K, the contents of which are not incorporated by reference into, nor do they form part of, this announcement. Any other risks associated with the proposed transaction will be more fully discussed in any registration statement filed with the SEC. While the list of factors presented here is, and the list of factors that may be presented in a registration statement of IFF or N&amp;Bco would be, considered representative, no such list should be considered to be a complete statement of all potential risks and uncertainties. Unlisted factors may present significant additional obstacles to the realization of forward 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IFF’s, DuPont’s or N&amp;Bco’s consolidated financial condition, results of operations, credit rating or liquidity. None of IFF, DuPont nor N&amp;Bco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108"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This communication is not a solicitation of a proxy from any investor or security holder. However, DuPont, IFF and certain of their respective directors and executive officers may be deemed to be participants in the solicitation of proxies in connection with the proposed transaction under the rules of the SEC. Information about the directors and executive officers of DuPont may be found in its Annual Report on Form 10-K filed with the SEC on February 11, 2019 and its definitive proxy statement filed with the SEC on May 1, 2019. Information about the directors and</w:t>
      </w:r>
    </w:p>
    <w:p>
      <w:pPr>
        <w:sectPr>
          <w:pgSz w:w="11900" w:h="16838" w:orient="portrait"/>
          <w:cols w:equalWidth="0" w:num="1">
            <w:col w:w="9760"/>
          </w:cols>
          <w:pgMar w:left="1060" w:top="1440" w:right="1079"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11976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02500" cy="119761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line="319" w:lineRule="auto"/>
        <w:rPr>
          <w:sz w:val="20"/>
          <w:szCs w:val="20"/>
          <w:color w:val="auto"/>
        </w:rPr>
      </w:pPr>
      <w:r>
        <w:rPr>
          <w:rFonts w:ascii="Arial" w:cs="Arial" w:eastAsia="Arial" w:hAnsi="Arial"/>
          <w:sz w:val="14"/>
          <w:szCs w:val="14"/>
          <w:color w:val="auto"/>
        </w:rPr>
        <w:t>executive officers of IFF may be found in its definitive proxy statement filed with the SEC on March 18, 2019. Other information regarding the participants in the proxy solicitation and a description of their direct and indirect interests, by security holdings or otherwise, will be contained in the registration statements, prospectuses and proxy statement and other relevant materials to be filed with the SEC when they become available.</w:t>
      </w:r>
    </w:p>
    <w:p>
      <w:pPr>
        <w:sectPr>
          <w:pgSz w:w="11900" w:h="16838" w:orient="portrait"/>
          <w:cols w:equalWidth="0" w:num="1">
            <w:col w:w="9520"/>
          </w:cols>
          <w:pgMar w:left="1060" w:top="1440" w:right="13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99.11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6254750" cy="10909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54750" cy="109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Dear [NAME]:</w:t>
      </w:r>
    </w:p>
    <w:p>
      <w:pPr>
        <w:spacing w:after="0" w:line="104"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I am excited to announce that IFF has agreed to merge with DuPont’s Nutrition &amp; Biosciences business, a leader in food science and biotechnology, in a transaction that will position us to become a new global integrated solutions leader across consumer-oriented end markets.</w:t>
      </w:r>
    </w:p>
    <w:p>
      <w:pPr>
        <w:spacing w:after="0" w:line="12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This combination will bolster our innovative product and solutions offering and enhance our ability to partner with and deliver growth for our customers. Together, IFF and N&amp;B will be ideally equipped to deliver in-demand differentiated solutions to an expanded customer base spanning both large multinationals and fast-growing small and medium-sized customers, in order to respond to customer demands and increasing consumer preferences for natural, healthier and “better for you” products. We will have the breadth and depth to serve a wide range of end markets, including Food &amp; Beverage, Home &amp; Personal Care and Health &amp; Wellness.</w:t>
      </w:r>
    </w:p>
    <w:p>
      <w:pPr>
        <w:spacing w:after="0" w:line="168"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IFF and N&amp;B will be stronger together, with a collective portfolio of products that will be the most complete and well-balanced in our industry and a breadth that cannot be replicated. By combining IFF’s leadership in natural solutions with N&amp;B’s leadership in clean label, including cultures, enzymes and plant-based proteins, we will be positioned to deliver superior integrated and differentiated offerings to our customers. In addition, our combined company will boast the broadest technology portfolio, leading R&amp;D capabilities, a best-in-class innovation portfolio and critical consumer insights to help you bring next-generation products to market even faster.</w:t>
      </w:r>
    </w:p>
    <w:p>
      <w:pPr>
        <w:spacing w:after="0" w:line="16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Here is just one example of the incredible opportunity ahead of us with this combination. Today, IFF provides the flavors, seasonings, taste modulation and natural color for plant-based burgers, while N&amp;B provides the texturants, binders and plant-based proteins. Together, we will be able to deliver all of these products in integrated solutions to our customers and help you increase speed to market.</w:t>
      </w:r>
    </w:p>
    <w:p>
      <w:pPr>
        <w:spacing w:after="0" w:line="162" w:lineRule="exact"/>
        <w:rPr>
          <w:sz w:val="20"/>
          <w:szCs w:val="20"/>
          <w:color w:val="auto"/>
        </w:rPr>
      </w:pPr>
    </w:p>
    <w:p>
      <w:pPr>
        <w:jc w:val="both"/>
        <w:ind w:right="80"/>
        <w:spacing w:after="0" w:line="264" w:lineRule="auto"/>
        <w:rPr>
          <w:sz w:val="20"/>
          <w:szCs w:val="20"/>
          <w:color w:val="auto"/>
        </w:rPr>
      </w:pPr>
      <w:r>
        <w:rPr>
          <w:rFonts w:ascii="Arial" w:cs="Arial" w:eastAsia="Arial" w:hAnsi="Arial"/>
          <w:sz w:val="16"/>
          <w:szCs w:val="16"/>
          <w:color w:val="auto"/>
        </w:rPr>
        <w:t xml:space="preserve">The parties are targeting closing the transaction by the end of the first quarter of 2021, subject to certain regulatory and shareholder approvals as well as other customary closing conditions. Until then, IFF and N&amp;B will remain independent entities, and we will operate separately. </w:t>
      </w:r>
      <w:r>
        <w:rPr>
          <w:rFonts w:ascii="Arial" w:cs="Arial" w:eastAsia="Arial" w:hAnsi="Arial"/>
          <w:sz w:val="16"/>
          <w:szCs w:val="16"/>
          <w:b w:val="1"/>
          <w:bCs w:val="1"/>
          <w:color w:val="auto"/>
        </w:rPr>
        <w:t>This means that for the</w:t>
      </w:r>
      <w:r>
        <w:rPr>
          <w:rFonts w:ascii="Arial" w:cs="Arial" w:eastAsia="Arial" w:hAnsi="Arial"/>
          <w:sz w:val="16"/>
          <w:szCs w:val="16"/>
          <w:color w:val="auto"/>
        </w:rPr>
        <w:t xml:space="preserve"> </w:t>
      </w:r>
      <w:r>
        <w:rPr>
          <w:rFonts w:ascii="Arial" w:cs="Arial" w:eastAsia="Arial" w:hAnsi="Arial"/>
          <w:sz w:val="16"/>
          <w:szCs w:val="16"/>
          <w:b w:val="1"/>
          <w:bCs w:val="1"/>
          <w:color w:val="auto"/>
        </w:rPr>
        <w:t>time being, there will be no changes to the way we work together.</w:t>
      </w:r>
    </w:p>
    <w:p>
      <w:pPr>
        <w:spacing w:after="0" w:line="162" w:lineRule="exact"/>
        <w:rPr>
          <w:sz w:val="20"/>
          <w:szCs w:val="20"/>
          <w:color w:val="auto"/>
        </w:rPr>
      </w:pPr>
    </w:p>
    <w:p>
      <w:pPr>
        <w:ind w:right="400"/>
        <w:spacing w:after="0" w:line="351" w:lineRule="auto"/>
        <w:rPr>
          <w:sz w:val="20"/>
          <w:szCs w:val="20"/>
          <w:color w:val="auto"/>
        </w:rPr>
      </w:pPr>
      <w:r>
        <w:rPr>
          <w:rFonts w:ascii="Arial" w:cs="Arial" w:eastAsia="Arial" w:hAnsi="Arial"/>
          <w:sz w:val="14"/>
          <w:szCs w:val="14"/>
          <w:color w:val="auto"/>
        </w:rPr>
        <w:t>We encourage you to direct any questions to your existing point of contact here at IFF. If you’re interested in learning more about the transaction, I encourage you to read the press release we issued earlier today and to review our transaction website: www.StrongerInnovationTogether.com.</w:t>
      </w:r>
    </w:p>
    <w:p>
      <w:pPr>
        <w:spacing w:after="0" w:line="106" w:lineRule="exact"/>
        <w:rPr>
          <w:sz w:val="20"/>
          <w:szCs w:val="20"/>
          <w:color w:val="auto"/>
        </w:rPr>
      </w:pPr>
    </w:p>
    <w:p>
      <w:pPr>
        <w:ind w:right="640"/>
        <w:spacing w:after="0" w:line="351" w:lineRule="auto"/>
        <w:rPr>
          <w:sz w:val="20"/>
          <w:szCs w:val="20"/>
          <w:color w:val="auto"/>
        </w:rPr>
      </w:pPr>
      <w:r>
        <w:rPr>
          <w:rFonts w:ascii="Arial" w:cs="Arial" w:eastAsia="Arial" w:hAnsi="Arial"/>
          <w:sz w:val="14"/>
          <w:szCs w:val="14"/>
          <w:color w:val="auto"/>
        </w:rPr>
        <w:t>This is an exciting day for IFF, and we are confident that this combination will position both our organizations to deliver leading differentiated, integrated solutions to our customers. Thank you for your continued support and we look forward to continuing our relationship.</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Matthias Haeni</w:t>
      </w:r>
    </w:p>
    <w:p>
      <w:pPr>
        <w:sectPr>
          <w:pgSz w:w="11900" w:h="16838" w:orient="portrait"/>
          <w:cols w:equalWidth="0" w:num="1">
            <w:col w:w="9800"/>
          </w:cols>
          <w:pgMar w:left="1060" w:top="255" w:right="1039"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11747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02500" cy="117475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08"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This communication is not intended to and shall not constitute an offer to sell or the solicitation of an offer to sell or the solicitation of an offer to buy any securities or a solicitation of any vote of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In connection with the proposed combination of Nutrition &amp; Biosciences, Inc. (“N&amp;Bco”), a wholly owned subsidiary of DuPont de Nemours, Inc. (“DuPont”), and International Flavors &amp; Fragrances Inc. (“IFF”), which will immediately follow the proposed separation of N&amp;Bco from DuPont (the “proposed transaction”), N&amp;Bco and IFF intend to file relevant materials with the SEC, including a registration statement on Form S-4 that will include a proxy statement/prospectus relating to the proposed transaction. In addition, N&amp;Bco expects to file a registration statement in connection with its separation from DuPont. INVESTORS AND SECURITY HOLDERS ARE URGED TO READ THE REGISTRATION STATEMENTS, PROXY STATEMENT/PROSPECTUS AND ANY OTHER RELEVANT DOCUMENTS WHEN THEY BECOME AVAILABLE BECAUSE THEY WILL CONTAIN IMPORTANT INFORMATION ABOUT IFF, N&amp;BCO AND THE PROPOSED TRANSACTION. A definitive proxy statement will be sent to shareholders of IFF seeking approval of the proposed transaction. The documents relating to the proposed transaction (when they are available) can be obtained free of charge from the SEC’s website at www.sec.gov. The proxy statement, prospectus and/or information statement and other documents (when they are available) will also be available free of charge on IFF’s website at https://ir.iff.com/ or on DuPont’s website at https://www.investors.dupont.com/investors/dupont-investors/default.aspx.</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on Forward-Looking Statements</w:t>
      </w:r>
    </w:p>
    <w:p>
      <w:pPr>
        <w:spacing w:after="0" w:line="108"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This communication contains “forward-looking statements” within the meaning of the federal securities laws, including Section 27A of the Securities Act, and Section 21E of the Securities Exchange Act of 1934, as amended (the “Exchange Act”). In this context, forward-looking statements often address expected future business and financial performance and financial condition, and often contain words such as “expect,” “anticipate,” “intend,” “plan,” “believe,” “seek,” “see,” “will,” “would,” “target,” similar expressions, and variations or negatives of these words. Forward-looking statements by their nature address matters that are, to different degrees, uncertain, such as statements about the proposed transaction, the expected timetable for completing the proposed transaction, the benefits and synergies of the proposed transaction, future opportunities for the combined company and products and any other statements regarding DuPont’s, IFF’s and N&amp;Bco’s future operations, financial or operating results, capital allocation, dividend policy, debt ratio, anticipated business levels, future earnings, planned activities, anticipated growth, market opportunities, strategies, competitions, and other expectations and targets for future periods. There are several factors which could cause actual plans and results to differ materially from those expressed or implied in forward-looking statements. Such factors include, but are not limited to, (1) the parties’ ability to meet expectations regarding the timing, completion and accounting and tax treatments of the proposed transaction, (2) changes in relevant tax and other laws, (3) any failure to obtain necessary regulatory approvals, approval of IFF’s shareholders, anticipated tax treatment or any required financing or to satisfy any of the other conditions to the proposed transaction, (4) the possibility that unforeseen liabilities, future capital expenditures, revenues, expenses, earnings, synergies, economic performance, indebtedness, financial condition, losses, future prospects, business and management strategies that could impact the value, timing or pursuit of the proposed transaction, (5) risks and costs and pursuit and/or implementation of the separation of N&amp;Bco, including timing anticipated to complete the separation, any changes to the configuration of businesses included in the separation if implemented, (6) risks related to indemnification of certain legacy liabilities of E. I. du Pont de Nemours and Company (“Historical EID”) in connection with the distribution of Corteva Inc. on June 1, 2019 (the “Corteva</w:t>
      </w:r>
    </w:p>
    <w:p>
      <w:pPr>
        <w:sectPr>
          <w:pgSz w:w="11900" w:h="16838" w:orient="portrait"/>
          <w:cols w:equalWidth="0" w:num="1">
            <w:col w:w="9760"/>
          </w:cols>
          <w:pgMar w:left="1060" w:top="1440" w:right="1079"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11747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02500" cy="11747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7"/>
        <w:spacing w:after="0" w:line="289" w:lineRule="auto"/>
        <w:rPr>
          <w:sz w:val="20"/>
          <w:szCs w:val="20"/>
          <w:color w:val="auto"/>
        </w:rPr>
      </w:pPr>
      <w:r>
        <w:rPr>
          <w:rFonts w:ascii="Arial" w:cs="Arial" w:eastAsia="Arial" w:hAnsi="Arial"/>
          <w:sz w:val="14"/>
          <w:szCs w:val="14"/>
          <w:color w:val="auto"/>
        </w:rPr>
        <w:t>Distribution”), (7) potential liability arising from fraudulent conveyance and similar laws in connection with DuPont’s distribution of Dow Inc. on April 1, 2019 and/or the Corteva Distributions (the “Previous Distributions”), (8) failure to effectively manage acquisitions, divestitures, alliances, joint ventures and other portfolio changes, including meeting conditions under the Letter Agreement entered in connection with the Corteva Distribution, related to the transfer of certain levels of assets and businesses, (9) uncertainty as to the long-term value of DuPont common stock, (10) potential inability or reduced access to the capital markets or increased cost of borrowings, including as a result of a credit rating downgrade, (11) inherent uncertainties involved in the estimates and judgments used in the preparation of financial statements and the providing of estimates of financial measures, in accordance with the accounting principles generally accepted in the United States of America and related standards, or on an adjusted basis,</w:t>
      </w:r>
    </w:p>
    <w:p>
      <w:pPr>
        <w:spacing w:after="0" w:line="1" w:lineRule="exact"/>
        <w:rPr>
          <w:sz w:val="20"/>
          <w:szCs w:val="20"/>
          <w:color w:val="auto"/>
        </w:rPr>
      </w:pPr>
    </w:p>
    <w:p>
      <w:pPr>
        <w:ind w:left="7" w:hanging="7"/>
        <w:spacing w:after="0" w:line="288" w:lineRule="auto"/>
        <w:tabs>
          <w:tab w:leader="none" w:pos="314"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integration of IFF and its Frutarom business and/or N&amp;Bco being more difficult, time consuming or costly than expected, (13) the failure to achieve expected or targeted future financial and operating performance and results, (14) the possibility that IFF may be unable to achieve expected benefits, synergies and operating efficiencies in connection with the proposed transaction within the expected time frames or at all or to successfully integrate Frutarom and N&amp;Bco, (15) customer loss and business disruption being greater than expected following the proposed transaction, (16) the impact of divestitures required as a condition to consummation of the proposed transaction as well as other conditional commitments, (17) legislative, regulatory and economic developments; (18) an increase or decrease in the anticipated transaction taxes (including due to any changes to tax legislation and its impact on tax rates (and the timing of the effectiveness of any such changes)) to be paid in connection with the separation prior to the closing of the transactions could cause an adjustment to the exchange ratio, (19) potential litigation relating to the proposed transaction that could be instituted against DuPont, IFF or their respective directors, (20) risks associated with third party contracts containing consent and/or other provisions that may be triggered by the proposed transaction, (21) negative effects of the announcement or the consummation of the transaction on the market price of DuPont’s and/or IFF’s common stock, (22) risks relating to the value of the IFF shares to be issued in the transaction and uncertainty as to the long-term value of IFF’s common stock, (23) risks relating to IFF’s ongoing investigations into improper payments made in Frutarom businesses principally operating in Russia and the Ukraine, including expenses incurred with respect to the investigations, the cost of any remedial measures or compliance programs arising out of the investigations, legal proceedings or government investigations that may arise relating to the subject of IFF’s investigations, and the outcome of any such legal or government investigations, such as the imposition of fines, penalties, orders, or injunctions, (24) the impact of the failure to comply with U.S. or foreign anti-corruption and anti-bribery laws and regulations, including with respect to IFF’s ongoing investigations into improper payments made in Frutarom businesses principally operating in Russia and the Ukraine, (25) the impact of the outcome of legal claims, regulatory investigations and litigation, including any that may arise out of IFF’s ongoing investigations into improper payments made in Frutarom businesses principally operating in Russia and the Ukraine, (26) the ability of N&amp;Bco or IFF to retain and hire key personnel, (27) the risk that N&amp;Bco, as a newly formed entity that currently has no credit rating, will not have access to the capital markets on acceptable terms, (28) the risk that N&amp;Bco and IFF will incur significant indebtedness in connection with the potential transaction, and the degree to which IFF will be leveraged following completion of the potential transaction may materially and adversely affect its business, financial condition and results of operations, (29) the ability to obtain or consummate financing or refinancing related to the transaction upon acceptable terms or at all, and (30) other risks to DuPont’s, N&amp;Bco’s and IFF’s business, operations and results of operations including from: failure to develop and market new products and optimally manage product life cycles; ability, cost and impact on business operations, including the supply chain, of responding to changes in market acceptance, rules, regulations and policies and failure to respond to such changes; outcome of significant litigation, environmental matters and other commitments and contingencies; failure to appropriately manage process safety and product stewardship issues; global economic and capital market conditions, including the continued availability of capital and financing, as well as inflation, interest and currency exchange rates; changes in political conditions, including tariffs, trade disputes and retaliatory actions; impairment of goodwill or intangible assets; the availability of and fluctuations in the cost of</w:t>
      </w:r>
    </w:p>
    <w:p>
      <w:pPr>
        <w:sectPr>
          <w:pgSz w:w="11900" w:h="16838" w:orient="portrait"/>
          <w:cols w:equalWidth="0" w:num="1">
            <w:col w:w="9787"/>
          </w:cols>
          <w:pgMar w:left="1053" w:top="1440" w:right="105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11747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02500" cy="11747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energy and raw materials; business or supply disruption, including in connection with the Previous Distributions; security threats, such as acts of sabotage, terrorism or war, natural disasters and weather events and patterns which could result in a significant operational event for DuPont, N&amp;Bco or IFF, adversely impact demand or production; ability to discover, develop and protect new technologies and to protect and enforce DuPont’s, N&amp;Bco’s or IFF’s intellectual property rights; unpredictability and severity of catastrophic events, including, but not limited to, acts of terrorism or outbreak of war or hostilities, as well as management’s response to any of the aforementioned factors. These risks, as well as other risks associated with the proposed merger, will be more fully discussed in the registration statement and merger proxy on Form S-4 to be filed by IFF and the registration statement on Form 10 to be filed by N&amp;Bco. While the list of factors presented here is, and the list of factors to be presented in any registration statement filed in connection with the transaction are, considered representative, no such list should be considered to be a complete statement of all potential risks and uncertainties. Unlisted factors may present significant additional obstacles to the realization of forward looking statements. Further lists and descriptions of risks and uncertainties can be found in each of IFF’s and DuPont’s Form 10-Q for the period ended September 30, 2019 and each of IFF’s and DuPont’s respective subsequent reports on Form 10-Q, Form 10-K and Form 8-K, the contents of which are not incorporated by reference into, nor do they form part of, this announcement. Any other risks associated with the proposed transaction will be more fully discussed in any registration statement filed with the SEC. While the list of factors presented here is, and the list of factors that may be presented in a registration statement of IFF or N&amp;Bco would be, considered representative, no such list should be considered to be a complete statement of all potential risks and uncertainties. Unlisted factors may present significant additional obstacles to the realization of forward 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IFF’s, DuPont’s or N&amp;Bco’s consolidated financial condition, results of operations, credit rating or liquidity. None of IFF, DuPont nor N&amp;Bco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108" w:lineRule="exact"/>
        <w:rPr>
          <w:sz w:val="20"/>
          <w:szCs w:val="20"/>
          <w:color w:val="auto"/>
        </w:rPr>
      </w:pPr>
    </w:p>
    <w:p>
      <w:pPr>
        <w:ind w:right="100"/>
        <w:spacing w:after="0" w:line="274" w:lineRule="auto"/>
        <w:rPr>
          <w:sz w:val="20"/>
          <w:szCs w:val="20"/>
          <w:color w:val="auto"/>
        </w:rPr>
      </w:pPr>
      <w:r>
        <w:rPr>
          <w:rFonts w:ascii="Arial" w:cs="Arial" w:eastAsia="Arial" w:hAnsi="Arial"/>
          <w:sz w:val="15"/>
          <w:szCs w:val="15"/>
          <w:color w:val="auto"/>
        </w:rPr>
        <w:t>This communication is not a solicitation of a proxy from any investor or security holder. However, DuPont, IFF and certain of their respective directors and executive officers may be deemed to be participants in the solicitation of proxies in connection with the proposed transaction under the rules of the SEC. Information about the directors and executive officers of DuPont may be found in its Annual Report on Form 10-K filed with the SEC on February 11, 2019 and its definitive proxy statement filed with the SEC on May 1, 2019. Information about the directors and executive officers of IFF may be found in its definitive proxy statement filed with the SEC on March 18, 2019. Other information regarding the participants in the proxy solicitation and a description of their direct and indirect interests, by security holdings or otherwise, will be contained in the registration statements, prospectuses and proxy statement and other relevant materials to be filed with the SEC when they become available.</w:t>
      </w:r>
    </w:p>
    <w:p>
      <w:pPr>
        <w:sectPr>
          <w:pgSz w:w="11900" w:h="16838" w:orient="portrait"/>
          <w:cols w:equalWidth="0" w:num="1">
            <w:col w:w="9780"/>
          </w:cols>
          <w:pgMar w:left="1060" w:top="1440" w:right="1059" w:bottom="1440" w:gutter="0" w:footer="0" w:header="0"/>
        </w:sectPr>
      </w:pPr>
    </w:p>
    <w:bookmarkStart w:id="112" w:name="page113"/>
    <w:bookmarkEnd w:id="112"/>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99.12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13335</wp:posOffset>
            </wp:positionV>
            <wp:extent cx="5835015" cy="75514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35015" cy="755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20" w:type="dxa"/>
            <w:vAlign w:val="bottom"/>
            <w:gridSpan w:val="2"/>
          </w:tcPr>
          <w:p>
            <w:pPr>
              <w:spacing w:after="0"/>
              <w:rPr>
                <w:sz w:val="20"/>
                <w:szCs w:val="20"/>
                <w:color w:val="auto"/>
              </w:rPr>
            </w:pPr>
            <w:r>
              <w:rPr>
                <w:rFonts w:ascii="Arial" w:cs="Arial" w:eastAsia="Arial" w:hAnsi="Arial"/>
                <w:sz w:val="12"/>
                <w:szCs w:val="12"/>
                <w:color w:val="FFFFFF"/>
                <w:w w:val="94"/>
              </w:rPr>
              <w:t>Main Menu Home</w:t>
            </w:r>
          </w:p>
        </w:tc>
        <w:tc>
          <w:tcPr>
            <w:tcW w:w="1260" w:type="dxa"/>
            <w:vAlign w:val="bottom"/>
          </w:tcPr>
          <w:p>
            <w:pPr>
              <w:ind w:left="460"/>
              <w:spacing w:after="0"/>
              <w:rPr>
                <w:sz w:val="20"/>
                <w:szCs w:val="20"/>
                <w:color w:val="auto"/>
              </w:rPr>
            </w:pPr>
            <w:r>
              <w:rPr>
                <w:rFonts w:ascii="Arial" w:cs="Arial" w:eastAsia="Arial" w:hAnsi="Arial"/>
                <w:sz w:val="12"/>
                <w:szCs w:val="12"/>
                <w:color w:val="FFFFFF"/>
              </w:rPr>
              <w:t>Employees</w:t>
            </w:r>
          </w:p>
        </w:tc>
        <w:tc>
          <w:tcPr>
            <w:tcW w:w="7600" w:type="dxa"/>
            <w:vAlign w:val="bottom"/>
            <w:gridSpan w:val="4"/>
          </w:tcPr>
          <w:p>
            <w:pPr>
              <w:ind w:left="300"/>
              <w:spacing w:after="0"/>
              <w:rPr>
                <w:sz w:val="20"/>
                <w:szCs w:val="20"/>
                <w:color w:val="auto"/>
              </w:rPr>
            </w:pPr>
            <w:r>
              <w:rPr>
                <w:rFonts w:ascii="Arial" w:cs="Arial" w:eastAsia="Arial" w:hAnsi="Arial"/>
                <w:sz w:val="12"/>
                <w:szCs w:val="12"/>
                <w:color w:val="FFFFFF"/>
                <w:w w:val="93"/>
              </w:rPr>
              <w:t>Media SEC Filings IFF and DuPont’s Nutrition &amp; Biosciences Business Are Combining Creating a New Global High-Value Ingredients and Solutions</w:t>
            </w:r>
          </w:p>
        </w:tc>
      </w:tr>
      <w:tr>
        <w:trPr>
          <w:trHeight w:val="36"/>
        </w:trPr>
        <w:tc>
          <w:tcPr>
            <w:tcW w:w="9780" w:type="dxa"/>
            <w:vAlign w:val="bottom"/>
            <w:gridSpan w:val="7"/>
          </w:tcPr>
          <w:p>
            <w:pPr>
              <w:spacing w:after="0" w:line="37" w:lineRule="exact"/>
              <w:rPr>
                <w:sz w:val="20"/>
                <w:szCs w:val="20"/>
                <w:color w:val="auto"/>
              </w:rPr>
            </w:pPr>
            <w:r>
              <w:rPr>
                <w:rFonts w:ascii="Arial" w:cs="Arial" w:eastAsia="Arial" w:hAnsi="Arial"/>
                <w:sz w:val="4"/>
                <w:szCs w:val="4"/>
                <w:color w:val="FFFFFF"/>
              </w:rPr>
              <w:t>Partner for Our CustomInvestorsIFF and DuPont’CustomersNutrition &amp; Biosciences are combining to create a global leader   high-value ingredients and solutions, for global Food &amp; Beverage, Home &amp; Personal Care</w:t>
            </w:r>
          </w:p>
        </w:tc>
      </w:tr>
      <w:tr>
        <w:trPr>
          <w:trHeight w:val="36"/>
        </w:trPr>
        <w:tc>
          <w:tcPr>
            <w:tcW w:w="9780" w:type="dxa"/>
            <w:vAlign w:val="bottom"/>
            <w:gridSpan w:val="7"/>
          </w:tcPr>
          <w:p>
            <w:pPr>
              <w:spacing w:after="0" w:line="37" w:lineRule="exact"/>
              <w:rPr>
                <w:sz w:val="20"/>
                <w:szCs w:val="20"/>
                <w:color w:val="auto"/>
              </w:rPr>
            </w:pPr>
            <w:r>
              <w:rPr>
                <w:rFonts w:ascii="Arial" w:cs="Arial" w:eastAsia="Arial" w:hAnsi="Arial"/>
                <w:sz w:val="4"/>
                <w:szCs w:val="4"/>
                <w:color w:val="FFFFFF"/>
              </w:rPr>
              <w:t>and Health &amp; Wellness end markets. The combination of these iconic businesses will redefine the industry by providing high-quality products, innovative solutions and partnership with customers to</w:t>
            </w:r>
          </w:p>
        </w:tc>
      </w:tr>
      <w:tr>
        <w:trPr>
          <w:trHeight w:val="36"/>
        </w:trPr>
        <w:tc>
          <w:tcPr>
            <w:tcW w:w="9780" w:type="dxa"/>
            <w:vAlign w:val="bottom"/>
            <w:gridSpan w:val="7"/>
          </w:tcPr>
          <w:p>
            <w:pPr>
              <w:spacing w:after="0" w:line="37" w:lineRule="exact"/>
              <w:rPr>
                <w:sz w:val="20"/>
                <w:szCs w:val="20"/>
                <w:color w:val="auto"/>
              </w:rPr>
            </w:pPr>
            <w:r>
              <w:rPr>
                <w:rFonts w:ascii="Arial" w:cs="Arial" w:eastAsia="Arial" w:hAnsi="Arial"/>
                <w:sz w:val="4"/>
                <w:szCs w:val="4"/>
                <w:color w:val="FFFFFF"/>
              </w:rPr>
              <w:t>deliver growth. Together, the complementary portfolios will give the combined company leadership positions across key Taste, Texture, Scent, Nutrition, Enzymes, Cultures, Soy Proteins and Probiotics</w:t>
            </w:r>
          </w:p>
        </w:tc>
      </w:tr>
      <w:tr>
        <w:trPr>
          <w:trHeight w:val="36"/>
        </w:trPr>
        <w:tc>
          <w:tcPr>
            <w:tcW w:w="7020" w:type="dxa"/>
            <w:vAlign w:val="bottom"/>
            <w:gridSpan w:val="5"/>
          </w:tcPr>
          <w:p>
            <w:pPr>
              <w:spacing w:after="0" w:line="37" w:lineRule="exact"/>
              <w:rPr>
                <w:sz w:val="20"/>
                <w:szCs w:val="20"/>
                <w:color w:val="auto"/>
              </w:rPr>
            </w:pPr>
            <w:r>
              <w:rPr>
                <w:rFonts w:ascii="Arial" w:cs="Arial" w:eastAsia="Arial" w:hAnsi="Arial"/>
                <w:sz w:val="4"/>
                <w:szCs w:val="4"/>
                <w:color w:val="FFFFFF"/>
              </w:rPr>
              <w:t>categories. The combined company’s global reach and unique set of capabilities will enable the creation of innovative solutions to respond to</w:t>
            </w:r>
          </w:p>
        </w:tc>
        <w:tc>
          <w:tcPr>
            <w:tcW w:w="2760" w:type="dxa"/>
            <w:vAlign w:val="bottom"/>
            <w:gridSpan w:val="2"/>
          </w:tcPr>
          <w:p>
            <w:pPr>
              <w:ind w:left="260"/>
              <w:spacing w:after="0" w:line="37" w:lineRule="exact"/>
              <w:rPr>
                <w:sz w:val="20"/>
                <w:szCs w:val="20"/>
                <w:color w:val="auto"/>
              </w:rPr>
            </w:pPr>
            <w:r>
              <w:rPr>
                <w:rFonts w:ascii="Arial" w:cs="Arial" w:eastAsia="Arial" w:hAnsi="Arial"/>
                <w:sz w:val="4"/>
                <w:szCs w:val="4"/>
                <w:color w:val="FFFFFF"/>
              </w:rPr>
              <w:t>demands and increasing consumer preferences for</w:t>
            </w:r>
          </w:p>
        </w:tc>
      </w:tr>
      <w:tr>
        <w:trPr>
          <w:trHeight w:val="36"/>
        </w:trPr>
        <w:tc>
          <w:tcPr>
            <w:tcW w:w="420" w:type="dxa"/>
            <w:vAlign w:val="bottom"/>
          </w:tcPr>
          <w:p>
            <w:pPr>
              <w:spacing w:after="0" w:line="37" w:lineRule="exact"/>
              <w:rPr>
                <w:sz w:val="20"/>
                <w:szCs w:val="20"/>
                <w:color w:val="auto"/>
              </w:rPr>
            </w:pPr>
            <w:r>
              <w:rPr>
                <w:rFonts w:ascii="Arial" w:cs="Arial" w:eastAsia="Arial" w:hAnsi="Arial"/>
                <w:sz w:val="4"/>
                <w:szCs w:val="4"/>
                <w:color w:val="FFFFFF"/>
              </w:rPr>
              <w:t>natural,</w:t>
            </w:r>
          </w:p>
        </w:tc>
        <w:tc>
          <w:tcPr>
            <w:tcW w:w="9360" w:type="dxa"/>
            <w:vAlign w:val="bottom"/>
            <w:gridSpan w:val="6"/>
          </w:tcPr>
          <w:p>
            <w:pPr>
              <w:ind w:left="380"/>
              <w:spacing w:after="0" w:line="37" w:lineRule="exact"/>
              <w:rPr>
                <w:sz w:val="20"/>
                <w:szCs w:val="20"/>
                <w:color w:val="auto"/>
              </w:rPr>
            </w:pPr>
            <w:r>
              <w:rPr>
                <w:rFonts w:ascii="Arial" w:cs="Arial" w:eastAsia="Arial" w:hAnsi="Arial"/>
                <w:sz w:val="4"/>
                <w:szCs w:val="4"/>
                <w:color w:val="FFFFFF"/>
              </w:rPr>
              <w:t>, and “better for you” products. View Fact Sheet View Press Release A Message from IFF’ Chief Executive Officer and DuPont’customerExecutive Chairman: “The combination of IFF and</w:t>
            </w:r>
          </w:p>
        </w:tc>
      </w:tr>
      <w:tr>
        <w:trPr>
          <w:trHeight w:val="36"/>
        </w:trPr>
        <w:tc>
          <w:tcPr>
            <w:tcW w:w="9780" w:type="dxa"/>
            <w:vAlign w:val="bottom"/>
            <w:gridSpan w:val="7"/>
          </w:tcPr>
          <w:p>
            <w:pPr>
              <w:spacing w:after="0" w:line="37" w:lineRule="exact"/>
              <w:rPr>
                <w:sz w:val="20"/>
                <w:szCs w:val="20"/>
                <w:color w:val="auto"/>
              </w:rPr>
            </w:pPr>
            <w:r>
              <w:rPr>
                <w:rFonts w:ascii="Arial" w:cs="Arial" w:eastAsia="Arial" w:hAnsi="Arial"/>
                <w:sz w:val="4"/>
                <w:szCs w:val="4"/>
                <w:color w:val="FFFFFF"/>
              </w:rPr>
              <w:t>N&amp;B is healthiervotal moment in our journey to become an invaluable innovation and creative partner for our customers. Together, we will create a leading ingredients and solutions provider with a broader set</w:t>
            </w:r>
          </w:p>
        </w:tc>
      </w:tr>
      <w:tr>
        <w:trPr>
          <w:trHeight w:val="36"/>
        </w:trPr>
        <w:tc>
          <w:tcPr>
            <w:tcW w:w="8580" w:type="dxa"/>
            <w:vAlign w:val="bottom"/>
            <w:gridSpan w:val="6"/>
          </w:tcPr>
          <w:p>
            <w:pPr>
              <w:spacing w:after="0" w:line="37" w:lineRule="exact"/>
              <w:rPr>
                <w:sz w:val="20"/>
                <w:szCs w:val="20"/>
                <w:color w:val="auto"/>
              </w:rPr>
            </w:pPr>
            <w:r>
              <w:rPr>
                <w:rFonts w:ascii="Arial" w:cs="Arial" w:eastAsia="Arial" w:hAnsi="Arial"/>
                <w:sz w:val="4"/>
                <w:szCs w:val="4"/>
                <w:color w:val="FFFFFF"/>
              </w:rPr>
              <w:t>of capabilities to meet our customers’ evolving needs. With highly complementary portfolios, we will have global scale and leading positions in key growth categories to enable</w:t>
            </w:r>
          </w:p>
        </w:tc>
        <w:tc>
          <w:tcPr>
            <w:tcW w:w="1200" w:type="dxa"/>
            <w:vAlign w:val="bottom"/>
          </w:tcPr>
          <w:p>
            <w:pPr>
              <w:ind w:left="120"/>
              <w:spacing w:after="0" w:line="37" w:lineRule="exact"/>
              <w:rPr>
                <w:sz w:val="20"/>
                <w:szCs w:val="20"/>
                <w:color w:val="auto"/>
              </w:rPr>
            </w:pPr>
            <w:r>
              <w:rPr>
                <w:rFonts w:ascii="Arial" w:cs="Arial" w:eastAsia="Arial" w:hAnsi="Arial"/>
                <w:sz w:val="4"/>
                <w:szCs w:val="4"/>
                <w:color w:val="FFFFFF"/>
              </w:rPr>
              <w:t>to better respond to</w:t>
            </w:r>
          </w:p>
        </w:tc>
      </w:tr>
      <w:tr>
        <w:trPr>
          <w:trHeight w:val="36"/>
        </w:trPr>
        <w:tc>
          <w:tcPr>
            <w:tcW w:w="420" w:type="dxa"/>
            <w:vAlign w:val="bottom"/>
          </w:tcPr>
          <w:p>
            <w:pPr>
              <w:spacing w:after="0"/>
              <w:rPr>
                <w:sz w:val="3"/>
                <w:szCs w:val="3"/>
                <w:color w:val="auto"/>
              </w:rPr>
            </w:pPr>
          </w:p>
        </w:tc>
        <w:tc>
          <w:tcPr>
            <w:tcW w:w="9360" w:type="dxa"/>
            <w:vAlign w:val="bottom"/>
            <w:gridSpan w:val="6"/>
          </w:tcPr>
          <w:p>
            <w:pPr>
              <w:ind w:left="40"/>
              <w:spacing w:after="0" w:line="37" w:lineRule="exact"/>
              <w:rPr>
                <w:sz w:val="20"/>
                <w:szCs w:val="20"/>
                <w:color w:val="auto"/>
              </w:rPr>
            </w:pPr>
            <w:r>
              <w:rPr>
                <w:rFonts w:ascii="Arial" w:cs="Arial" w:eastAsia="Arial" w:hAnsi="Arial"/>
                <w:sz w:val="4"/>
                <w:szCs w:val="4"/>
                <w:color w:val="FFFFFF"/>
              </w:rPr>
              <w:t>needs driven by consumer demand, capitalize on positive market trends, drive strong profitable growth for our shareholders and create opportunities for our employees.IFFhave been impressed by</w:t>
            </w:r>
          </w:p>
        </w:tc>
      </w:tr>
      <w:tr>
        <w:trPr>
          <w:trHeight w:val="36"/>
        </w:trPr>
        <w:tc>
          <w:tcPr>
            <w:tcW w:w="9780" w:type="dxa"/>
            <w:vAlign w:val="bottom"/>
            <w:gridSpan w:val="7"/>
          </w:tcPr>
          <w:p>
            <w:pPr>
              <w:spacing w:after="0" w:line="37" w:lineRule="exact"/>
              <w:rPr>
                <w:sz w:val="20"/>
                <w:szCs w:val="20"/>
                <w:color w:val="auto"/>
              </w:rPr>
            </w:pPr>
            <w:r>
              <w:rPr>
                <w:rFonts w:ascii="Arial" w:cs="Arial" w:eastAsia="Arial" w:hAnsi="Arial"/>
                <w:sz w:val="4"/>
                <w:szCs w:val="4"/>
                <w:color w:val="FFFFFF"/>
              </w:rPr>
              <w:t>customerN&amp;B’management team, which shares our culture and values, and we look forward to welcoming them to the IFF family.” – Andreas Fibig, Chairman and CEO of IFF “DuPont and IFF share long and</w:t>
            </w:r>
          </w:p>
        </w:tc>
      </w:tr>
      <w:tr>
        <w:trPr>
          <w:trHeight w:val="0"/>
        </w:trPr>
        <w:tc>
          <w:tcPr>
            <w:tcW w:w="920" w:type="dxa"/>
            <w:vAlign w:val="bottom"/>
            <w:gridSpan w:val="2"/>
          </w:tcPr>
          <w:p>
            <w:pPr>
              <w:spacing w:after="0" w:line="71" w:lineRule="exact"/>
              <w:rPr>
                <w:sz w:val="20"/>
                <w:szCs w:val="20"/>
                <w:color w:val="auto"/>
              </w:rPr>
            </w:pPr>
            <w:r>
              <w:rPr>
                <w:rFonts w:ascii="Arial" w:cs="Arial" w:eastAsia="Arial" w:hAnsi="Arial"/>
                <w:sz w:val="8"/>
                <w:szCs w:val="8"/>
                <w:color w:val="FFFFFF"/>
              </w:rPr>
              <w:t>successful</w:t>
            </w:r>
          </w:p>
        </w:tc>
        <w:tc>
          <w:tcPr>
            <w:tcW w:w="1260" w:type="dxa"/>
            <w:vAlign w:val="bottom"/>
          </w:tcPr>
          <w:p>
            <w:pPr>
              <w:ind w:left="40"/>
              <w:spacing w:after="0" w:line="71" w:lineRule="exact"/>
              <w:rPr>
                <w:sz w:val="20"/>
                <w:szCs w:val="20"/>
                <w:color w:val="auto"/>
              </w:rPr>
            </w:pPr>
            <w:r>
              <w:rPr>
                <w:rFonts w:ascii="Arial" w:cs="Arial" w:eastAsia="Arial" w:hAnsi="Arial"/>
                <w:sz w:val="8"/>
                <w:szCs w:val="8"/>
                <w:color w:val="FFFFFF"/>
              </w:rPr>
              <w:t>of customer-driven</w:t>
            </w:r>
          </w:p>
        </w:tc>
        <w:tc>
          <w:tcPr>
            <w:tcW w:w="2720" w:type="dxa"/>
            <w:vAlign w:val="bottom"/>
          </w:tcPr>
          <w:p>
            <w:pPr>
              <w:ind w:left="260"/>
              <w:spacing w:after="0" w:line="71" w:lineRule="exact"/>
              <w:rPr>
                <w:sz w:val="20"/>
                <w:szCs w:val="20"/>
                <w:color w:val="auto"/>
              </w:rPr>
            </w:pPr>
            <w:r>
              <w:rPr>
                <w:rFonts w:ascii="Arial" w:cs="Arial" w:eastAsia="Arial" w:hAnsi="Arial"/>
                <w:sz w:val="8"/>
                <w:szCs w:val="8"/>
                <w:color w:val="FFFFFF"/>
              </w:rPr>
              <w:t>and cultures of excellence, which is why I am</w:t>
            </w:r>
          </w:p>
        </w:tc>
        <w:tc>
          <w:tcPr>
            <w:tcW w:w="4880" w:type="dxa"/>
            <w:vAlign w:val="bottom"/>
            <w:gridSpan w:val="3"/>
          </w:tcPr>
          <w:p>
            <w:pPr>
              <w:ind w:left="260"/>
              <w:spacing w:after="0" w:line="71" w:lineRule="exact"/>
              <w:rPr>
                <w:sz w:val="20"/>
                <w:szCs w:val="20"/>
                <w:color w:val="auto"/>
              </w:rPr>
            </w:pPr>
            <w:r>
              <w:rPr>
                <w:rFonts w:ascii="Arial" w:cs="Arial" w:eastAsia="Arial" w:hAnsi="Arial"/>
                <w:sz w:val="8"/>
                <w:szCs w:val="8"/>
                <w:color w:val="FFFFFF"/>
              </w:rPr>
              <w:t>that N&amp;B will be well-positioned for its next phase of growth. I am pleased to join the Board of</w:t>
            </w:r>
          </w:p>
        </w:tc>
      </w:tr>
    </w:tbl>
    <w:p>
      <w:pPr>
        <w:ind w:right="60"/>
        <w:spacing w:after="0" w:line="187" w:lineRule="auto"/>
        <w:rPr>
          <w:sz w:val="20"/>
          <w:szCs w:val="20"/>
          <w:color w:val="auto"/>
        </w:rPr>
      </w:pPr>
      <w:r>
        <w:rPr>
          <w:rFonts w:ascii="Arial" w:cs="Arial" w:eastAsia="Arial" w:hAnsi="Arial"/>
          <w:sz w:val="8"/>
          <w:szCs w:val="8"/>
          <w:color w:val="FFFFFF"/>
        </w:rPr>
        <w:t>the combinedhistoriesganization and remain involvedinnovation unlocking the potential of this new company. Wconfidentconducted a very thorough process leading us to the selection of IFF as the preferred partner for N&amp;B. I am excited about the future of the new company and all the opportunities it has for long-term value creation.” – Ed Breen, Executive Chairman of DuPont</w:t>
      </w:r>
    </w:p>
    <w:p>
      <w:pPr>
        <w:sectPr>
          <w:pgSz w:w="11900" w:h="16838" w:orient="portrait"/>
          <w:cols w:equalWidth="0" w:num="1">
            <w:col w:w="9800"/>
          </w:cols>
          <w:pgMar w:left="1060" w:top="259" w:right="1039" w:bottom="1440" w:gutter="0" w:footer="0" w:header="0"/>
        </w:sectPr>
      </w:pPr>
    </w:p>
    <w:bookmarkStart w:id="113" w:name="page114"/>
    <w:bookmarkEnd w:id="113"/>
    <w:p>
      <w:pPr>
        <w:spacing w:after="0" w:line="1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2"/>
          <w:szCs w:val="12"/>
          <w:color w:val="FFFFFF"/>
        </w:rPr>
        <w:t>NutritionIfftoMerge&amp; BioscienceswithDuPont’</w:t>
      </w:r>
      <w:r>
        <w:rPr>
          <w:rFonts w:ascii="Arial" w:cs="Arial" w:eastAsia="Arial" w:hAnsi="Arial"/>
          <w:sz w:val="24"/>
          <w:szCs w:val="24"/>
          <w:color w:val="FFFFFF"/>
          <w:vertAlign w:val="subscript"/>
        </w:rPr>
        <w:t>Business:</w:t>
      </w:r>
    </w:p>
    <w:p>
      <w:pPr>
        <w:spacing w:after="0"/>
        <w:rPr>
          <w:sz w:val="20"/>
          <w:szCs w:val="20"/>
          <w:color w:val="auto"/>
        </w:rPr>
      </w:pPr>
      <w:r>
        <w:rPr>
          <w:rFonts w:ascii="Arial" w:cs="Arial" w:eastAsia="Arial" w:hAnsi="Arial"/>
          <w:sz w:val="10"/>
          <w:szCs w:val="10"/>
          <w:color w:val="FFFFFF"/>
        </w:rPr>
        <w:t>Creating a Category Defining Integrated Solutions Partner for Our Customers</w:t>
      </w:r>
    </w:p>
    <w:p>
      <w:pPr>
        <w:sectPr>
          <w:pgSz w:w="11900" w:h="16838" w:orient="portrait"/>
          <w:cols w:equalWidth="0" w:num="1">
            <w:col w:w="9399"/>
          </w:cols>
          <w:pgMar w:left="1060" w:top="1440" w:right="1440"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rPr>
          <w:sz w:val="20"/>
          <w:szCs w:val="20"/>
          <w:color w:val="auto"/>
        </w:rPr>
      </w:pPr>
      <w:r>
        <w:rPr>
          <w:rFonts w:ascii="Arial" w:cs="Arial" w:eastAsia="Arial" w:hAnsi="Arial"/>
          <w:sz w:val="8"/>
          <w:szCs w:val="8"/>
          <w:color w:val="FFFFFF"/>
        </w:rPr>
        <w:t>Media Contact IFF Michael DeVeau212.708.7164michael.deveau@iff.com DuPont Dan Turner302-996-8372daniel.a.turner@dupont.com Investor Contact IFF Investor Relations IFF Corporate IR WebsiteMichael DeVeau212.708.7164michael.deveau@iff.com DuPont Investor Relations DuPont Corporate IR WebsiteLori Koch302-999-5631lori.d.koch@dupont.com © 2019 by International Flavors &amp; Fragrances Inc. IFF is a Registered Trademark. All Rights Reserved. Disclaimer</w:t>
      </w:r>
    </w:p>
    <w:p>
      <w:pPr>
        <w:sectPr>
          <w:pgSz w:w="11900" w:h="16838" w:orient="portrait"/>
          <w:cols w:equalWidth="0" w:num="1">
            <w:col w:w="9440"/>
          </w:cols>
          <w:pgMar w:left="1060" w:top="1440" w:right="139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182" w:lineRule="auto"/>
        <w:rPr>
          <w:sz w:val="20"/>
          <w:szCs w:val="20"/>
          <w:color w:val="auto"/>
        </w:rPr>
      </w:pPr>
      <w:r>
        <w:rPr>
          <w:rFonts w:ascii="Arial" w:cs="Arial" w:eastAsia="Arial" w:hAnsi="Arial"/>
          <w:sz w:val="8"/>
          <w:szCs w:val="8"/>
          <w:color w:val="FFFFFF"/>
        </w:rPr>
        <w:t xml:space="preserve">Home Investors Employees Customers Media SEC Filings Investors The combination of IFF and DuPont’s Nutrition &amp; Biosciences business will deliver significant </w:t>
      </w:r>
      <w:r>
        <w:rPr>
          <w:rFonts w:ascii="Arial" w:cs="Arial" w:eastAsia="Arial" w:hAnsi="Arial"/>
          <w:sz w:val="13"/>
          <w:szCs w:val="13"/>
          <w:color w:val="FFFFFF"/>
          <w:vertAlign w:val="superscript"/>
        </w:rPr>
        <w:t>value</w:t>
      </w:r>
      <w:r>
        <w:rPr>
          <w:rFonts w:ascii="Arial" w:cs="Arial" w:eastAsia="Arial" w:hAnsi="Arial"/>
          <w:sz w:val="8"/>
          <w:szCs w:val="8"/>
          <w:color w:val="FFFFFF"/>
        </w:rPr>
        <w:t xml:space="preserve"> creation for shareholders of both companies through a well-established, tax-efficient Reverse Morris Trust </w:t>
      </w:r>
      <w:r>
        <w:rPr>
          <w:rFonts w:ascii="Arial" w:cs="Arial" w:eastAsia="Arial" w:hAnsi="Arial"/>
          <w:sz w:val="13"/>
          <w:szCs w:val="13"/>
          <w:color w:val="FFFFFF"/>
          <w:vertAlign w:val="subscript"/>
        </w:rPr>
        <w:t>structure,</w:t>
      </w:r>
      <w:r>
        <w:rPr>
          <w:rFonts w:ascii="Arial" w:cs="Arial" w:eastAsia="Arial" w:hAnsi="Arial"/>
          <w:sz w:val="8"/>
          <w:szCs w:val="8"/>
          <w:color w:val="FFFFFF"/>
        </w:rPr>
        <w:t xml:space="preserve"> meaningful cash EPS accretion and significant revenue and cost synergy potential. W are committed to maintaining an investment grade credit rating, and the combined company will maintain</w:t>
      </w:r>
      <w:r>
        <w:rPr>
          <w:rFonts w:ascii="Arial" w:cs="Arial" w:eastAsia="Arial" w:hAnsi="Arial"/>
          <w:sz w:val="13"/>
          <w:szCs w:val="13"/>
          <w:color w:val="FFFFFF"/>
          <w:vertAlign w:val="subscript"/>
        </w:rPr>
        <w:t>generate</w:t>
      </w:r>
      <w:r>
        <w:rPr>
          <w:rFonts w:ascii="Arial" w:cs="Arial" w:eastAsia="Arial" w:hAnsi="Arial"/>
          <w:sz w:val="8"/>
          <w:szCs w:val="8"/>
          <w:color w:val="FFFFFF"/>
        </w:rPr>
        <w:t>IFF’xisting dividend policy. “The value creation opportunity of this combination is significant as we can better serve our</w:t>
      </w:r>
    </w:p>
    <w:p>
      <w:pPr>
        <w:ind w:right="20"/>
        <w:spacing w:after="0" w:line="186" w:lineRule="auto"/>
        <w:rPr>
          <w:sz w:val="20"/>
          <w:szCs w:val="20"/>
          <w:color w:val="auto"/>
        </w:rPr>
      </w:pPr>
      <w:r>
        <w:rPr>
          <w:rFonts w:ascii="Arial" w:cs="Arial" w:eastAsia="Arial" w:hAnsi="Arial"/>
          <w:sz w:val="10"/>
          <w:szCs w:val="10"/>
          <w:color w:val="FFFFFF"/>
        </w:rPr>
        <w:t>customers, provide greater growth opportunities for our employees and strong and attractive financial returns for our shareholders.” – Andreas Fibig, Chairman and CEO of IFF Investor Webcast Announcement Press Release Transaction Fact Sheet View Infographic</w:t>
      </w:r>
    </w:p>
    <w:p>
      <w:pPr>
        <w:sectPr>
          <w:pgSz w:w="11900" w:h="16838" w:orient="portrait"/>
          <w:cols w:equalWidth="0" w:num="1">
            <w:col w:w="9780"/>
          </w:cols>
          <w:pgMar w:left="1060" w:top="1440" w:right="1059"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780" w:type="dxa"/>
            <w:vAlign w:val="bottom"/>
            <w:gridSpan w:val="5"/>
          </w:tcPr>
          <w:p>
            <w:pPr>
              <w:spacing w:after="0"/>
              <w:rPr>
                <w:sz w:val="20"/>
                <w:szCs w:val="20"/>
                <w:color w:val="auto"/>
              </w:rPr>
            </w:pPr>
            <w:r>
              <w:rPr>
                <w:rFonts w:ascii="Arial" w:cs="Arial" w:eastAsia="Arial" w:hAnsi="Arial"/>
                <w:sz w:val="12"/>
                <w:szCs w:val="12"/>
                <w:color w:val="FFFFFF"/>
                <w:w w:val="93"/>
              </w:rPr>
              <w:t>Skip to content Main Menu Home Investors Employees Customers Media SEC Filings Employees W intend to bring together two iconic businesses with cultures that combine the best of science and</w:t>
            </w:r>
          </w:p>
        </w:tc>
      </w:tr>
      <w:tr>
        <w:trPr>
          <w:trHeight w:val="36"/>
        </w:trPr>
        <w:tc>
          <w:tcPr>
            <w:tcW w:w="1340" w:type="dxa"/>
            <w:vAlign w:val="bottom"/>
          </w:tcPr>
          <w:p>
            <w:pPr>
              <w:ind w:left="40"/>
              <w:spacing w:after="0" w:line="37" w:lineRule="exact"/>
              <w:rPr>
                <w:sz w:val="20"/>
                <w:szCs w:val="20"/>
                <w:color w:val="auto"/>
              </w:rPr>
            </w:pPr>
            <w:r>
              <w:rPr>
                <w:rFonts w:ascii="Arial" w:cs="Arial" w:eastAsia="Arial" w:hAnsi="Arial"/>
                <w:sz w:val="4"/>
                <w:szCs w:val="4"/>
                <w:color w:val="FFFFFF"/>
              </w:rPr>
              <w:t>reativity. IFF and DuPont’</w:t>
            </w:r>
          </w:p>
        </w:tc>
        <w:tc>
          <w:tcPr>
            <w:tcW w:w="8440" w:type="dxa"/>
            <w:vAlign w:val="bottom"/>
            <w:gridSpan w:val="4"/>
          </w:tcPr>
          <w:p>
            <w:pPr>
              <w:jc w:val="center"/>
              <w:ind w:right="60"/>
              <w:spacing w:after="0" w:line="37" w:lineRule="exact"/>
              <w:rPr>
                <w:sz w:val="20"/>
                <w:szCs w:val="20"/>
                <w:color w:val="auto"/>
              </w:rPr>
            </w:pPr>
            <w:r>
              <w:rPr>
                <w:rFonts w:ascii="Arial" w:cs="Arial" w:eastAsia="Arial" w:hAnsi="Arial"/>
                <w:sz w:val="4"/>
                <w:szCs w:val="4"/>
                <w:color w:val="FFFFFF"/>
              </w:rPr>
              <w:t>Nutrition &amp; Biosciences business have prioritized staying close to the customer – utilizing key market insights, creative and technical expertise and tools to deliver  world-</w:t>
            </w:r>
          </w:p>
        </w:tc>
      </w:tr>
      <w:tr>
        <w:trPr>
          <w:trHeight w:val="36"/>
        </w:trPr>
        <w:tc>
          <w:tcPr>
            <w:tcW w:w="1940" w:type="dxa"/>
            <w:vAlign w:val="bottom"/>
            <w:gridSpan w:val="2"/>
          </w:tcPr>
          <w:p>
            <w:pPr>
              <w:spacing w:after="0" w:line="37" w:lineRule="exact"/>
              <w:rPr>
                <w:sz w:val="20"/>
                <w:szCs w:val="20"/>
                <w:color w:val="auto"/>
              </w:rPr>
            </w:pPr>
            <w:r>
              <w:rPr>
                <w:rFonts w:ascii="Arial" w:cs="Arial" w:eastAsia="Arial" w:hAnsi="Arial"/>
                <w:sz w:val="4"/>
                <w:szCs w:val="4"/>
                <w:color w:val="FFFFFF"/>
              </w:rPr>
              <w:t>class experience for their customers. As</w:t>
            </w:r>
          </w:p>
        </w:tc>
        <w:tc>
          <w:tcPr>
            <w:tcW w:w="1420" w:type="dxa"/>
            <w:vAlign w:val="bottom"/>
          </w:tcPr>
          <w:p>
            <w:pPr>
              <w:ind w:left="80"/>
              <w:spacing w:after="0" w:line="37" w:lineRule="exact"/>
              <w:rPr>
                <w:sz w:val="20"/>
                <w:szCs w:val="20"/>
                <w:color w:val="auto"/>
              </w:rPr>
            </w:pPr>
            <w:r>
              <w:rPr>
                <w:rFonts w:ascii="Arial" w:cs="Arial" w:eastAsia="Arial" w:hAnsi="Arial"/>
                <w:sz w:val="4"/>
                <w:szCs w:val="4"/>
                <w:color w:val="FFFFFF"/>
              </w:rPr>
              <w:t>global leader, we will be</w:t>
            </w:r>
          </w:p>
        </w:tc>
        <w:tc>
          <w:tcPr>
            <w:tcW w:w="6420" w:type="dxa"/>
            <w:vAlign w:val="bottom"/>
            <w:gridSpan w:val="2"/>
          </w:tcPr>
          <w:p>
            <w:pPr>
              <w:ind w:left="20"/>
              <w:spacing w:after="0" w:line="37" w:lineRule="exact"/>
              <w:rPr>
                <w:sz w:val="20"/>
                <w:szCs w:val="20"/>
                <w:color w:val="auto"/>
              </w:rPr>
            </w:pPr>
            <w:r>
              <w:rPr>
                <w:rFonts w:ascii="Arial" w:cs="Arial" w:eastAsia="Arial" w:hAnsi="Arial"/>
                <w:sz w:val="4"/>
                <w:szCs w:val="4"/>
                <w:color w:val="FFFFFF"/>
              </w:rPr>
              <w:t>invaluable partner to deliver differentiated, integrated solutions to thousands of customers across a broad range of complementary</w:t>
            </w:r>
          </w:p>
        </w:tc>
      </w:tr>
      <w:tr>
        <w:trPr>
          <w:trHeight w:val="36"/>
        </w:trPr>
        <w:tc>
          <w:tcPr>
            <w:tcW w:w="9780" w:type="dxa"/>
            <w:vAlign w:val="bottom"/>
            <w:gridSpan w:val="5"/>
          </w:tcPr>
          <w:p>
            <w:pPr>
              <w:spacing w:after="0" w:line="37" w:lineRule="exact"/>
              <w:rPr>
                <w:sz w:val="20"/>
                <w:szCs w:val="20"/>
                <w:color w:val="auto"/>
              </w:rPr>
            </w:pPr>
            <w:r>
              <w:rPr>
                <w:rFonts w:ascii="Arial" w:cs="Arial" w:eastAsia="Arial" w:hAnsi="Arial"/>
                <w:sz w:val="4"/>
                <w:szCs w:val="4"/>
                <w:color w:val="FFFFFF"/>
              </w:rPr>
              <w:t>end markets, including Food &amp; Beverage, Home &amp; Personal Care and Health &amp; Wellness. T gether, we will create innovative products and solutions to meet and exceed customers’ expectations. Because</w:t>
            </w:r>
          </w:p>
        </w:tc>
      </w:tr>
      <w:tr>
        <w:trPr>
          <w:trHeight w:val="36"/>
        </w:trPr>
        <w:tc>
          <w:tcPr>
            <w:tcW w:w="1940" w:type="dxa"/>
            <w:vAlign w:val="bottom"/>
            <w:gridSpan w:val="2"/>
          </w:tcPr>
          <w:p>
            <w:pPr>
              <w:spacing w:after="0" w:line="37" w:lineRule="exact"/>
              <w:rPr>
                <w:sz w:val="20"/>
                <w:szCs w:val="20"/>
                <w:color w:val="auto"/>
              </w:rPr>
            </w:pPr>
            <w:r>
              <w:rPr>
                <w:rFonts w:ascii="Arial" w:cs="Arial" w:eastAsia="Arial" w:hAnsi="Arial"/>
                <w:sz w:val="4"/>
                <w:szCs w:val="4"/>
                <w:color w:val="FFFFFF"/>
              </w:rPr>
              <w:t>of the depth and breadth of our new</w:t>
            </w:r>
          </w:p>
        </w:tc>
        <w:tc>
          <w:tcPr>
            <w:tcW w:w="1420" w:type="dxa"/>
            <w:vAlign w:val="bottom"/>
          </w:tcPr>
          <w:p>
            <w:pPr>
              <w:ind w:left="240"/>
              <w:spacing w:after="0" w:line="37" w:lineRule="exact"/>
              <w:rPr>
                <w:sz w:val="20"/>
                <w:szCs w:val="20"/>
                <w:color w:val="auto"/>
              </w:rPr>
            </w:pPr>
            <w:r>
              <w:rPr>
                <w:rFonts w:ascii="Arial" w:cs="Arial" w:eastAsia="Arial" w:hAnsi="Arial"/>
                <w:sz w:val="4"/>
                <w:szCs w:val="4"/>
                <w:color w:val="FFFFFF"/>
              </w:rPr>
              <w:t>, our team will also take</w:t>
            </w:r>
          </w:p>
        </w:tc>
        <w:tc>
          <w:tcPr>
            <w:tcW w:w="6420" w:type="dxa"/>
            <w:vAlign w:val="bottom"/>
            <w:gridSpan w:val="2"/>
          </w:tcPr>
          <w:p>
            <w:pPr>
              <w:ind w:left="520"/>
              <w:spacing w:after="0" w:line="37" w:lineRule="exact"/>
              <w:rPr>
                <w:sz w:val="20"/>
                <w:szCs w:val="20"/>
                <w:color w:val="auto"/>
              </w:rPr>
            </w:pPr>
            <w:r>
              <w:rPr>
                <w:rFonts w:ascii="Arial" w:cs="Arial" w:eastAsia="Arial" w:hAnsi="Arial"/>
                <w:sz w:val="4"/>
                <w:szCs w:val="4"/>
                <w:color w:val="FFFFFF"/>
              </w:rPr>
              <w:t>of new opportunities to learn, grow and flourish in their careers. Our leading R&amp;D capabilities and best-in-class</w:t>
            </w:r>
          </w:p>
        </w:tc>
      </w:tr>
      <w:tr>
        <w:trPr>
          <w:trHeight w:val="36"/>
        </w:trPr>
        <w:tc>
          <w:tcPr>
            <w:tcW w:w="9780" w:type="dxa"/>
            <w:vAlign w:val="bottom"/>
            <w:gridSpan w:val="5"/>
          </w:tcPr>
          <w:p>
            <w:pPr>
              <w:spacing w:after="0" w:line="37" w:lineRule="exact"/>
              <w:rPr>
                <w:sz w:val="20"/>
                <w:szCs w:val="20"/>
                <w:color w:val="auto"/>
              </w:rPr>
            </w:pPr>
            <w:r>
              <w:rPr>
                <w:rFonts w:ascii="Arial" w:cs="Arial" w:eastAsia="Arial" w:hAnsi="Arial"/>
                <w:sz w:val="4"/>
                <w:szCs w:val="4"/>
                <w:color w:val="FFFFFF"/>
              </w:rPr>
              <w:t>innovation platf rm will truly createcompanydifferentiated offering, which makesadvantageus stronger innovation partner and powers our customers to meet consumer demand, drive growth and collaborate on new</w:t>
            </w:r>
          </w:p>
        </w:tc>
      </w:tr>
      <w:tr>
        <w:trPr>
          <w:trHeight w:val="36"/>
        </w:trPr>
        <w:tc>
          <w:tcPr>
            <w:tcW w:w="9780" w:type="dxa"/>
            <w:vAlign w:val="bottom"/>
            <w:gridSpan w:val="5"/>
          </w:tcPr>
          <w:p>
            <w:pPr>
              <w:spacing w:after="0" w:line="37" w:lineRule="exact"/>
              <w:rPr>
                <w:sz w:val="20"/>
                <w:szCs w:val="20"/>
                <w:color w:val="auto"/>
              </w:rPr>
            </w:pPr>
            <w:r>
              <w:rPr>
                <w:rFonts w:ascii="Arial" w:cs="Arial" w:eastAsia="Arial" w:hAnsi="Arial"/>
                <w:sz w:val="4"/>
                <w:szCs w:val="4"/>
                <w:color w:val="FFFFFF"/>
              </w:rPr>
              <w:t>solutions. Our comprehensive offering will enable our customers to develop stronger, next-generation products and launch them more quickly to market. Headquartered in New York, the combined entity</w:t>
            </w:r>
          </w:p>
        </w:tc>
      </w:tr>
      <w:tr>
        <w:trPr>
          <w:trHeight w:val="36"/>
        </w:trPr>
        <w:tc>
          <w:tcPr>
            <w:tcW w:w="1940" w:type="dxa"/>
            <w:vAlign w:val="bottom"/>
            <w:gridSpan w:val="2"/>
          </w:tcPr>
          <w:p>
            <w:pPr>
              <w:spacing w:after="0" w:line="37" w:lineRule="exact"/>
              <w:rPr>
                <w:sz w:val="20"/>
                <w:szCs w:val="20"/>
                <w:color w:val="auto"/>
              </w:rPr>
            </w:pPr>
            <w:r>
              <w:rPr>
                <w:rFonts w:ascii="Arial" w:cs="Arial" w:eastAsia="Arial" w:hAnsi="Arial"/>
                <w:sz w:val="4"/>
                <w:szCs w:val="4"/>
                <w:color w:val="FFFFFF"/>
              </w:rPr>
              <w:t>will draw upon the best talent from both</w:t>
            </w:r>
          </w:p>
        </w:tc>
        <w:tc>
          <w:tcPr>
            <w:tcW w:w="6860" w:type="dxa"/>
            <w:vAlign w:val="bottom"/>
            <w:gridSpan w:val="2"/>
          </w:tcPr>
          <w:p>
            <w:pPr>
              <w:jc w:val="center"/>
              <w:ind w:left="240"/>
              <w:spacing w:after="0" w:line="37" w:lineRule="exact"/>
              <w:rPr>
                <w:sz w:val="20"/>
                <w:szCs w:val="20"/>
                <w:color w:val="auto"/>
              </w:rPr>
            </w:pPr>
            <w:r>
              <w:rPr>
                <w:rFonts w:ascii="Arial" w:cs="Arial" w:eastAsia="Arial" w:hAnsi="Arial"/>
                <w:sz w:val="4"/>
                <w:szCs w:val="4"/>
                <w:color w:val="FFFFFF"/>
              </w:rPr>
              <w:t>. Our shared dedication to sustainability and implementing our technology and innovation will remain core to the future of our</w:t>
            </w:r>
          </w:p>
        </w:tc>
        <w:tc>
          <w:tcPr>
            <w:tcW w:w="980" w:type="dxa"/>
            <w:vAlign w:val="bottom"/>
          </w:tcPr>
          <w:p>
            <w:pPr>
              <w:ind w:left="240"/>
              <w:spacing w:after="0" w:line="37" w:lineRule="exact"/>
              <w:rPr>
                <w:sz w:val="20"/>
                <w:szCs w:val="20"/>
                <w:color w:val="auto"/>
              </w:rPr>
            </w:pPr>
            <w:r>
              <w:rPr>
                <w:rFonts w:ascii="Arial" w:cs="Arial" w:eastAsia="Arial" w:hAnsi="Arial"/>
                <w:sz w:val="4"/>
                <w:szCs w:val="4"/>
                <w:color w:val="FFFFFF"/>
              </w:rPr>
              <w:t>and further</w:t>
            </w:r>
          </w:p>
        </w:tc>
      </w:tr>
      <w:tr>
        <w:trPr>
          <w:trHeight w:val="36"/>
        </w:trPr>
        <w:tc>
          <w:tcPr>
            <w:tcW w:w="1940" w:type="dxa"/>
            <w:vAlign w:val="bottom"/>
            <w:gridSpan w:val="2"/>
          </w:tcPr>
          <w:p>
            <w:pPr>
              <w:spacing w:after="0" w:line="37" w:lineRule="exact"/>
              <w:rPr>
                <w:sz w:val="20"/>
                <w:szCs w:val="20"/>
                <w:color w:val="auto"/>
              </w:rPr>
            </w:pPr>
            <w:r>
              <w:rPr>
                <w:rFonts w:ascii="Arial" w:cs="Arial" w:eastAsia="Arial" w:hAnsi="Arial"/>
                <w:sz w:val="4"/>
                <w:szCs w:val="4"/>
                <w:color w:val="FFFFFF"/>
              </w:rPr>
              <w:t>enhance the ability to accelerate the</w:t>
            </w:r>
          </w:p>
        </w:tc>
        <w:tc>
          <w:tcPr>
            <w:tcW w:w="7840" w:type="dxa"/>
            <w:vAlign w:val="bottom"/>
            <w:gridSpan w:val="3"/>
          </w:tcPr>
          <w:p>
            <w:pPr>
              <w:jc w:val="center"/>
              <w:ind w:right="280"/>
              <w:spacing w:after="0" w:line="37" w:lineRule="exact"/>
              <w:rPr>
                <w:sz w:val="20"/>
                <w:szCs w:val="20"/>
                <w:color w:val="auto"/>
              </w:rPr>
            </w:pPr>
            <w:r>
              <w:rPr>
                <w:rFonts w:ascii="Arial" w:cs="Arial" w:eastAsia="Arial" w:hAnsi="Arial"/>
                <w:sz w:val="4"/>
                <w:szCs w:val="4"/>
                <w:color w:val="FFFFFF"/>
              </w:rPr>
              <w:t>companiesevolution. As we bring these companies together, we will be focused on cultivating high-performance and purpose-driven cultures ledcompanybyexecutive</w:t>
            </w:r>
          </w:p>
        </w:tc>
      </w:tr>
      <w:tr>
        <w:trPr>
          <w:trHeight w:val="0"/>
        </w:trPr>
        <w:tc>
          <w:tcPr>
            <w:tcW w:w="1340" w:type="dxa"/>
            <w:vAlign w:val="bottom"/>
          </w:tcPr>
          <w:p>
            <w:pPr>
              <w:ind w:left="640"/>
              <w:spacing w:after="0" w:line="71" w:lineRule="exact"/>
              <w:rPr>
                <w:sz w:val="20"/>
                <w:szCs w:val="20"/>
                <w:color w:val="auto"/>
              </w:rPr>
            </w:pPr>
            <w:r>
              <w:rPr>
                <w:rFonts w:ascii="Arial" w:cs="Arial" w:eastAsia="Arial" w:hAnsi="Arial"/>
                <w:sz w:val="8"/>
                <w:szCs w:val="8"/>
                <w:color w:val="FFFFFF"/>
              </w:rPr>
              <w:t>team that</w:t>
            </w:r>
          </w:p>
        </w:tc>
        <w:tc>
          <w:tcPr>
            <w:tcW w:w="8440" w:type="dxa"/>
            <w:vAlign w:val="bottom"/>
            <w:gridSpan w:val="4"/>
          </w:tcPr>
          <w:p>
            <w:pPr>
              <w:jc w:val="center"/>
              <w:ind w:left="250"/>
              <w:spacing w:after="0" w:line="71" w:lineRule="exact"/>
              <w:rPr>
                <w:sz w:val="20"/>
                <w:szCs w:val="20"/>
                <w:color w:val="auto"/>
              </w:rPr>
            </w:pPr>
            <w:r>
              <w:rPr>
                <w:rFonts w:ascii="Arial" w:cs="Arial" w:eastAsia="Arial" w:hAnsi="Arial"/>
                <w:sz w:val="8"/>
                <w:szCs w:val="8"/>
                <w:color w:val="FFFFFF"/>
              </w:rPr>
              <w:t>bestindustry’--class leadership from both IFF and DuPont N&amp;B. Media Contact IFF Michael DeVeau 212.708.7164 michael.deveau@iff.com DuPont Dan Turner 302-996-8372</w:t>
            </w:r>
          </w:p>
        </w:tc>
      </w:tr>
    </w:tbl>
    <w:p>
      <w:pPr>
        <w:jc w:val="both"/>
        <w:ind w:right="60"/>
        <w:spacing w:after="0" w:line="208" w:lineRule="auto"/>
        <w:rPr>
          <w:sz w:val="20"/>
          <w:szCs w:val="20"/>
          <w:color w:val="auto"/>
        </w:rPr>
      </w:pPr>
      <w:r>
        <w:rPr>
          <w:rFonts w:ascii="Arial" w:cs="Arial" w:eastAsia="Arial" w:hAnsi="Arial"/>
          <w:sz w:val="9"/>
          <w:szCs w:val="9"/>
          <w:color w:val="FFFFFF"/>
        </w:rPr>
        <w:t>managementdaniel..turner@dupont.comprisesInvestor Contact IFF Investor Relations IFF Corporate IR Website Michael DeVeau 212.708.7164 michael.deveau@iff.com DuPont Investor Relations DuPont Corporate IR Website Lori Koch 302-999-5631 lori.d.koch@dupont.com © 2019 by International Flavors &amp; Fragrances Inc. IFF is a Registered Trademark. All Rights Reserved. Disclaimer This site uses cookies. By continuing to browse the site,</w:t>
      </w:r>
    </w:p>
    <w:p>
      <w:pPr>
        <w:sectPr>
          <w:pgSz w:w="11900" w:h="16838" w:orient="portrait"/>
          <w:cols w:equalWidth="0" w:num="1">
            <w:col w:w="9780"/>
          </w:cols>
          <w:pgMar w:left="1060" w:top="1440" w:right="105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760" w:type="dxa"/>
            <w:vAlign w:val="bottom"/>
            <w:gridSpan w:val="2"/>
          </w:tcPr>
          <w:p>
            <w:pPr>
              <w:spacing w:after="0"/>
              <w:rPr>
                <w:sz w:val="20"/>
                <w:szCs w:val="20"/>
                <w:color w:val="auto"/>
              </w:rPr>
            </w:pPr>
            <w:r>
              <w:rPr>
                <w:rFonts w:ascii="Arial" w:cs="Arial" w:eastAsia="Arial" w:hAnsi="Arial"/>
                <w:sz w:val="12"/>
                <w:szCs w:val="12"/>
                <w:color w:val="FFFFFF"/>
                <w:w w:val="92"/>
              </w:rPr>
              <w:t>Skip to content Combining IFF and DuPont Nutrition &amp; Biosciences Home Investors Employees Customers Media SEC Filings Customers Together, IFF and DuPont’ Nutrition &amp; Biosciences business</w:t>
            </w:r>
          </w:p>
        </w:tc>
      </w:tr>
      <w:tr>
        <w:trPr>
          <w:trHeight w:val="36"/>
        </w:trPr>
        <w:tc>
          <w:tcPr>
            <w:tcW w:w="9760" w:type="dxa"/>
            <w:vAlign w:val="bottom"/>
            <w:gridSpan w:val="2"/>
          </w:tcPr>
          <w:p>
            <w:pPr>
              <w:spacing w:after="0" w:line="37" w:lineRule="exact"/>
              <w:rPr>
                <w:sz w:val="20"/>
                <w:szCs w:val="20"/>
                <w:color w:val="auto"/>
              </w:rPr>
            </w:pPr>
            <w:r>
              <w:rPr>
                <w:rFonts w:ascii="Arial" w:cs="Arial" w:eastAsia="Arial" w:hAnsi="Arial"/>
                <w:sz w:val="4"/>
                <w:szCs w:val="4"/>
                <w:color w:val="FFFFFF"/>
              </w:rPr>
              <w:t>will be one of  few industry players with the broadest technology portfolio across Taste, Texture, Scent, Nutrition, Enzymes, Cultures, Soy Proteins and Probiotics categories. We will be an indispensable</w:t>
            </w:r>
          </w:p>
        </w:tc>
      </w:tr>
      <w:tr>
        <w:trPr>
          <w:trHeight w:val="36"/>
        </w:trPr>
        <w:tc>
          <w:tcPr>
            <w:tcW w:w="9760" w:type="dxa"/>
            <w:vAlign w:val="bottom"/>
            <w:gridSpan w:val="2"/>
          </w:tcPr>
          <w:p>
            <w:pPr>
              <w:spacing w:after="0" w:line="37" w:lineRule="exact"/>
              <w:rPr>
                <w:sz w:val="20"/>
                <w:szCs w:val="20"/>
                <w:color w:val="auto"/>
              </w:rPr>
            </w:pPr>
            <w:r>
              <w:rPr>
                <w:rFonts w:ascii="Arial" w:cs="Arial" w:eastAsia="Arial" w:hAnsi="Arial"/>
                <w:sz w:val="4"/>
                <w:szCs w:val="4"/>
                <w:color w:val="FFFFFF"/>
              </w:rPr>
              <w:t>partner to global customer base of both multinationals and smaller customers, with the flexibility to adapt to emerging trends and products and meet evolving consumer demand for natural and “better for</w:t>
            </w:r>
          </w:p>
        </w:tc>
      </w:tr>
      <w:tr>
        <w:trPr>
          <w:trHeight w:val="0"/>
        </w:trPr>
        <w:tc>
          <w:tcPr>
            <w:tcW w:w="6680" w:type="dxa"/>
            <w:vAlign w:val="bottom"/>
          </w:tcPr>
          <w:p>
            <w:pPr>
              <w:spacing w:after="0" w:line="71" w:lineRule="exact"/>
              <w:rPr>
                <w:sz w:val="20"/>
                <w:szCs w:val="20"/>
                <w:color w:val="auto"/>
              </w:rPr>
            </w:pPr>
            <w:r>
              <w:rPr>
                <w:rFonts w:ascii="Arial" w:cs="Arial" w:eastAsia="Arial" w:hAnsi="Arial"/>
                <w:sz w:val="8"/>
                <w:szCs w:val="8"/>
                <w:color w:val="FFFFFF"/>
              </w:rPr>
              <w:t>you” products. IFF and DuPont N&amp;B will boast leading R&amp;D capabilities and a best-in-class innovation platform that will power our</w:t>
            </w:r>
          </w:p>
        </w:tc>
        <w:tc>
          <w:tcPr>
            <w:tcW w:w="3080" w:type="dxa"/>
            <w:vAlign w:val="bottom"/>
          </w:tcPr>
          <w:p>
            <w:pPr>
              <w:ind w:left="260"/>
              <w:spacing w:after="0" w:line="71" w:lineRule="exact"/>
              <w:rPr>
                <w:sz w:val="20"/>
                <w:szCs w:val="20"/>
                <w:color w:val="auto"/>
              </w:rPr>
            </w:pPr>
            <w:r>
              <w:rPr>
                <w:rFonts w:ascii="Arial" w:cs="Arial" w:eastAsia="Arial" w:hAnsi="Arial"/>
                <w:sz w:val="8"/>
                <w:szCs w:val="8"/>
                <w:color w:val="FFFFFF"/>
              </w:rPr>
              <w:t>to meet consumer demand, drive growth and collaborate</w:t>
            </w:r>
          </w:p>
        </w:tc>
      </w:tr>
    </w:tbl>
    <w:p>
      <w:pPr>
        <w:spacing w:after="0" w:line="187" w:lineRule="auto"/>
        <w:rPr>
          <w:sz w:val="20"/>
          <w:szCs w:val="20"/>
          <w:color w:val="auto"/>
        </w:rPr>
      </w:pPr>
      <w:r>
        <w:rPr>
          <w:rFonts w:ascii="Arial" w:cs="Arial" w:eastAsia="Arial" w:hAnsi="Arial"/>
          <w:sz w:val="12"/>
          <w:szCs w:val="12"/>
          <w:color w:val="FFFFFF"/>
        </w:rPr>
        <w:t>on new solutions. We are committed to our continued partnership with our customers to develop stronger products and increase speed-customers-market.</w:t>
      </w:r>
    </w:p>
    <w:p>
      <w:pPr>
        <w:sectPr>
          <w:pgSz w:w="11900" w:h="16838" w:orient="portrait"/>
          <w:cols w:equalWidth="0" w:num="1">
            <w:col w:w="9760"/>
          </w:cols>
          <w:pgMar w:left="1060" w:top="1440" w:right="107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4"/>
          <w:szCs w:val="24"/>
          <w:color w:val="FFFFFF"/>
          <w:vertAlign w:val="superscript"/>
        </w:rPr>
        <w:t>Deter</w:t>
      </w:r>
    </w:p>
    <w:p>
      <w:pPr>
        <w:ind w:left="80"/>
        <w:spacing w:after="0" w:line="188" w:lineRule="auto"/>
        <w:rPr>
          <w:sz w:val="20"/>
          <w:szCs w:val="20"/>
          <w:color w:val="auto"/>
        </w:rPr>
      </w:pPr>
      <w:r>
        <w:rPr>
          <w:rFonts w:ascii="Arial" w:cs="Arial" w:eastAsia="Arial" w:hAnsi="Arial"/>
          <w:sz w:val="4"/>
          <w:szCs w:val="4"/>
          <w:color w:val="FFFFFF"/>
        </w:rPr>
        <w:t>ifferentiatedgent(Enzymes,IntegratedFragrances,SolutionsMicrobialtoMeet ConsumerControl&amp; DemandEncapsulation)ComplementaryInfographic:reachCombiningtoshared IFFend andmarketsDuPontInfographic:N&amp;BuniqueCombiningcapabilitiesIFF intoand DuPontaVegan N&amp;BBurgerunique(Flavors,capabilitiesTasteModulation,intoColdWaterTexturants,Laundryetc.)</w:t>
      </w:r>
    </w:p>
    <w:p>
      <w:pPr>
        <w:ind w:right="60"/>
        <w:spacing w:after="0" w:line="180" w:lineRule="auto"/>
        <w:rPr>
          <w:sz w:val="20"/>
          <w:szCs w:val="20"/>
          <w:color w:val="auto"/>
        </w:rPr>
      </w:pPr>
      <w:r>
        <w:rPr>
          <w:rFonts w:ascii="Arial" w:cs="Arial" w:eastAsia="Arial" w:hAnsi="Arial"/>
          <w:sz w:val="8"/>
          <w:szCs w:val="8"/>
          <w:color w:val="FFFFFF"/>
        </w:rPr>
        <w:t>IFF Logo DuPont Nutrition &amp; Biosciences Logo Media Contact IFF Michael DeVeau 212.708.7164 michael.</w:t>
      </w:r>
      <w:r>
        <w:rPr>
          <w:rFonts w:ascii="Arial" w:cs="Arial" w:eastAsia="Arial" w:hAnsi="Arial"/>
          <w:sz w:val="13"/>
          <w:szCs w:val="13"/>
          <w:color w:val="FFFFFF"/>
          <w:vertAlign w:val="subscript"/>
        </w:rPr>
        <w:t>deveau@if</w:t>
      </w:r>
      <w:r>
        <w:rPr>
          <w:rFonts w:ascii="Arial" w:cs="Arial" w:eastAsia="Arial" w:hAnsi="Arial"/>
          <w:sz w:val="8"/>
          <w:szCs w:val="8"/>
          <w:color w:val="FFFFFF"/>
        </w:rPr>
        <w:t>f.com DuPont Dan Turner 302-996-8372 daniel.a.turner@dupont.com Investor Contact IFF Investor Relations IFF Corporate IR Website Michael DeVeau 212.708.7164 michael.deveau@if .com DuPont Investor Relations DuPont Corporate IR Website Lori Koch 302-999-5631 lori.d.koch@dupont.com © 2019 by International Flavors &amp; Fragrances Inc. IFF is a Registered Trademark. All Rights Reserved. Disclaimer desktop This site uses cookies. By continuing to browse the site, you agree to our use of cookies. Agree</w:t>
      </w:r>
    </w:p>
    <w:p>
      <w:pPr>
        <w:sectPr>
          <w:pgSz w:w="11900" w:h="16838" w:orient="portrait"/>
          <w:cols w:equalWidth="0" w:num="1">
            <w:col w:w="9740"/>
          </w:cols>
          <w:pgMar w:left="1060" w:top="1440" w:right="1099"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190" w:lineRule="auto"/>
        <w:rPr>
          <w:sz w:val="20"/>
          <w:szCs w:val="20"/>
          <w:color w:val="auto"/>
        </w:rPr>
      </w:pPr>
      <w:r>
        <w:rPr>
          <w:rFonts w:ascii="Arial" w:cs="Arial" w:eastAsia="Arial" w:hAnsi="Arial"/>
          <w:sz w:val="9"/>
          <w:szCs w:val="9"/>
          <w:color w:val="FFFFFF"/>
        </w:rPr>
        <w:t>Skip to content Combining IFF and DuPont Nutrition &amp; Biosciences Home Investors Employees Customers Media SEC Filings Media Press Release Fact Sheet Infographic Media Contacts IFF Michael DeVeau 212.708.7164 michael.</w:t>
      </w:r>
      <w:r>
        <w:rPr>
          <w:rFonts w:ascii="Arial" w:cs="Arial" w:eastAsia="Arial" w:hAnsi="Arial"/>
          <w:sz w:val="16"/>
          <w:szCs w:val="16"/>
          <w:color w:val="FFFFFF"/>
          <w:vertAlign w:val="subscript"/>
        </w:rPr>
        <w:t>deveau@if</w:t>
      </w:r>
      <w:r>
        <w:rPr>
          <w:rFonts w:ascii="Arial" w:cs="Arial" w:eastAsia="Arial" w:hAnsi="Arial"/>
          <w:sz w:val="9"/>
          <w:szCs w:val="9"/>
          <w:color w:val="FFFFFF"/>
        </w:rPr>
        <w:t>f.com DuPont Dan Turner 302-996-8372 daniel.a.turner@dupont.com IFF Logo DuPont Nutrition &amp; Biosciences Logo Media Contact IFF Michael DeVeau 212.708.7164 michael.deveau@if .com DuPont Dan Turner 302-996-8372 daniel.a.turner@dupont.com Investor Contact IFF Investor Relations IFF Corporate IR Website Michael DeVeau 212.708.7164 michael.deveau@iff.com DuPont Investor Relations DuPont Corporate IR Website Lori Koch 302-999-5631 lori.d.koch@dupont.com © 2019 by International Flavors &amp; Fragrances Inc. IFF is a Registered Trademark. All Rights Reserved. Disclaimer desktop This site uses cookies. By continuing to browse the site, you agree to our use of cookies.Agree</w:t>
      </w:r>
    </w:p>
    <w:p>
      <w:pPr>
        <w:sectPr>
          <w:pgSz w:w="11900" w:h="16838" w:orient="portrait"/>
          <w:cols w:equalWidth="0" w:num="1">
            <w:col w:w="9720"/>
          </w:cols>
          <w:pgMar w:left="1060" w:top="1440" w:right="111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1"/>
          <w:szCs w:val="11"/>
          <w:color w:val="FFFFFF"/>
        </w:rPr>
        <w:t>Skip to content Combining IFF and DuPont Nutrition &amp; Biosciences Home Investors Employees Customers Media SEC Filings SEC Filings RSS IFF 10-Q—Quarterly report [Sections 13 or 15(d)]</w:t>
      </w:r>
    </w:p>
    <w:p>
      <w:pPr>
        <w:spacing w:after="0" w:line="197" w:lineRule="auto"/>
        <w:rPr>
          <w:sz w:val="20"/>
          <w:szCs w:val="20"/>
          <w:color w:val="auto"/>
        </w:rPr>
      </w:pPr>
      <w:r>
        <w:rPr>
          <w:rFonts w:ascii="Arial" w:cs="Arial" w:eastAsia="Arial" w:hAnsi="Arial"/>
          <w:sz w:val="7"/>
          <w:szCs w:val="7"/>
          <w:color w:val="FFFFFF"/>
        </w:rPr>
        <w:t xml:space="preserve">8-K—Current report 8-K—Current report 8-K—Current report 10-Q—Quarterly report [Sections 13 or 15(d)] 8-K—Current report 11-K—Annual report of employee stock purchase, savings and similar plans 8-K—Current report S-3ASR—Automatic shelf registration statement of securities of well-known seasoned issuers 10-Q—Quarterly report [Sections 13 or 15(d)] RSS DuPont 10-Q—Quarterly report [Sections 13 or 15(d)] 8-K—Current report 8-K—Current report 10-Q—Quarterly report [Sections 13 or 15(d)] 8-K—Current report 8-K—Current report 8-K—Current report 8-K—Current report S-8—Securities to be offered to employees in employee benefit plans 11-K—Annual report of employee stock </w:t>
      </w:r>
      <w:r>
        <w:rPr>
          <w:rFonts w:ascii="Arial" w:cs="Arial" w:eastAsia="Arial" w:hAnsi="Arial"/>
          <w:sz w:val="10"/>
          <w:szCs w:val="10"/>
          <w:color w:val="FFFFFF"/>
          <w:vertAlign w:val="subscript"/>
        </w:rPr>
        <w:t>purchase,</w:t>
      </w:r>
      <w:r>
        <w:rPr>
          <w:rFonts w:ascii="Arial" w:cs="Arial" w:eastAsia="Arial" w:hAnsi="Arial"/>
          <w:sz w:val="7"/>
          <w:szCs w:val="7"/>
          <w:color w:val="FFFFFF"/>
        </w:rPr>
        <w:t xml:space="preserve"> savings and similar plans IFF Logo DuPont Nutrition &amp; Biosciences Logo Media Contact IFF Michael DeVeau 212.708.7164 michael.deveau@iff.com DuPont Dan Turner 302-996-8372 daniel. .turner@dupont.com Investor Contact IFF Investor Relations IFF Corporate IR Website Michael DeVeau 212.708.7164 michael.deveau@iff.com DuPont Investor Relations DuPont Corporate IR Website Lori Koch 302-999-5631 lori.d.koch@dupont.com © 2019 by International Flavors &amp; Fragrances Inc. IFF is a Registered Trademark. All Rights Reserved. Disclaimer desktop This site uses cookies. By continuing to browse the site, you agree to our use of cookies. Agree</w:t>
      </w:r>
    </w:p>
    <w:p>
      <w:pPr>
        <w:sectPr>
          <w:pgSz w:w="11900" w:h="16838" w:orient="portrait"/>
          <w:cols w:equalWidth="0" w:num="1">
            <w:col w:w="9760"/>
          </w:cols>
          <w:pgMar w:left="1060" w:top="1440" w:right="1079" w:bottom="1440" w:gutter="0" w:footer="0" w:header="0"/>
        </w:sectPr>
      </w:pPr>
    </w:p>
    <w:bookmarkStart w:id="122" w:name="page123"/>
    <w:bookmarkEnd w:id="122"/>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99.13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13335</wp:posOffset>
            </wp:positionV>
            <wp:extent cx="5835015" cy="75514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35015" cy="755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rPr>
          <w:sz w:val="20"/>
          <w:szCs w:val="20"/>
          <w:color w:val="auto"/>
        </w:rPr>
      </w:pPr>
      <w:r>
        <w:rPr>
          <w:rFonts w:ascii="Arial" w:cs="Arial" w:eastAsia="Arial" w:hAnsi="Arial"/>
          <w:sz w:val="5"/>
          <w:szCs w:val="5"/>
          <w:color w:val="FFFFFF"/>
        </w:rPr>
        <w:t>About IFF Brand Sense About IFF Press Releases History Vision 2021 Sustainability IFF Events Company Store (North America) Companies Co-Brands Frutarom LMR Naturals Lucas Meyer Cosmetics PowderPure Administrat ion ® Watch 0 Favorite 8 Print ® Edit Q ~ Share this o6 Unlike IFF AND DUPONT’S NUTRITION &amp; BIOSCIENCE BUSINESS ARE COMBINING Published:Today last Updated:Today &lt;9 Page Analytics Find out more. Read our FAQs. PRESS RELEASE TRANSACTION MICROSITE FAQS BELOW: What does this transaction mean for me? What does this combined company offer us? • For now, it remains business as usual until the close of the transaction, which is expected tocombination’occurthe end of the first quarter of 2021. • The combined company’s proven andexperiencedindustryleadershipteamcombinesthebestfrombothIFFandNutrition&amp;Biosciences,whilethesintegratedhavethepotentialtounlockgrowthand workforces excitinginnovationpotential.•Thistransactionwillalsoallowemployeesofbothcompanieshaveaccesstonewandmoreexcitingopportunitiespersonalandgrowth.•T,the</w:t>
      </w:r>
    </w:p>
    <w:p>
      <w:pPr>
        <w:spacing w:after="0" w:line="187" w:lineRule="auto"/>
        <w:rPr>
          <w:sz w:val="20"/>
          <w:szCs w:val="20"/>
          <w:color w:val="auto"/>
        </w:rPr>
      </w:pPr>
      <w:r>
        <w:rPr>
          <w:rFonts w:ascii="Arial" w:cs="Arial" w:eastAsia="Arial" w:hAnsi="Arial"/>
          <w:sz w:val="7"/>
          <w:szCs w:val="7"/>
          <w:color w:val="FFFFFF"/>
        </w:rPr>
        <w:t>company will build on IFF’</w:t>
      </w:r>
      <w:r>
        <w:rPr>
          <w:rFonts w:ascii="Arial" w:cs="Arial" w:eastAsia="Arial" w:hAnsi="Arial"/>
          <w:sz w:val="10"/>
          <w:szCs w:val="10"/>
          <w:color w:val="FFFFFF"/>
          <w:vertAlign w:val="subscript"/>
        </w:rPr>
        <w:t>progress</w:t>
      </w:r>
      <w:r>
        <w:rPr>
          <w:rFonts w:ascii="Arial" w:cs="Arial" w:eastAsia="Arial" w:hAnsi="Arial"/>
          <w:sz w:val="7"/>
          <w:szCs w:val="7"/>
          <w:color w:val="FFFFFF"/>
        </w:rPr>
        <w:t>andNutrit ion &amp; Biosciences’ shared legacy and storied history, with an improved ability to attract, develop, retain and reward theprofessionalindustry’top talent . • ogetherWwill continue to</w:t>
      </w:r>
    </w:p>
    <w:p>
      <w:pPr>
        <w:spacing w:after="0" w:line="188" w:lineRule="auto"/>
        <w:tabs>
          <w:tab w:leader="none" w:pos="1560" w:val="left"/>
        </w:tabs>
        <w:rPr>
          <w:sz w:val="20"/>
          <w:szCs w:val="20"/>
          <w:color w:val="auto"/>
        </w:rPr>
      </w:pPr>
      <w:r>
        <w:rPr>
          <w:rFonts w:ascii="Arial" w:cs="Arial" w:eastAsia="Arial" w:hAnsi="Arial"/>
          <w:sz w:val="4"/>
          <w:szCs w:val="4"/>
          <w:color w:val="FFFFFF"/>
        </w:rPr>
        <w:t>keep you updated on our</w:t>
      </w:r>
      <w:r>
        <w:rPr>
          <w:sz w:val="20"/>
          <w:szCs w:val="20"/>
          <w:color w:val="auto"/>
        </w:rPr>
        <w:tab/>
      </w:r>
      <w:r>
        <w:rPr>
          <w:rFonts w:ascii="Arial" w:cs="Arial" w:eastAsia="Arial" w:hAnsi="Arial"/>
          <w:sz w:val="4"/>
          <w:szCs w:val="4"/>
          <w:color w:val="FFFFFF"/>
          <w:vertAlign w:val="subscript"/>
        </w:rPr>
        <w:t>successful</w:t>
      </w:r>
      <w:r>
        <w:rPr>
          <w:rFonts w:ascii="Arial" w:cs="Arial" w:eastAsia="Arial" w:hAnsi="Arial"/>
          <w:sz w:val="4"/>
          <w:szCs w:val="4"/>
          <w:color w:val="FFFFFF"/>
        </w:rPr>
        <w:t>towardsintegration and on any changes. How compatible are these two cultures? What will the culture of the combined company look like? • I FF and Nutrit</w:t>
      </w:r>
      <w:r>
        <w:rPr>
          <w:rFonts w:ascii="Arial" w:cs="Arial" w:eastAsia="Arial" w:hAnsi="Arial"/>
          <w:sz w:val="4"/>
          <w:szCs w:val="4"/>
          <w:color w:val="FFFFFF"/>
          <w:vertAlign w:val="subscript"/>
        </w:rPr>
        <w:t>ganizations’</w:t>
      </w:r>
      <w:r>
        <w:rPr>
          <w:rFonts w:ascii="Arial" w:cs="Arial" w:eastAsia="Arial" w:hAnsi="Arial"/>
          <w:sz w:val="2"/>
          <w:szCs w:val="2"/>
          <w:color w:val="FFFFFF"/>
        </w:rPr>
        <w:t>&amp;</w:t>
      </w:r>
    </w:p>
    <w:p>
      <w:pPr>
        <w:ind w:right="440"/>
        <w:spacing w:after="0"/>
        <w:rPr>
          <w:sz w:val="20"/>
          <w:szCs w:val="20"/>
          <w:color w:val="auto"/>
        </w:rPr>
      </w:pPr>
      <w:r>
        <w:rPr>
          <w:rFonts w:ascii="Arial" w:cs="Arial" w:eastAsia="Arial" w:hAnsi="Arial"/>
          <w:sz w:val="8"/>
          <w:szCs w:val="8"/>
          <w:color w:val="FFFFFF"/>
        </w:rPr>
        <w:t>Biosciences both share long and histories of innovat ion and cultures of excellence t hat integrate science and creat ivity. • The combined company will bring the best of both or experienced leaders with clear views of the company’s potential, and each company brings ample Aut hored By Michael DeVeau Keywords &amp; #Tags 0 Suggest Keyword IFF RECOMMENDS 01 3ECURINQ THE FUTURE OF COMPUTING AT IFF 02 NON-ROUTINE TRANSACTION POLICY 03 RELATED PERSON TRANSACTION POLICY</w:t>
      </w:r>
    </w:p>
    <w:p>
      <w:pPr>
        <w:sectPr>
          <w:pgSz w:w="11900" w:h="16838" w:orient="portrait"/>
          <w:cols w:equalWidth="0" w:num="1">
            <w:col w:w="9800"/>
          </w:cols>
          <w:pgMar w:left="1060" w:top="259" w:right="103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 w:type="dxa"/>
            <w:vAlign w:val="bottom"/>
          </w:tcPr>
          <w:p>
            <w:pPr>
              <w:spacing w:after="0"/>
              <w:rPr>
                <w:sz w:val="20"/>
                <w:szCs w:val="20"/>
                <w:color w:val="auto"/>
              </w:rPr>
            </w:pPr>
            <w:r>
              <w:rPr>
                <w:rFonts w:ascii="Arial" w:cs="Arial" w:eastAsia="Arial" w:hAnsi="Arial"/>
                <w:sz w:val="12"/>
                <w:szCs w:val="12"/>
                <w:color w:val="FFFFFF"/>
                <w:w w:val="98"/>
              </w:rPr>
              <w:t>experience</w:t>
            </w:r>
          </w:p>
        </w:tc>
        <w:tc>
          <w:tcPr>
            <w:tcW w:w="880" w:type="dxa"/>
            <w:vAlign w:val="bottom"/>
          </w:tcPr>
          <w:p>
            <w:pPr>
              <w:ind w:left="500"/>
              <w:spacing w:after="0"/>
              <w:rPr>
                <w:sz w:val="20"/>
                <w:szCs w:val="20"/>
                <w:color w:val="auto"/>
              </w:rPr>
            </w:pPr>
            <w:r>
              <w:rPr>
                <w:rFonts w:ascii="Arial" w:cs="Arial" w:eastAsia="Arial" w:hAnsi="Arial"/>
                <w:sz w:val="12"/>
                <w:szCs w:val="12"/>
                <w:color w:val="FFFFFF"/>
                <w:w w:val="88"/>
              </w:rPr>
              <w:t>large or</w:t>
            </w:r>
          </w:p>
        </w:tc>
        <w:tc>
          <w:tcPr>
            <w:tcW w:w="6800" w:type="dxa"/>
            <w:vAlign w:val="bottom"/>
            <w:gridSpan w:val="3"/>
          </w:tcPr>
          <w:p>
            <w:pPr>
              <w:ind w:left="520"/>
              <w:spacing w:after="0"/>
              <w:rPr>
                <w:sz w:val="20"/>
                <w:szCs w:val="20"/>
                <w:color w:val="auto"/>
              </w:rPr>
            </w:pPr>
            <w:r>
              <w:rPr>
                <w:rFonts w:ascii="Arial" w:cs="Arial" w:eastAsia="Arial" w:hAnsi="Arial"/>
                <w:sz w:val="12"/>
                <w:szCs w:val="12"/>
                <w:color w:val="FFFFFF"/>
                <w:w w:val="94"/>
              </w:rPr>
              <w:t>. • I FF and Nutrit ion &amp; Biosciences expect to continue IFF’s industry-defining sustainability commitments. At the foref ront of</w:t>
            </w:r>
          </w:p>
        </w:tc>
        <w:tc>
          <w:tcPr>
            <w:tcW w:w="1500" w:type="dxa"/>
            <w:vAlign w:val="bottom"/>
          </w:tcPr>
          <w:p>
            <w:pPr>
              <w:jc w:val="right"/>
              <w:ind w:right="80"/>
              <w:spacing w:after="0"/>
              <w:rPr>
                <w:sz w:val="20"/>
                <w:szCs w:val="20"/>
                <w:color w:val="auto"/>
              </w:rPr>
            </w:pPr>
            <w:r>
              <w:rPr>
                <w:rFonts w:ascii="Arial" w:cs="Arial" w:eastAsia="Arial" w:hAnsi="Arial"/>
                <w:sz w:val="12"/>
                <w:szCs w:val="12"/>
                <w:color w:val="FFFFFF"/>
                <w:w w:val="96"/>
              </w:rPr>
              <w:t>is the purpose: to redefine</w:t>
            </w:r>
          </w:p>
        </w:tc>
      </w:tr>
      <w:tr>
        <w:trPr>
          <w:trHeight w:val="36"/>
        </w:trPr>
        <w:tc>
          <w:tcPr>
            <w:tcW w:w="9780" w:type="dxa"/>
            <w:vAlign w:val="bottom"/>
            <w:gridSpan w:val="6"/>
          </w:tcPr>
          <w:p>
            <w:pPr>
              <w:spacing w:after="0" w:line="37" w:lineRule="exact"/>
              <w:rPr>
                <w:sz w:val="20"/>
                <w:szCs w:val="20"/>
                <w:color w:val="auto"/>
              </w:rPr>
            </w:pPr>
            <w:r>
              <w:rPr>
                <w:rFonts w:ascii="Arial" w:cs="Arial" w:eastAsia="Arial" w:hAnsi="Arial"/>
                <w:sz w:val="4"/>
                <w:szCs w:val="4"/>
                <w:color w:val="FFFFFF"/>
              </w:rPr>
              <w:t>how we liveintegratingandcare for ourganizationsworld’resources. What will happen to our leadership team? • For now, it remains business as usual until the close of the transaction, whichthis expected to occur at the end</w:t>
            </w:r>
          </w:p>
        </w:tc>
      </w:tr>
      <w:tr>
        <w:trPr>
          <w:trHeight w:val="36"/>
        </w:trPr>
        <w:tc>
          <w:tcPr>
            <w:tcW w:w="9780" w:type="dxa"/>
            <w:vAlign w:val="bottom"/>
            <w:gridSpan w:val="6"/>
          </w:tcPr>
          <w:p>
            <w:pPr>
              <w:spacing w:after="0" w:line="37" w:lineRule="exact"/>
              <w:rPr>
                <w:sz w:val="20"/>
                <w:szCs w:val="20"/>
                <w:color w:val="auto"/>
              </w:rPr>
            </w:pPr>
            <w:r>
              <w:rPr>
                <w:rFonts w:ascii="Arial" w:cs="Arial" w:eastAsia="Arial" w:hAnsi="Arial"/>
                <w:sz w:val="4"/>
                <w:szCs w:val="4"/>
                <w:color w:val="FFFFFF"/>
              </w:rPr>
              <w:t>of the first quarter of 2021. • Andreas Fibig will continue to be t   Chairman of the Board and an I FF appointee. He will also continue as Chief Executive Officer of the combined company. •</w:t>
            </w:r>
          </w:p>
        </w:tc>
      </w:tr>
      <w:tr>
        <w:trPr>
          <w:trHeight w:val="36"/>
        </w:trPr>
        <w:tc>
          <w:tcPr>
            <w:tcW w:w="6140" w:type="dxa"/>
            <w:vAlign w:val="bottom"/>
            <w:gridSpan w:val="4"/>
          </w:tcPr>
          <w:p>
            <w:pPr>
              <w:spacing w:after="0" w:line="37" w:lineRule="exact"/>
              <w:rPr>
                <w:sz w:val="20"/>
                <w:szCs w:val="20"/>
                <w:color w:val="auto"/>
              </w:rPr>
            </w:pPr>
            <w:r>
              <w:rPr>
                <w:rFonts w:ascii="Arial" w:cs="Arial" w:eastAsia="Arial" w:hAnsi="Arial"/>
                <w:sz w:val="4"/>
                <w:szCs w:val="4"/>
                <w:color w:val="FFFFFF"/>
              </w:rPr>
              <w:t>Headquarters will also be located   New York. • Upon closing, the combined company’s Board of Directors include</w:t>
            </w:r>
          </w:p>
        </w:tc>
        <w:tc>
          <w:tcPr>
            <w:tcW w:w="3640" w:type="dxa"/>
            <w:vAlign w:val="bottom"/>
            <w:gridSpan w:val="2"/>
          </w:tcPr>
          <w:p>
            <w:pPr>
              <w:ind w:left="20"/>
              <w:spacing w:after="0" w:line="37" w:lineRule="exact"/>
              <w:rPr>
                <w:sz w:val="20"/>
                <w:szCs w:val="20"/>
                <w:color w:val="auto"/>
              </w:rPr>
            </w:pPr>
            <w:r>
              <w:rPr>
                <w:rFonts w:ascii="Arial" w:cs="Arial" w:eastAsia="Arial" w:hAnsi="Arial"/>
                <w:sz w:val="4"/>
                <w:szCs w:val="4"/>
                <w:color w:val="FFFFFF"/>
              </w:rPr>
              <w:t>representation from IFF and DuPont. • DuPont Executive Chairman, Ed</w:t>
            </w:r>
          </w:p>
        </w:tc>
      </w:tr>
      <w:tr>
        <w:trPr>
          <w:trHeight w:val="36"/>
        </w:trPr>
        <w:tc>
          <w:tcPr>
            <w:tcW w:w="3400" w:type="dxa"/>
            <w:vAlign w:val="bottom"/>
            <w:gridSpan w:val="3"/>
          </w:tcPr>
          <w:p>
            <w:pPr>
              <w:spacing w:after="0" w:line="37" w:lineRule="exact"/>
              <w:rPr>
                <w:sz w:val="20"/>
                <w:szCs w:val="20"/>
                <w:color w:val="auto"/>
              </w:rPr>
            </w:pPr>
            <w:r>
              <w:rPr>
                <w:rFonts w:ascii="Arial" w:cs="Arial" w:eastAsia="Arial" w:hAnsi="Arial"/>
                <w:sz w:val="4"/>
                <w:szCs w:val="4"/>
                <w:color w:val="FFFFFF"/>
              </w:rPr>
              <w:t>Breen, will join the board of the combined company as a DuPont</w:t>
            </w:r>
          </w:p>
        </w:tc>
        <w:tc>
          <w:tcPr>
            <w:tcW w:w="2740" w:type="dxa"/>
            <w:vAlign w:val="bottom"/>
          </w:tcPr>
          <w:p>
            <w:pPr>
              <w:ind w:left="220"/>
              <w:spacing w:after="0" w:line="37" w:lineRule="exact"/>
              <w:rPr>
                <w:sz w:val="20"/>
                <w:szCs w:val="20"/>
                <w:color w:val="auto"/>
              </w:rPr>
            </w:pPr>
            <w:r>
              <w:rPr>
                <w:rFonts w:ascii="Arial" w:cs="Arial" w:eastAsia="Arial" w:hAnsi="Arial"/>
                <w:sz w:val="4"/>
                <w:szCs w:val="4"/>
                <w:color w:val="FFFFFF"/>
              </w:rPr>
              <w:t>. • Additionally, I FF and DuPont N&amp;B willsignificantform</w:t>
            </w:r>
          </w:p>
        </w:tc>
        <w:tc>
          <w:tcPr>
            <w:tcW w:w="3640" w:type="dxa"/>
            <w:vAlign w:val="bottom"/>
            <w:gridSpan w:val="2"/>
          </w:tcPr>
          <w:p>
            <w:pPr>
              <w:ind w:left="20"/>
              <w:spacing w:after="0" w:line="37" w:lineRule="exact"/>
              <w:rPr>
                <w:sz w:val="20"/>
                <w:szCs w:val="20"/>
                <w:color w:val="auto"/>
              </w:rPr>
            </w:pPr>
            <w:r>
              <w:rPr>
                <w:rFonts w:ascii="Arial" w:cs="Arial" w:eastAsia="Arial" w:hAnsi="Arial"/>
                <w:sz w:val="4"/>
                <w:szCs w:val="4"/>
                <w:color w:val="FFFFFF"/>
              </w:rPr>
              <w:t>Integration Office to ma age the integration of their organizations, which</w:t>
            </w:r>
          </w:p>
        </w:tc>
      </w:tr>
      <w:tr>
        <w:trPr>
          <w:trHeight w:val="36"/>
        </w:trPr>
        <w:tc>
          <w:tcPr>
            <w:tcW w:w="9780" w:type="dxa"/>
            <w:vAlign w:val="bottom"/>
            <w:gridSpan w:val="6"/>
          </w:tcPr>
          <w:p>
            <w:pPr>
              <w:jc w:val="right"/>
              <w:spacing w:after="0" w:line="37" w:lineRule="exact"/>
              <w:rPr>
                <w:sz w:val="20"/>
                <w:szCs w:val="20"/>
                <w:color w:val="auto"/>
              </w:rPr>
            </w:pPr>
            <w:r>
              <w:rPr>
                <w:rFonts w:ascii="Arial" w:cs="Arial" w:eastAsia="Arial" w:hAnsi="Arial"/>
                <w:sz w:val="4"/>
                <w:szCs w:val="4"/>
                <w:color w:val="FFFFFF"/>
              </w:rPr>
              <w:t>ill be comprised of leaders from both companies. How is DuPontappointeegoodfit for us? How do they work exactly? • Our cult ures are both d riven by an unwavering commitment to our customers, a pledge</w:t>
            </w:r>
          </w:p>
        </w:tc>
      </w:tr>
      <w:tr>
        <w:trPr>
          <w:trHeight w:val="36"/>
        </w:trPr>
        <w:tc>
          <w:tcPr>
            <w:tcW w:w="9780" w:type="dxa"/>
            <w:vAlign w:val="bottom"/>
            <w:gridSpan w:val="6"/>
          </w:tcPr>
          <w:p>
            <w:pPr>
              <w:spacing w:after="0" w:line="37" w:lineRule="exact"/>
              <w:rPr>
                <w:sz w:val="20"/>
                <w:szCs w:val="20"/>
                <w:color w:val="auto"/>
              </w:rPr>
            </w:pPr>
            <w:r>
              <w:rPr>
                <w:rFonts w:ascii="Arial" w:cs="Arial" w:eastAsia="Arial" w:hAnsi="Arial"/>
                <w:sz w:val="4"/>
                <w:szCs w:val="4"/>
                <w:color w:val="FFFFFF"/>
              </w:rPr>
              <w:t>we have each built and strengthened over our respective more than 100-year histories. • Like IFF, staying close to t he customer and utilizing key market insights, technical expert ise and tools has enabled</w:t>
            </w:r>
          </w:p>
        </w:tc>
      </w:tr>
      <w:tr>
        <w:trPr>
          <w:trHeight w:val="36"/>
        </w:trPr>
        <w:tc>
          <w:tcPr>
            <w:tcW w:w="9780" w:type="dxa"/>
            <w:vAlign w:val="bottom"/>
            <w:gridSpan w:val="6"/>
          </w:tcPr>
          <w:p>
            <w:pPr>
              <w:spacing w:after="0" w:line="37" w:lineRule="exact"/>
              <w:rPr>
                <w:sz w:val="20"/>
                <w:szCs w:val="20"/>
                <w:color w:val="auto"/>
              </w:rPr>
            </w:pPr>
            <w:r>
              <w:rPr>
                <w:rFonts w:ascii="Arial" w:cs="Arial" w:eastAsia="Arial" w:hAnsi="Arial"/>
                <w:sz w:val="4"/>
                <w:szCs w:val="4"/>
                <w:color w:val="FFFFFF"/>
              </w:rPr>
              <w:t>DuPont N&amp;B to deliver a world-class experie ce to its customers. How will the workforces be combined? • Successful integration is one of our top priorities as we look toward operat ing as  combined</w:t>
            </w:r>
          </w:p>
        </w:tc>
      </w:tr>
      <w:tr>
        <w:trPr>
          <w:trHeight w:val="36"/>
        </w:trPr>
        <w:tc>
          <w:tcPr>
            <w:tcW w:w="9780" w:type="dxa"/>
            <w:vAlign w:val="bottom"/>
            <w:gridSpan w:val="6"/>
          </w:tcPr>
          <w:p>
            <w:pPr>
              <w:spacing w:after="0" w:line="37" w:lineRule="exact"/>
              <w:rPr>
                <w:sz w:val="20"/>
                <w:szCs w:val="20"/>
                <w:color w:val="auto"/>
              </w:rPr>
            </w:pPr>
            <w:r>
              <w:rPr>
                <w:rFonts w:ascii="Arial" w:cs="Arial" w:eastAsia="Arial" w:hAnsi="Arial"/>
                <w:sz w:val="4"/>
                <w:szCs w:val="4"/>
                <w:color w:val="FFFFFF"/>
              </w:rPr>
              <w:t>company following the close of the transaction, which is expected to occur at the end of the first quarter of 2021. • The combined company will include the best talent from both organizations, with clear</w:t>
            </w:r>
          </w:p>
        </w:tc>
      </w:tr>
      <w:tr>
        <w:trPr>
          <w:trHeight w:val="36"/>
        </w:trPr>
        <w:tc>
          <w:tcPr>
            <w:tcW w:w="1480" w:type="dxa"/>
            <w:vAlign w:val="bottom"/>
            <w:gridSpan w:val="2"/>
          </w:tcPr>
          <w:p>
            <w:pPr>
              <w:spacing w:after="0" w:line="37" w:lineRule="exact"/>
              <w:rPr>
                <w:sz w:val="20"/>
                <w:szCs w:val="20"/>
                <w:color w:val="auto"/>
              </w:rPr>
            </w:pPr>
            <w:r>
              <w:rPr>
                <w:rFonts w:ascii="Arial" w:cs="Arial" w:eastAsia="Arial" w:hAnsi="Arial"/>
                <w:sz w:val="4"/>
                <w:szCs w:val="4"/>
                <w:color w:val="FFFFFF"/>
              </w:rPr>
              <w:t>views of the company’s</w:t>
            </w:r>
          </w:p>
        </w:tc>
        <w:tc>
          <w:tcPr>
            <w:tcW w:w="8300" w:type="dxa"/>
            <w:vAlign w:val="bottom"/>
            <w:gridSpan w:val="4"/>
          </w:tcPr>
          <w:p>
            <w:pPr>
              <w:jc w:val="right"/>
              <w:spacing w:after="0" w:line="37" w:lineRule="exact"/>
              <w:rPr>
                <w:sz w:val="20"/>
                <w:szCs w:val="20"/>
                <w:color w:val="auto"/>
              </w:rPr>
            </w:pPr>
            <w:r>
              <w:rPr>
                <w:rFonts w:ascii="Arial" w:cs="Arial" w:eastAsia="Arial" w:hAnsi="Arial"/>
                <w:sz w:val="4"/>
                <w:szCs w:val="4"/>
                <w:color w:val="FFFFFF"/>
              </w:rPr>
              <w:t>ial, and several experienced DuPont d irectors will join the IFF Board, including DuPont Executive Chairman Ed Breen. • Additionally, I FF and DuPont N&amp;B will form an</w:t>
            </w:r>
          </w:p>
        </w:tc>
      </w:tr>
      <w:tr>
        <w:trPr>
          <w:trHeight w:val="36"/>
        </w:trPr>
        <w:tc>
          <w:tcPr>
            <w:tcW w:w="9780" w:type="dxa"/>
            <w:vAlign w:val="bottom"/>
            <w:gridSpan w:val="6"/>
          </w:tcPr>
          <w:p>
            <w:pPr>
              <w:spacing w:after="0" w:line="37" w:lineRule="exact"/>
              <w:rPr>
                <w:sz w:val="20"/>
                <w:szCs w:val="20"/>
                <w:color w:val="auto"/>
              </w:rPr>
            </w:pPr>
            <w:r>
              <w:rPr>
                <w:rFonts w:ascii="Arial" w:cs="Arial" w:eastAsia="Arial" w:hAnsi="Arial"/>
                <w:sz w:val="4"/>
                <w:szCs w:val="4"/>
                <w:color w:val="FFFFFF"/>
              </w:rPr>
              <w:t>Integration Office to managepotent he integration of their organizations, which will be comprised of leaders from both companies. Are there redundancies that will result in layoffs? Will offices be</w:t>
            </w:r>
          </w:p>
        </w:tc>
      </w:tr>
      <w:tr>
        <w:trPr>
          <w:trHeight w:val="36"/>
        </w:trPr>
        <w:tc>
          <w:tcPr>
            <w:tcW w:w="600" w:type="dxa"/>
            <w:vAlign w:val="bottom"/>
          </w:tcPr>
          <w:p>
            <w:pPr>
              <w:spacing w:after="0"/>
              <w:rPr>
                <w:sz w:val="3"/>
                <w:szCs w:val="3"/>
                <w:color w:val="auto"/>
              </w:rPr>
            </w:pPr>
          </w:p>
        </w:tc>
        <w:tc>
          <w:tcPr>
            <w:tcW w:w="5540" w:type="dxa"/>
            <w:vAlign w:val="bottom"/>
            <w:gridSpan w:val="3"/>
          </w:tcPr>
          <w:p>
            <w:pPr>
              <w:ind w:left="80"/>
              <w:spacing w:after="0" w:line="37" w:lineRule="exact"/>
              <w:rPr>
                <w:sz w:val="20"/>
                <w:szCs w:val="20"/>
                <w:color w:val="auto"/>
              </w:rPr>
            </w:pPr>
            <w:r>
              <w:rPr>
                <w:rFonts w:ascii="Arial" w:cs="Arial" w:eastAsia="Arial" w:hAnsi="Arial"/>
                <w:sz w:val="4"/>
                <w:szCs w:val="4"/>
                <w:color w:val="FFFFFF"/>
              </w:rPr>
              <w:t>or closing? • For now, it remains business as usual until the close of the transact ion, which  expected to occur</w:t>
            </w:r>
          </w:p>
        </w:tc>
        <w:tc>
          <w:tcPr>
            <w:tcW w:w="3640" w:type="dxa"/>
            <w:vAlign w:val="bottom"/>
            <w:gridSpan w:val="2"/>
          </w:tcPr>
          <w:p>
            <w:pPr>
              <w:jc w:val="right"/>
              <w:spacing w:after="0" w:line="37" w:lineRule="exact"/>
              <w:rPr>
                <w:sz w:val="20"/>
                <w:szCs w:val="20"/>
                <w:color w:val="auto"/>
              </w:rPr>
            </w:pPr>
            <w:r>
              <w:rPr>
                <w:rFonts w:ascii="Arial" w:cs="Arial" w:eastAsia="Arial" w:hAnsi="Arial"/>
                <w:sz w:val="4"/>
                <w:szCs w:val="4"/>
                <w:color w:val="FFFFFF"/>
              </w:rPr>
              <w:t>the end of the first quarter of 2021. • We will continue to keep you updated</w:t>
            </w:r>
          </w:p>
        </w:tc>
      </w:tr>
      <w:tr>
        <w:trPr>
          <w:trHeight w:val="36"/>
        </w:trPr>
        <w:tc>
          <w:tcPr>
            <w:tcW w:w="9780" w:type="dxa"/>
            <w:vAlign w:val="bottom"/>
            <w:gridSpan w:val="6"/>
          </w:tcPr>
          <w:p>
            <w:pPr>
              <w:spacing w:after="0" w:line="37" w:lineRule="exact"/>
              <w:rPr>
                <w:sz w:val="20"/>
                <w:szCs w:val="20"/>
                <w:color w:val="auto"/>
              </w:rPr>
            </w:pPr>
            <w:r>
              <w:rPr>
                <w:rFonts w:ascii="Arial" w:cs="Arial" w:eastAsia="Arial" w:hAnsi="Arial"/>
                <w:sz w:val="4"/>
                <w:szCs w:val="4"/>
                <w:color w:val="FFFFFF"/>
              </w:rPr>
              <w:t>consolidatingourprogress toward integration and on any changes. How will the two companies be integrated? Who’is planning the integration process? Is it a different or the same team as last time? • Successful</w:t>
            </w:r>
          </w:p>
        </w:tc>
      </w:tr>
      <w:tr>
        <w:trPr>
          <w:trHeight w:val="36"/>
        </w:trPr>
        <w:tc>
          <w:tcPr>
            <w:tcW w:w="3400" w:type="dxa"/>
            <w:vAlign w:val="bottom"/>
            <w:gridSpan w:val="3"/>
          </w:tcPr>
          <w:p>
            <w:pPr>
              <w:spacing w:after="0" w:line="37" w:lineRule="exact"/>
              <w:rPr>
                <w:sz w:val="20"/>
                <w:szCs w:val="20"/>
                <w:color w:val="auto"/>
              </w:rPr>
            </w:pPr>
            <w:r>
              <w:rPr>
                <w:rFonts w:ascii="Arial" w:cs="Arial" w:eastAsia="Arial" w:hAnsi="Arial"/>
                <w:sz w:val="4"/>
                <w:szCs w:val="4"/>
                <w:color w:val="FFFFFF"/>
              </w:rPr>
              <w:t>integration is one of our top priorities as we look toward operat ing as</w:t>
            </w:r>
          </w:p>
        </w:tc>
        <w:tc>
          <w:tcPr>
            <w:tcW w:w="6380" w:type="dxa"/>
            <w:vAlign w:val="bottom"/>
            <w:gridSpan w:val="3"/>
          </w:tcPr>
          <w:p>
            <w:pPr>
              <w:jc w:val="right"/>
              <w:ind w:right="60"/>
              <w:spacing w:after="0" w:line="37" w:lineRule="exact"/>
              <w:rPr>
                <w:sz w:val="20"/>
                <w:szCs w:val="20"/>
                <w:color w:val="auto"/>
              </w:rPr>
            </w:pPr>
            <w:r>
              <w:rPr>
                <w:rFonts w:ascii="Arial" w:cs="Arial" w:eastAsia="Arial" w:hAnsi="Arial"/>
                <w:sz w:val="4"/>
                <w:szCs w:val="4"/>
                <w:color w:val="FFFFFF"/>
              </w:rPr>
              <w:t>combined company following the close of the transaction, which is expected to occur at the end of the first quarter of 2021. • IFF</w:t>
            </w:r>
          </w:p>
        </w:tc>
      </w:tr>
      <w:tr>
        <w:trPr>
          <w:trHeight w:val="189"/>
        </w:trPr>
        <w:tc>
          <w:tcPr>
            <w:tcW w:w="6140" w:type="dxa"/>
            <w:vAlign w:val="bottom"/>
            <w:gridSpan w:val="4"/>
          </w:tcPr>
          <w:p>
            <w:pPr>
              <w:spacing w:after="0"/>
              <w:rPr>
                <w:sz w:val="20"/>
                <w:szCs w:val="20"/>
                <w:color w:val="auto"/>
              </w:rPr>
            </w:pPr>
            <w:r>
              <w:rPr>
                <w:rFonts w:ascii="Arial" w:cs="Arial" w:eastAsia="Arial" w:hAnsi="Arial"/>
                <w:sz w:val="12"/>
                <w:szCs w:val="12"/>
                <w:color w:val="FFFFFF"/>
                <w:w w:val="92"/>
              </w:rPr>
              <w:t>and DuPont N&amp;B both share long and successful histories of innovation and cultures of excellence that integrate science and</w:t>
            </w:r>
          </w:p>
        </w:tc>
        <w:tc>
          <w:tcPr>
            <w:tcW w:w="214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sectPr>
          <w:pgSz w:w="11900" w:h="16838" w:orient="portrait"/>
          <w:cols w:equalWidth="0" w:num="1">
            <w:col w:w="9780"/>
          </w:cols>
          <w:pgMar w:left="1060" w:top="1440" w:right="105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40" w:type="dxa"/>
            <w:vAlign w:val="bottom"/>
            <w:gridSpan w:val="5"/>
          </w:tcPr>
          <w:p>
            <w:pPr>
              <w:spacing w:after="0"/>
              <w:rPr>
                <w:sz w:val="20"/>
                <w:szCs w:val="20"/>
                <w:color w:val="auto"/>
              </w:rPr>
            </w:pPr>
            <w:r>
              <w:rPr>
                <w:rFonts w:ascii="Arial" w:cs="Arial" w:eastAsia="Arial" w:hAnsi="Arial"/>
                <w:sz w:val="12"/>
                <w:szCs w:val="12"/>
                <w:color w:val="FFFFFF"/>
                <w:w w:val="95"/>
              </w:rPr>
              <w:t>creat ivity. • The combined company will include the best talent from both organizations, with clear views of the company’s potent ial, and several experienced</w:t>
            </w:r>
          </w:p>
        </w:tc>
        <w:tc>
          <w:tcPr>
            <w:tcW w:w="1740" w:type="dxa"/>
            <w:vAlign w:val="bottom"/>
          </w:tcPr>
          <w:p>
            <w:pPr>
              <w:jc w:val="right"/>
              <w:ind w:right="60"/>
              <w:spacing w:after="0"/>
              <w:rPr>
                <w:sz w:val="20"/>
                <w:szCs w:val="20"/>
                <w:color w:val="auto"/>
              </w:rPr>
            </w:pPr>
            <w:r>
              <w:rPr>
                <w:rFonts w:ascii="Arial" w:cs="Arial" w:eastAsia="Arial" w:hAnsi="Arial"/>
                <w:sz w:val="12"/>
                <w:szCs w:val="12"/>
                <w:color w:val="FFFFFF"/>
                <w:w w:val="94"/>
              </w:rPr>
              <w:t>d irectors will join the IFF Board,</w:t>
            </w:r>
          </w:p>
        </w:tc>
      </w:tr>
      <w:tr>
        <w:trPr>
          <w:trHeight w:val="36"/>
        </w:trPr>
        <w:tc>
          <w:tcPr>
            <w:tcW w:w="5700" w:type="dxa"/>
            <w:vAlign w:val="bottom"/>
            <w:gridSpan w:val="3"/>
          </w:tcPr>
          <w:p>
            <w:pPr>
              <w:spacing w:after="0" w:line="37" w:lineRule="exact"/>
              <w:rPr>
                <w:sz w:val="20"/>
                <w:szCs w:val="20"/>
                <w:color w:val="auto"/>
              </w:rPr>
            </w:pPr>
            <w:r>
              <w:rPr>
                <w:rFonts w:ascii="Arial" w:cs="Arial" w:eastAsia="Arial" w:hAnsi="Arial"/>
                <w:sz w:val="4"/>
                <w:szCs w:val="4"/>
                <w:color w:val="FFFFFF"/>
              </w:rPr>
              <w:t>including DuPont Executive Chairman Ed Breen. • Additionally, I FF and Nutrition &amp; Biosciences will form an I</w:t>
            </w:r>
          </w:p>
        </w:tc>
        <w:tc>
          <w:tcPr>
            <w:tcW w:w="4080" w:type="dxa"/>
            <w:vAlign w:val="bottom"/>
            <w:gridSpan w:val="3"/>
          </w:tcPr>
          <w:p>
            <w:pPr>
              <w:jc w:val="right"/>
              <w:ind w:right="400"/>
              <w:spacing w:after="0" w:line="37" w:lineRule="exact"/>
              <w:rPr>
                <w:sz w:val="20"/>
                <w:szCs w:val="20"/>
                <w:color w:val="auto"/>
              </w:rPr>
            </w:pPr>
            <w:r>
              <w:rPr>
                <w:rFonts w:ascii="Arial" w:cs="Arial" w:eastAsia="Arial" w:hAnsi="Arial"/>
                <w:sz w:val="4"/>
                <w:szCs w:val="4"/>
                <w:color w:val="FFFFFF"/>
              </w:rPr>
              <w:t>Office to manage the integration of DuPontheirorganizations, which will be</w:t>
            </w:r>
          </w:p>
        </w:tc>
      </w:tr>
      <w:tr>
        <w:trPr>
          <w:trHeight w:val="36"/>
        </w:trPr>
        <w:tc>
          <w:tcPr>
            <w:tcW w:w="9780" w:type="dxa"/>
            <w:vAlign w:val="bottom"/>
            <w:gridSpan w:val="6"/>
          </w:tcPr>
          <w:p>
            <w:pPr>
              <w:spacing w:after="0" w:line="37" w:lineRule="exact"/>
              <w:rPr>
                <w:sz w:val="20"/>
                <w:szCs w:val="20"/>
                <w:color w:val="auto"/>
              </w:rPr>
            </w:pPr>
            <w:r>
              <w:rPr>
                <w:rFonts w:ascii="Arial" w:cs="Arial" w:eastAsia="Arial" w:hAnsi="Arial"/>
                <w:sz w:val="4"/>
                <w:szCs w:val="4"/>
                <w:color w:val="FFFFFF"/>
              </w:rPr>
              <w:t>comprised of leaders from both companies. What talent, skill and know-how do DuPont employees offer that we don’ntegrationhave? • I FF and Nutrit ion &amp; Biosciences both share long and successful histories</w:t>
            </w:r>
          </w:p>
        </w:tc>
      </w:tr>
      <w:tr>
        <w:trPr>
          <w:trHeight w:val="36"/>
        </w:trPr>
        <w:tc>
          <w:tcPr>
            <w:tcW w:w="9780" w:type="dxa"/>
            <w:vAlign w:val="bottom"/>
            <w:gridSpan w:val="6"/>
          </w:tcPr>
          <w:p>
            <w:pPr>
              <w:spacing w:after="0" w:line="37" w:lineRule="exact"/>
              <w:rPr>
                <w:sz w:val="20"/>
                <w:szCs w:val="20"/>
                <w:color w:val="auto"/>
              </w:rPr>
            </w:pPr>
            <w:r>
              <w:rPr>
                <w:rFonts w:ascii="Arial" w:cs="Arial" w:eastAsia="Arial" w:hAnsi="Arial"/>
                <w:sz w:val="4"/>
                <w:szCs w:val="4"/>
                <w:color w:val="FFFFFF"/>
              </w:rPr>
              <w:t>of innovat ion and cultures of excellence t hat integrate science and creat ivity and we look forward to collaborating with the Nutrit ion &amp; Biosciences team to better support our customers. • The</w:t>
            </w:r>
          </w:p>
        </w:tc>
      </w:tr>
      <w:tr>
        <w:trPr>
          <w:trHeight w:val="36"/>
        </w:trPr>
        <w:tc>
          <w:tcPr>
            <w:tcW w:w="9780" w:type="dxa"/>
            <w:vAlign w:val="bottom"/>
            <w:gridSpan w:val="6"/>
          </w:tcPr>
          <w:p>
            <w:pPr>
              <w:spacing w:after="0" w:line="37" w:lineRule="exact"/>
              <w:rPr>
                <w:sz w:val="20"/>
                <w:szCs w:val="20"/>
                <w:color w:val="auto"/>
              </w:rPr>
            </w:pPr>
            <w:r>
              <w:rPr>
                <w:rFonts w:ascii="Arial" w:cs="Arial" w:eastAsia="Arial" w:hAnsi="Arial"/>
                <w:sz w:val="4"/>
                <w:szCs w:val="4"/>
                <w:color w:val="FFFFFF"/>
              </w:rPr>
              <w:t>combined company will bring the best of both organizations’ experienced leaders, and several experienced DuPont directors will join the IFF Board, includ ing Executive Chairman Ed Breen. Will our</w:t>
            </w:r>
          </w:p>
        </w:tc>
      </w:tr>
      <w:tr>
        <w:trPr>
          <w:trHeight w:val="36"/>
        </w:trPr>
        <w:tc>
          <w:tcPr>
            <w:tcW w:w="1000" w:type="dxa"/>
            <w:vAlign w:val="bottom"/>
          </w:tcPr>
          <w:p>
            <w:pPr>
              <w:spacing w:after="0" w:line="37" w:lineRule="exact"/>
              <w:rPr>
                <w:sz w:val="20"/>
                <w:szCs w:val="20"/>
                <w:color w:val="auto"/>
              </w:rPr>
            </w:pPr>
            <w:r>
              <w:rPr>
                <w:rFonts w:ascii="Arial" w:cs="Arial" w:eastAsia="Arial" w:hAnsi="Arial"/>
                <w:sz w:val="4"/>
                <w:szCs w:val="4"/>
                <w:color w:val="FFFFFF"/>
              </w:rPr>
              <w:t>sustainability</w:t>
            </w:r>
          </w:p>
        </w:tc>
        <w:tc>
          <w:tcPr>
            <w:tcW w:w="8780" w:type="dxa"/>
            <w:vAlign w:val="bottom"/>
            <w:gridSpan w:val="5"/>
          </w:tcPr>
          <w:p>
            <w:pPr>
              <w:jc w:val="right"/>
              <w:ind w:right="260"/>
              <w:spacing w:after="0" w:line="37" w:lineRule="exact"/>
              <w:rPr>
                <w:sz w:val="20"/>
                <w:szCs w:val="20"/>
                <w:color w:val="auto"/>
              </w:rPr>
            </w:pPr>
            <w:r>
              <w:rPr>
                <w:rFonts w:ascii="Arial" w:cs="Arial" w:eastAsia="Arial" w:hAnsi="Arial"/>
                <w:sz w:val="4"/>
                <w:szCs w:val="4"/>
                <w:color w:val="FFFFFF"/>
              </w:rPr>
              <w:t>be affected as a result of the integration of DuPont? Does DuPont have its own sustainability standards and if so, how do they compare to IFF’s? • I FF and DuPont N&amp;B</w:t>
            </w:r>
          </w:p>
        </w:tc>
      </w:tr>
      <w:tr>
        <w:trPr>
          <w:trHeight w:val="36"/>
        </w:trPr>
        <w:tc>
          <w:tcPr>
            <w:tcW w:w="1840" w:type="dxa"/>
            <w:vAlign w:val="bottom"/>
            <w:gridSpan w:val="2"/>
          </w:tcPr>
          <w:p>
            <w:pPr>
              <w:spacing w:after="0" w:line="37" w:lineRule="exact"/>
              <w:rPr>
                <w:sz w:val="20"/>
                <w:szCs w:val="20"/>
                <w:color w:val="auto"/>
              </w:rPr>
            </w:pPr>
            <w:r>
              <w:rPr>
                <w:rFonts w:ascii="Arial" w:cs="Arial" w:eastAsia="Arial" w:hAnsi="Arial"/>
                <w:sz w:val="4"/>
                <w:szCs w:val="4"/>
                <w:color w:val="FFFFFF"/>
              </w:rPr>
              <w:t>expect to continuecommitmentsIFF’industry</w:t>
            </w:r>
          </w:p>
        </w:tc>
        <w:tc>
          <w:tcPr>
            <w:tcW w:w="7940" w:type="dxa"/>
            <w:vAlign w:val="bottom"/>
            <w:gridSpan w:val="4"/>
          </w:tcPr>
          <w:p>
            <w:pPr>
              <w:jc w:val="right"/>
              <w:spacing w:after="0" w:line="37" w:lineRule="exact"/>
              <w:rPr>
                <w:sz w:val="20"/>
                <w:szCs w:val="20"/>
                <w:color w:val="auto"/>
              </w:rPr>
            </w:pPr>
            <w:r>
              <w:rPr>
                <w:rFonts w:ascii="Arial" w:cs="Arial" w:eastAsia="Arial" w:hAnsi="Arial"/>
                <w:sz w:val="4"/>
                <w:szCs w:val="4"/>
                <w:color w:val="FFFFFF"/>
              </w:rPr>
              <w:t>sustainability commit ments. At the forefront of this is t he purpose: to redefine how we live in and care for our world’ resources. What should I tell customers?</w:t>
            </w:r>
          </w:p>
        </w:tc>
      </w:tr>
      <w:tr>
        <w:trPr>
          <w:trHeight w:val="36"/>
        </w:trPr>
        <w:tc>
          <w:tcPr>
            <w:tcW w:w="8040" w:type="dxa"/>
            <w:vAlign w:val="bottom"/>
            <w:gridSpan w:val="5"/>
          </w:tcPr>
          <w:p>
            <w:pPr>
              <w:spacing w:after="0" w:line="37" w:lineRule="exact"/>
              <w:rPr>
                <w:sz w:val="20"/>
                <w:szCs w:val="20"/>
                <w:color w:val="auto"/>
              </w:rPr>
            </w:pPr>
            <w:r>
              <w:rPr>
                <w:rFonts w:ascii="Arial" w:cs="Arial" w:eastAsia="Arial" w:hAnsi="Arial"/>
                <w:sz w:val="4"/>
                <w:szCs w:val="4"/>
                <w:color w:val="FFFFFF"/>
              </w:rPr>
              <w:t>Will they be negatively affected likedefiningthe last deal? How can we be sure? • It remains business as usual until the close of the transaction, which is expected to occur</w:t>
            </w:r>
          </w:p>
        </w:tc>
        <w:tc>
          <w:tcPr>
            <w:tcW w:w="1740" w:type="dxa"/>
            <w:vAlign w:val="bottom"/>
          </w:tcPr>
          <w:p>
            <w:pPr>
              <w:jc w:val="right"/>
              <w:spacing w:after="0" w:line="37" w:lineRule="exact"/>
              <w:rPr>
                <w:sz w:val="20"/>
                <w:szCs w:val="20"/>
                <w:color w:val="auto"/>
              </w:rPr>
            </w:pPr>
            <w:r>
              <w:rPr>
                <w:rFonts w:ascii="Arial" w:cs="Arial" w:eastAsia="Arial" w:hAnsi="Arial"/>
                <w:sz w:val="4"/>
                <w:szCs w:val="4"/>
                <w:color w:val="FFFFFF"/>
              </w:rPr>
              <w:t>the end of the fi rst quarter of 2021.</w:t>
            </w:r>
          </w:p>
        </w:tc>
      </w:tr>
      <w:tr>
        <w:trPr>
          <w:trHeight w:val="36"/>
        </w:trPr>
        <w:tc>
          <w:tcPr>
            <w:tcW w:w="1840" w:type="dxa"/>
            <w:vAlign w:val="bottom"/>
            <w:gridSpan w:val="2"/>
          </w:tcPr>
          <w:p>
            <w:pPr>
              <w:spacing w:after="0" w:line="37" w:lineRule="exact"/>
              <w:rPr>
                <w:sz w:val="20"/>
                <w:szCs w:val="20"/>
                <w:color w:val="auto"/>
              </w:rPr>
            </w:pPr>
            <w:r>
              <w:rPr>
                <w:rFonts w:ascii="Arial" w:cs="Arial" w:eastAsia="Arial" w:hAnsi="Arial"/>
                <w:sz w:val="4"/>
                <w:szCs w:val="4"/>
                <w:color w:val="FFFFFF"/>
              </w:rPr>
              <w:t>For now, not hing changes, and any</w:t>
            </w:r>
          </w:p>
        </w:tc>
        <w:tc>
          <w:tcPr>
            <w:tcW w:w="7940" w:type="dxa"/>
            <w:vAlign w:val="bottom"/>
            <w:gridSpan w:val="4"/>
          </w:tcPr>
          <w:p>
            <w:pPr>
              <w:jc w:val="right"/>
              <w:ind w:right="180"/>
              <w:spacing w:after="0" w:line="37" w:lineRule="exact"/>
              <w:rPr>
                <w:sz w:val="20"/>
                <w:szCs w:val="20"/>
                <w:color w:val="auto"/>
              </w:rPr>
            </w:pPr>
            <w:r>
              <w:rPr>
                <w:rFonts w:ascii="Arial" w:cs="Arial" w:eastAsia="Arial" w:hAnsi="Arial"/>
                <w:sz w:val="4"/>
                <w:szCs w:val="4"/>
                <w:color w:val="FFFFFF"/>
              </w:rPr>
              <w:t>will be communicated well in advance. • But you can tell customers that both businesses are consumerdriven organizations and t hat this combination will</w:t>
            </w:r>
          </w:p>
        </w:tc>
      </w:tr>
      <w:tr>
        <w:trPr>
          <w:trHeight w:val="36"/>
        </w:trPr>
        <w:tc>
          <w:tcPr>
            <w:tcW w:w="1840" w:type="dxa"/>
            <w:vAlign w:val="bottom"/>
            <w:gridSpan w:val="2"/>
          </w:tcPr>
          <w:p>
            <w:pPr>
              <w:spacing w:after="0" w:line="37" w:lineRule="exact"/>
              <w:rPr>
                <w:sz w:val="20"/>
                <w:szCs w:val="20"/>
                <w:color w:val="auto"/>
              </w:rPr>
            </w:pPr>
            <w:r>
              <w:rPr>
                <w:rFonts w:ascii="Arial" w:cs="Arial" w:eastAsia="Arial" w:hAnsi="Arial"/>
                <w:sz w:val="4"/>
                <w:szCs w:val="4"/>
                <w:color w:val="FFFFFF"/>
              </w:rPr>
              <w:t>p sition us to serve our customers as</w:t>
            </w:r>
          </w:p>
        </w:tc>
        <w:tc>
          <w:tcPr>
            <w:tcW w:w="7940" w:type="dxa"/>
            <w:vAlign w:val="bottom"/>
            <w:gridSpan w:val="4"/>
          </w:tcPr>
          <w:p>
            <w:pPr>
              <w:jc w:val="right"/>
              <w:ind w:right="120"/>
              <w:spacing w:after="0" w:line="37" w:lineRule="exact"/>
              <w:rPr>
                <w:sz w:val="20"/>
                <w:szCs w:val="20"/>
                <w:color w:val="auto"/>
              </w:rPr>
            </w:pPr>
            <w:r>
              <w:rPr>
                <w:rFonts w:ascii="Arial" w:cs="Arial" w:eastAsia="Arial" w:hAnsi="Arial"/>
                <w:sz w:val="4"/>
                <w:szCs w:val="4"/>
                <w:color w:val="FFFFFF"/>
              </w:rPr>
              <w:t>even bett er innovation and creative partner with the different iated solut ions they demand. Additional Information and Where to Find It This communication is</w:t>
            </w:r>
          </w:p>
        </w:tc>
      </w:tr>
      <w:tr>
        <w:trPr>
          <w:trHeight w:val="36"/>
        </w:trPr>
        <w:tc>
          <w:tcPr>
            <w:tcW w:w="9780" w:type="dxa"/>
            <w:vAlign w:val="bottom"/>
            <w:gridSpan w:val="6"/>
          </w:tcPr>
          <w:p>
            <w:pPr>
              <w:spacing w:after="0" w:line="37" w:lineRule="exact"/>
              <w:rPr>
                <w:sz w:val="20"/>
                <w:szCs w:val="20"/>
                <w:color w:val="auto"/>
              </w:rPr>
            </w:pPr>
            <w:r>
              <w:rPr>
                <w:rFonts w:ascii="Arial" w:cs="Arial" w:eastAsia="Arial" w:hAnsi="Arial"/>
                <w:sz w:val="4"/>
                <w:szCs w:val="4"/>
                <w:color w:val="FFFFFF"/>
              </w:rPr>
              <w:t>not intended to and shall not constitutechangesoffer to sell or the solicitation of an offer to sell or the solicitation of an offer to buy any sewrities or a solicitation of any vote of approval, nor shall there be any</w:t>
            </w:r>
          </w:p>
        </w:tc>
      </w:tr>
      <w:tr>
        <w:trPr>
          <w:trHeight w:val="36"/>
        </w:trPr>
        <w:tc>
          <w:tcPr>
            <w:tcW w:w="9780" w:type="dxa"/>
            <w:vAlign w:val="bottom"/>
            <w:gridSpan w:val="6"/>
          </w:tcPr>
          <w:p>
            <w:pPr>
              <w:ind w:left="40"/>
              <w:spacing w:after="0" w:line="37" w:lineRule="exact"/>
              <w:rPr>
                <w:sz w:val="20"/>
                <w:szCs w:val="20"/>
                <w:color w:val="auto"/>
              </w:rPr>
            </w:pPr>
            <w:r>
              <w:rPr>
                <w:rFonts w:ascii="Arial" w:cs="Arial" w:eastAsia="Arial" w:hAnsi="Arial"/>
                <w:sz w:val="4"/>
                <w:szCs w:val="4"/>
                <w:color w:val="FFFFFF"/>
              </w:rPr>
              <w:t>ale of securities in any jurisdiction in which such offe1; solicitation or sale would be unlawful prior to registration or qualification under the sewrities laws of any such jurisdiction. No offer of securities</w:t>
            </w:r>
          </w:p>
        </w:tc>
      </w:tr>
      <w:tr>
        <w:trPr>
          <w:trHeight w:val="36"/>
        </w:trPr>
        <w:tc>
          <w:tcPr>
            <w:tcW w:w="9780" w:type="dxa"/>
            <w:vAlign w:val="bottom"/>
            <w:gridSpan w:val="6"/>
          </w:tcPr>
          <w:p>
            <w:pPr>
              <w:spacing w:after="0" w:line="37" w:lineRule="exact"/>
              <w:rPr>
                <w:sz w:val="20"/>
                <w:szCs w:val="20"/>
                <w:color w:val="auto"/>
              </w:rPr>
            </w:pPr>
            <w:r>
              <w:rPr>
                <w:rFonts w:ascii="Arial" w:cs="Arial" w:eastAsia="Arial" w:hAnsi="Arial"/>
                <w:sz w:val="4"/>
                <w:szCs w:val="4"/>
                <w:color w:val="FFFFFF"/>
              </w:rPr>
              <w:t>shall be made except by means of a prospectus meeting the requirements of Section 10 of the Securities Act of 1933, as amended (the “Securities Act”).   connection with the proposed combination of</w:t>
            </w:r>
          </w:p>
        </w:tc>
      </w:tr>
      <w:tr>
        <w:trPr>
          <w:trHeight w:val="36"/>
        </w:trPr>
        <w:tc>
          <w:tcPr>
            <w:tcW w:w="7000" w:type="dxa"/>
            <w:vAlign w:val="bottom"/>
            <w:gridSpan w:val="4"/>
          </w:tcPr>
          <w:p>
            <w:pPr>
              <w:spacing w:after="0" w:line="37" w:lineRule="exact"/>
              <w:rPr>
                <w:sz w:val="20"/>
                <w:szCs w:val="20"/>
                <w:color w:val="auto"/>
              </w:rPr>
            </w:pPr>
            <w:r>
              <w:rPr>
                <w:rFonts w:ascii="Arial" w:cs="Arial" w:eastAsia="Arial" w:hAnsi="Arial"/>
                <w:sz w:val="4"/>
                <w:szCs w:val="4"/>
                <w:color w:val="FFFFFF"/>
              </w:rPr>
              <w:t>Nutrition &amp; Biosciences, Inc. (“N&amp;Bco”), a wholly owned subsidiary of DuPont de Nemours, Inc. (“DuPont”), and International Flavors &amp;</w:t>
            </w:r>
          </w:p>
        </w:tc>
        <w:tc>
          <w:tcPr>
            <w:tcW w:w="2780" w:type="dxa"/>
            <w:vAlign w:val="bottom"/>
            <w:gridSpan w:val="2"/>
          </w:tcPr>
          <w:p>
            <w:pPr>
              <w:jc w:val="right"/>
              <w:ind w:right="160"/>
              <w:spacing w:after="0" w:line="37" w:lineRule="exact"/>
              <w:rPr>
                <w:sz w:val="20"/>
                <w:szCs w:val="20"/>
                <w:color w:val="auto"/>
              </w:rPr>
            </w:pPr>
            <w:r>
              <w:rPr>
                <w:rFonts w:ascii="Arial" w:cs="Arial" w:eastAsia="Arial" w:hAnsi="Arial"/>
                <w:sz w:val="4"/>
                <w:szCs w:val="4"/>
                <w:color w:val="FFFFFF"/>
              </w:rPr>
              <w:t>Inc. (“IFF”), which will immediately follow the</w:t>
            </w:r>
          </w:p>
        </w:tc>
      </w:tr>
      <w:tr>
        <w:trPr>
          <w:trHeight w:val="0"/>
        </w:trPr>
        <w:tc>
          <w:tcPr>
            <w:tcW w:w="8040" w:type="dxa"/>
            <w:vAlign w:val="bottom"/>
            <w:gridSpan w:val="5"/>
          </w:tcPr>
          <w:p>
            <w:pPr>
              <w:spacing w:after="0" w:line="71" w:lineRule="exact"/>
              <w:rPr>
                <w:sz w:val="20"/>
                <w:szCs w:val="20"/>
                <w:color w:val="auto"/>
              </w:rPr>
            </w:pPr>
            <w:r>
              <w:rPr>
                <w:rFonts w:ascii="Arial" w:cs="Arial" w:eastAsia="Arial" w:hAnsi="Arial"/>
                <w:sz w:val="8"/>
                <w:szCs w:val="8"/>
                <w:color w:val="FFFFFF"/>
              </w:rPr>
              <w:t>proposed separation of N&amp;Bco from DuPont (the “proposed transaction”), N&amp;Bco and IFF intend to file relevant materials with the SEC, includingFragrancesregistration state</w:t>
            </w:r>
          </w:p>
        </w:tc>
        <w:tc>
          <w:tcPr>
            <w:tcW w:w="1740" w:type="dxa"/>
            <w:vAlign w:val="bottom"/>
          </w:tcPr>
          <w:p>
            <w:pPr>
              <w:jc w:val="right"/>
              <w:spacing w:after="0" w:line="71" w:lineRule="exact"/>
              <w:rPr>
                <w:sz w:val="20"/>
                <w:szCs w:val="20"/>
                <w:color w:val="auto"/>
              </w:rPr>
            </w:pPr>
            <w:r>
              <w:rPr>
                <w:rFonts w:ascii="Arial" w:cs="Arial" w:eastAsia="Arial" w:hAnsi="Arial"/>
                <w:sz w:val="8"/>
                <w:szCs w:val="8"/>
                <w:color w:val="FFFFFF"/>
              </w:rPr>
              <w:t>ent on Form 5—4 that will include</w:t>
            </w:r>
          </w:p>
        </w:tc>
      </w:tr>
    </w:tbl>
    <w:p>
      <w:pPr>
        <w:spacing w:after="0" w:line="205" w:lineRule="auto"/>
        <w:rPr>
          <w:sz w:val="20"/>
          <w:szCs w:val="20"/>
          <w:color w:val="auto"/>
        </w:rPr>
      </w:pPr>
      <w:r>
        <w:rPr>
          <w:rFonts w:ascii="Arial" w:cs="Arial" w:eastAsia="Arial" w:hAnsi="Arial"/>
          <w:sz w:val="11"/>
          <w:szCs w:val="11"/>
          <w:color w:val="FFFFFF"/>
        </w:rPr>
        <w:t>a proxy statement/prospectus relating to the proposed transaction. In addition, N&amp;Bco expects to file a registration statPmPnt in r:nnnPr:tinn with it.&lt;&gt; .&lt;Pnaratinn fmm nuPnnt. TNVFSTORS</w:t>
      </w:r>
    </w:p>
    <w:p>
      <w:pPr>
        <w:sectPr>
          <w:pgSz w:w="11900" w:h="16838" w:orient="portrait"/>
          <w:cols w:equalWidth="0" w:num="1">
            <w:col w:w="9780"/>
          </w:cols>
          <w:pgMar w:left="1060" w:top="1440" w:right="105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00" w:type="dxa"/>
            <w:vAlign w:val="bottom"/>
            <w:gridSpan w:val="3"/>
          </w:tcPr>
          <w:p>
            <w:pPr>
              <w:spacing w:after="0"/>
              <w:rPr>
                <w:sz w:val="20"/>
                <w:szCs w:val="20"/>
                <w:color w:val="auto"/>
              </w:rPr>
            </w:pPr>
            <w:r>
              <w:rPr>
                <w:rFonts w:ascii="Arial" w:cs="Arial" w:eastAsia="Arial" w:hAnsi="Arial"/>
                <w:sz w:val="12"/>
                <w:szCs w:val="12"/>
                <w:color w:val="FFFFFF"/>
                <w:w w:val="96"/>
              </w:rPr>
              <w:t>AND SECURITY HOLDERS ARE URGED  O READ THE REGISTRA</w:t>
            </w:r>
          </w:p>
        </w:tc>
        <w:tc>
          <w:tcPr>
            <w:tcW w:w="4540" w:type="dxa"/>
            <w:vAlign w:val="bottom"/>
            <w:gridSpan w:val="5"/>
          </w:tcPr>
          <w:p>
            <w:pPr>
              <w:ind w:left="300"/>
              <w:spacing w:after="0"/>
              <w:rPr>
                <w:sz w:val="20"/>
                <w:szCs w:val="20"/>
                <w:color w:val="auto"/>
              </w:rPr>
            </w:pPr>
            <w:r>
              <w:rPr>
                <w:rFonts w:ascii="Arial" w:cs="Arial" w:eastAsia="Arial" w:hAnsi="Arial"/>
                <w:sz w:val="12"/>
                <w:szCs w:val="12"/>
                <w:color w:val="FFFFFF"/>
                <w:w w:val="96"/>
              </w:rPr>
              <w:t>STATEMENTS, PROXY STATEMENT/PROSPECTUS AND ANY OTHER RELEV</w:t>
            </w:r>
          </w:p>
        </w:tc>
        <w:tc>
          <w:tcPr>
            <w:tcW w:w="140" w:type="dxa"/>
            <w:vAlign w:val="bottom"/>
          </w:tcPr>
          <w:p>
            <w:pPr>
              <w:spacing w:after="0"/>
              <w:rPr>
                <w:sz w:val="12"/>
                <w:szCs w:val="12"/>
                <w:color w:val="auto"/>
              </w:rPr>
            </w:pPr>
          </w:p>
        </w:tc>
        <w:tc>
          <w:tcPr>
            <w:tcW w:w="1520" w:type="dxa"/>
            <w:vAlign w:val="bottom"/>
          </w:tcPr>
          <w:p>
            <w:pPr>
              <w:jc w:val="center"/>
              <w:ind w:right="250"/>
              <w:spacing w:after="0"/>
              <w:rPr>
                <w:sz w:val="20"/>
                <w:szCs w:val="20"/>
                <w:color w:val="auto"/>
              </w:rPr>
            </w:pPr>
            <w:r>
              <w:rPr>
                <w:rFonts w:ascii="Arial" w:cs="Arial" w:eastAsia="Arial" w:hAnsi="Arial"/>
                <w:sz w:val="12"/>
                <w:szCs w:val="12"/>
                <w:color w:val="FFFFFF"/>
                <w:w w:val="97"/>
              </w:rPr>
              <w:t>DOCUMENTS WHEN</w:t>
            </w:r>
          </w:p>
        </w:tc>
      </w:tr>
      <w:tr>
        <w:trPr>
          <w:trHeight w:val="36"/>
        </w:trPr>
        <w:tc>
          <w:tcPr>
            <w:tcW w:w="9800" w:type="dxa"/>
            <w:vAlign w:val="bottom"/>
            <w:gridSpan w:val="10"/>
          </w:tcPr>
          <w:p>
            <w:pPr>
              <w:spacing w:after="0" w:line="37" w:lineRule="exact"/>
              <w:rPr>
                <w:sz w:val="20"/>
                <w:szCs w:val="20"/>
                <w:color w:val="auto"/>
              </w:rPr>
            </w:pPr>
            <w:r>
              <w:rPr>
                <w:rFonts w:ascii="Arial" w:cs="Arial" w:eastAsia="Arial" w:hAnsi="Arial"/>
                <w:sz w:val="4"/>
                <w:szCs w:val="4"/>
                <w:color w:val="FFFFFF"/>
              </w:rPr>
              <w:t>THEY BECOME AVAILABLE BECAUSE THEY WILL CONTAIN IMPORTIONANT INFORMATION ABOUT IFF, N&amp;BCO AND THE PROPOSED TRANSACTION.ANT definitive proxy statement will</w:t>
            </w:r>
          </w:p>
        </w:tc>
      </w:tr>
      <w:tr>
        <w:trPr>
          <w:trHeight w:val="36"/>
        </w:trPr>
        <w:tc>
          <w:tcPr>
            <w:tcW w:w="9800" w:type="dxa"/>
            <w:vAlign w:val="bottom"/>
            <w:gridSpan w:val="10"/>
          </w:tcPr>
          <w:p>
            <w:pPr>
              <w:spacing w:after="0" w:line="37" w:lineRule="exact"/>
              <w:rPr>
                <w:sz w:val="20"/>
                <w:szCs w:val="20"/>
                <w:color w:val="auto"/>
              </w:rPr>
            </w:pPr>
            <w:r>
              <w:rPr>
                <w:rFonts w:ascii="Arial" w:cs="Arial" w:eastAsia="Arial" w:hAnsi="Arial"/>
                <w:sz w:val="4"/>
                <w:szCs w:val="4"/>
                <w:color w:val="FFFFFF"/>
              </w:rPr>
              <w:t>be sent to shareholders of IFF seeking approval of the proposed transaction. The documents relating to the proposed transaction (when they are available) can be obtained free of cha1ge from the SEC’s</w:t>
            </w:r>
          </w:p>
        </w:tc>
      </w:tr>
      <w:tr>
        <w:trPr>
          <w:trHeight w:val="36"/>
        </w:trPr>
        <w:tc>
          <w:tcPr>
            <w:tcW w:w="1960" w:type="dxa"/>
            <w:vAlign w:val="bottom"/>
            <w:gridSpan w:val="2"/>
          </w:tcPr>
          <w:p>
            <w:pPr>
              <w:spacing w:after="0" w:line="37" w:lineRule="exact"/>
              <w:rPr>
                <w:sz w:val="20"/>
                <w:szCs w:val="20"/>
                <w:color w:val="auto"/>
              </w:rPr>
            </w:pPr>
            <w:r>
              <w:rPr>
                <w:rFonts w:ascii="Arial" w:cs="Arial" w:eastAsia="Arial" w:hAnsi="Arial"/>
                <w:sz w:val="4"/>
                <w:szCs w:val="4"/>
                <w:color w:val="FFFFFF"/>
              </w:rPr>
              <w:t>website at www.sec.gov. The proxy</w:t>
            </w:r>
          </w:p>
        </w:tc>
        <w:tc>
          <w:tcPr>
            <w:tcW w:w="7840" w:type="dxa"/>
            <w:vAlign w:val="bottom"/>
            <w:gridSpan w:val="8"/>
          </w:tcPr>
          <w:p>
            <w:pPr>
              <w:ind w:left="300"/>
              <w:spacing w:after="0" w:line="37" w:lineRule="exact"/>
              <w:rPr>
                <w:sz w:val="20"/>
                <w:szCs w:val="20"/>
                <w:color w:val="auto"/>
              </w:rPr>
            </w:pPr>
            <w:r>
              <w:rPr>
                <w:rFonts w:ascii="Arial" w:cs="Arial" w:eastAsia="Arial" w:hAnsi="Arial"/>
                <w:sz w:val="4"/>
                <w:szCs w:val="4"/>
                <w:color w:val="FFFFFF"/>
              </w:rPr>
              <w:t>prospectus and/or information statement and other documents (when they are available) will also be available free of cha1ge on IFF’s website at</w:t>
            </w:r>
          </w:p>
        </w:tc>
      </w:tr>
      <w:tr>
        <w:trPr>
          <w:trHeight w:val="36"/>
        </w:trPr>
        <w:tc>
          <w:tcPr>
            <w:tcW w:w="9800" w:type="dxa"/>
            <w:vAlign w:val="bottom"/>
            <w:gridSpan w:val="10"/>
          </w:tcPr>
          <w:p>
            <w:pPr>
              <w:spacing w:after="0" w:line="37" w:lineRule="exact"/>
              <w:rPr>
                <w:sz w:val="20"/>
                <w:szCs w:val="20"/>
                <w:color w:val="auto"/>
              </w:rPr>
            </w:pPr>
            <w:r>
              <w:rPr>
                <w:rFonts w:ascii="Arial" w:cs="Arial" w:eastAsia="Arial" w:hAnsi="Arial"/>
                <w:sz w:val="4"/>
                <w:szCs w:val="4"/>
                <w:color w:val="FFFFFF"/>
              </w:rPr>
              <w:t>https://il:iff.comj or on DuPont’s websitestatement,https://www.investors.dupont.comjinvestorsjdupontinvestorsjdefault. aspx. Cautionary Note on Forward-Looking Statements This communication contains</w:t>
            </w:r>
          </w:p>
        </w:tc>
      </w:tr>
      <w:tr>
        <w:trPr>
          <w:trHeight w:val="36"/>
        </w:trPr>
        <w:tc>
          <w:tcPr>
            <w:tcW w:w="9800" w:type="dxa"/>
            <w:vAlign w:val="bottom"/>
            <w:gridSpan w:val="10"/>
          </w:tcPr>
          <w:p>
            <w:pPr>
              <w:ind w:left="40"/>
              <w:spacing w:after="0" w:line="37" w:lineRule="exact"/>
              <w:rPr>
                <w:sz w:val="20"/>
                <w:szCs w:val="20"/>
                <w:color w:val="auto"/>
              </w:rPr>
            </w:pPr>
            <w:r>
              <w:rPr>
                <w:rFonts w:ascii="Arial" w:cs="Arial" w:eastAsia="Arial" w:hAnsi="Arial"/>
                <w:sz w:val="4"/>
                <w:szCs w:val="4"/>
                <w:color w:val="FFFFFF"/>
              </w:rPr>
              <w:t>forward-looking statements” within the meaning of the federal securities laws, including Section 27 A of the Securities Act, and Section 21E of the Securities Exchange Act of 1934, as amended (the</w:t>
            </w:r>
          </w:p>
        </w:tc>
      </w:tr>
      <w:tr>
        <w:trPr>
          <w:trHeight w:val="36"/>
        </w:trPr>
        <w:tc>
          <w:tcPr>
            <w:tcW w:w="5520" w:type="dxa"/>
            <w:vAlign w:val="bottom"/>
            <w:gridSpan w:val="5"/>
          </w:tcPr>
          <w:p>
            <w:pPr>
              <w:ind w:left="40"/>
              <w:spacing w:after="0" w:line="37" w:lineRule="exact"/>
              <w:rPr>
                <w:sz w:val="20"/>
                <w:szCs w:val="20"/>
                <w:color w:val="auto"/>
              </w:rPr>
            </w:pPr>
            <w:r>
              <w:rPr>
                <w:rFonts w:ascii="Arial" w:cs="Arial" w:eastAsia="Arial" w:hAnsi="Arial"/>
                <w:sz w:val="4"/>
                <w:szCs w:val="4"/>
                <w:color w:val="FFFFFF"/>
              </w:rPr>
              <w:t>Exchange Act”). In this context, forwardlooking statements often address expected future business and financial</w:t>
            </w:r>
          </w:p>
        </w:tc>
        <w:tc>
          <w:tcPr>
            <w:tcW w:w="240" w:type="dxa"/>
            <w:vAlign w:val="bottom"/>
          </w:tcPr>
          <w:p>
            <w:pPr>
              <w:spacing w:after="0"/>
              <w:rPr>
                <w:sz w:val="3"/>
                <w:szCs w:val="3"/>
                <w:color w:val="auto"/>
              </w:rPr>
            </w:pPr>
          </w:p>
        </w:tc>
        <w:tc>
          <w:tcPr>
            <w:tcW w:w="4040" w:type="dxa"/>
            <w:vAlign w:val="bottom"/>
            <w:gridSpan w:val="4"/>
          </w:tcPr>
          <w:p>
            <w:pPr>
              <w:ind w:left="340"/>
              <w:spacing w:after="0" w:line="37" w:lineRule="exact"/>
              <w:rPr>
                <w:sz w:val="20"/>
                <w:szCs w:val="20"/>
                <w:color w:val="auto"/>
              </w:rPr>
            </w:pPr>
            <w:r>
              <w:rPr>
                <w:rFonts w:ascii="Arial" w:cs="Arial" w:eastAsia="Arial" w:hAnsi="Arial"/>
                <w:sz w:val="4"/>
                <w:szCs w:val="4"/>
                <w:color w:val="FFFFFF"/>
              </w:rPr>
              <w:t>and financial condition, and often contain words such as uexpect,”</w:t>
            </w:r>
          </w:p>
        </w:tc>
      </w:tr>
      <w:tr>
        <w:trPr>
          <w:trHeight w:val="36"/>
        </w:trPr>
        <w:tc>
          <w:tcPr>
            <w:tcW w:w="620" w:type="dxa"/>
            <w:vAlign w:val="bottom"/>
          </w:tcPr>
          <w:p>
            <w:pPr>
              <w:spacing w:after="0" w:line="37" w:lineRule="exact"/>
              <w:rPr>
                <w:sz w:val="20"/>
                <w:szCs w:val="20"/>
                <w:color w:val="auto"/>
              </w:rPr>
            </w:pPr>
            <w:r>
              <w:rPr>
                <w:rFonts w:ascii="Arial" w:cs="Arial" w:eastAsia="Arial" w:hAnsi="Arial"/>
                <w:sz w:val="4"/>
                <w:szCs w:val="4"/>
                <w:color w:val="FFFFFF"/>
              </w:rPr>
              <w:t>“anticipate,”</w:t>
            </w:r>
          </w:p>
        </w:tc>
        <w:tc>
          <w:tcPr>
            <w:tcW w:w="5140" w:type="dxa"/>
            <w:vAlign w:val="bottom"/>
            <w:gridSpan w:val="5"/>
          </w:tcPr>
          <w:p>
            <w:pPr>
              <w:spacing w:after="0" w:line="37" w:lineRule="exact"/>
              <w:rPr>
                <w:sz w:val="20"/>
                <w:szCs w:val="20"/>
                <w:color w:val="auto"/>
              </w:rPr>
            </w:pPr>
            <w:r>
              <w:rPr>
                <w:rFonts w:ascii="Arial" w:cs="Arial" w:eastAsia="Arial" w:hAnsi="Arial"/>
                <w:sz w:val="4"/>
                <w:szCs w:val="4"/>
                <w:color w:val="FFFFFF"/>
              </w:rPr>
              <w:t>11intend,” “plan,” “believe,” “seek,” “see,” “will,” “would,” “target,” sitnilar expressions, and variations</w:t>
            </w:r>
          </w:p>
        </w:tc>
        <w:tc>
          <w:tcPr>
            <w:tcW w:w="4040" w:type="dxa"/>
            <w:vAlign w:val="bottom"/>
            <w:gridSpan w:val="4"/>
          </w:tcPr>
          <w:p>
            <w:pPr>
              <w:ind w:left="60"/>
              <w:spacing w:after="0" w:line="37" w:lineRule="exact"/>
              <w:rPr>
                <w:sz w:val="20"/>
                <w:szCs w:val="20"/>
                <w:color w:val="auto"/>
              </w:rPr>
            </w:pPr>
            <w:r>
              <w:rPr>
                <w:rFonts w:ascii="Arial" w:cs="Arial" w:eastAsia="Arial" w:hAnsi="Arial"/>
                <w:sz w:val="4"/>
                <w:szCs w:val="4"/>
                <w:color w:val="FFFFFF"/>
              </w:rPr>
              <w:t>negatives of these words. Forward-looking statements by their nature address</w:t>
            </w:r>
          </w:p>
        </w:tc>
      </w:tr>
      <w:tr>
        <w:trPr>
          <w:trHeight w:val="36"/>
        </w:trPr>
        <w:tc>
          <w:tcPr>
            <w:tcW w:w="6800" w:type="dxa"/>
            <w:vAlign w:val="bottom"/>
            <w:gridSpan w:val="7"/>
          </w:tcPr>
          <w:p>
            <w:pPr>
              <w:spacing w:after="0" w:line="37" w:lineRule="exact"/>
              <w:rPr>
                <w:sz w:val="20"/>
                <w:szCs w:val="20"/>
                <w:color w:val="auto"/>
              </w:rPr>
            </w:pPr>
            <w:r>
              <w:rPr>
                <w:rFonts w:ascii="Arial" w:cs="Arial" w:eastAsia="Arial" w:hAnsi="Arial"/>
                <w:sz w:val="4"/>
                <w:szCs w:val="4"/>
                <w:color w:val="FFFFFF"/>
              </w:rPr>
              <w:t>matters that are, to different degrees, uncertain, such as statements about the proposed transaction, the expected timetableperformancecompleting the</w:t>
            </w:r>
          </w:p>
        </w:tc>
        <w:tc>
          <w:tcPr>
            <w:tcW w:w="3000" w:type="dxa"/>
            <w:vAlign w:val="bottom"/>
            <w:gridSpan w:val="3"/>
          </w:tcPr>
          <w:p>
            <w:pPr>
              <w:ind w:left="440"/>
              <w:spacing w:after="0" w:line="37" w:lineRule="exact"/>
              <w:rPr>
                <w:sz w:val="20"/>
                <w:szCs w:val="20"/>
                <w:color w:val="auto"/>
              </w:rPr>
            </w:pPr>
            <w:r>
              <w:rPr>
                <w:rFonts w:ascii="Arial" w:cs="Arial" w:eastAsia="Arial" w:hAnsi="Arial"/>
                <w:sz w:val="4"/>
                <w:szCs w:val="4"/>
                <w:color w:val="FFFFFF"/>
              </w:rPr>
              <w:t>transaction, the benefits and syne1gies of the</w:t>
            </w:r>
          </w:p>
        </w:tc>
      </w:tr>
      <w:tr>
        <w:trPr>
          <w:trHeight w:val="36"/>
        </w:trPr>
        <w:tc>
          <w:tcPr>
            <w:tcW w:w="9800" w:type="dxa"/>
            <w:vAlign w:val="bottom"/>
            <w:gridSpan w:val="10"/>
          </w:tcPr>
          <w:p>
            <w:pPr>
              <w:spacing w:after="0" w:line="37" w:lineRule="exact"/>
              <w:rPr>
                <w:sz w:val="20"/>
                <w:szCs w:val="20"/>
                <w:color w:val="auto"/>
              </w:rPr>
            </w:pPr>
            <w:r>
              <w:rPr>
                <w:rFonts w:ascii="Arial" w:cs="Arial" w:eastAsia="Arial" w:hAnsi="Arial"/>
                <w:sz w:val="4"/>
                <w:szCs w:val="4"/>
                <w:color w:val="FFFFFF"/>
              </w:rPr>
              <w:t>proposed transaction, future opportunities for the combined company and products and any other statements regarding DuPont’s, IFF’s and N&amp;Bco’proposedfuture operations, financial or operating results,</w:t>
            </w:r>
          </w:p>
        </w:tc>
      </w:tr>
      <w:tr>
        <w:trPr>
          <w:trHeight w:val="36"/>
        </w:trPr>
        <w:tc>
          <w:tcPr>
            <w:tcW w:w="9800" w:type="dxa"/>
            <w:vAlign w:val="bottom"/>
            <w:gridSpan w:val="10"/>
          </w:tcPr>
          <w:p>
            <w:pPr>
              <w:spacing w:after="0" w:line="37" w:lineRule="exact"/>
              <w:rPr>
                <w:sz w:val="20"/>
                <w:szCs w:val="20"/>
                <w:color w:val="auto"/>
              </w:rPr>
            </w:pPr>
            <w:r>
              <w:rPr>
                <w:rFonts w:ascii="Arial" w:cs="Arial" w:eastAsia="Arial" w:hAnsi="Arial"/>
                <w:sz w:val="4"/>
                <w:szCs w:val="4"/>
                <w:color w:val="FFFFFF"/>
              </w:rPr>
              <w:t>capital allocation, dividend policy, debt ratio, anticipated business levels, future earnings, planned activities, anticipated growth, market opportunities, strategies, competitions, and other expectations and</w:t>
            </w:r>
          </w:p>
        </w:tc>
      </w:tr>
      <w:tr>
        <w:trPr>
          <w:trHeight w:val="36"/>
        </w:trPr>
        <w:tc>
          <w:tcPr>
            <w:tcW w:w="9800" w:type="dxa"/>
            <w:vAlign w:val="bottom"/>
            <w:gridSpan w:val="10"/>
          </w:tcPr>
          <w:p>
            <w:pPr>
              <w:spacing w:after="0" w:line="37" w:lineRule="exact"/>
              <w:rPr>
                <w:sz w:val="20"/>
                <w:szCs w:val="20"/>
                <w:color w:val="auto"/>
              </w:rPr>
            </w:pPr>
            <w:r>
              <w:rPr>
                <w:rFonts w:ascii="Arial" w:cs="Arial" w:eastAsia="Arial" w:hAnsi="Arial"/>
                <w:sz w:val="4"/>
                <w:szCs w:val="4"/>
                <w:color w:val="FFFFFF"/>
              </w:rPr>
              <w:t>targets for future periods. There are several factors which could cause actual plans and results to differ materially from those expressed or implied in forward-looking statements. Such factors include, but</w:t>
            </w:r>
          </w:p>
        </w:tc>
      </w:tr>
      <w:tr>
        <w:trPr>
          <w:trHeight w:val="36"/>
        </w:trPr>
        <w:tc>
          <w:tcPr>
            <w:tcW w:w="1960" w:type="dxa"/>
            <w:vAlign w:val="bottom"/>
            <w:gridSpan w:val="2"/>
          </w:tcPr>
          <w:p>
            <w:pPr>
              <w:spacing w:after="0" w:line="37" w:lineRule="exact"/>
              <w:rPr>
                <w:sz w:val="20"/>
                <w:szCs w:val="20"/>
                <w:color w:val="auto"/>
              </w:rPr>
            </w:pPr>
            <w:r>
              <w:rPr>
                <w:rFonts w:ascii="Arial" w:cs="Arial" w:eastAsia="Arial" w:hAnsi="Arial"/>
                <w:sz w:val="4"/>
                <w:szCs w:val="4"/>
                <w:color w:val="FFFFFF"/>
              </w:rPr>
              <w:t>are not limited to, (1) the parties’ ability</w:t>
            </w:r>
          </w:p>
        </w:tc>
        <w:tc>
          <w:tcPr>
            <w:tcW w:w="7840" w:type="dxa"/>
            <w:vAlign w:val="bottom"/>
            <w:gridSpan w:val="8"/>
          </w:tcPr>
          <w:p>
            <w:pPr>
              <w:jc w:val="center"/>
              <w:spacing w:after="0" w:line="37" w:lineRule="exact"/>
              <w:rPr>
                <w:sz w:val="20"/>
                <w:szCs w:val="20"/>
                <w:color w:val="auto"/>
              </w:rPr>
            </w:pPr>
            <w:r>
              <w:rPr>
                <w:rFonts w:ascii="Arial" w:cs="Arial" w:eastAsia="Arial" w:hAnsi="Arial"/>
                <w:sz w:val="4"/>
                <w:szCs w:val="4"/>
                <w:color w:val="FFFFFF"/>
              </w:rPr>
              <w:t>meet expectations regarding the timing, completion and accounting and tax treatments of the proposed transaction, (2) changes in relevant tax and other laws,</w:t>
            </w:r>
          </w:p>
        </w:tc>
      </w:tr>
      <w:tr>
        <w:trPr>
          <w:trHeight w:val="36"/>
        </w:trPr>
        <w:tc>
          <w:tcPr>
            <w:tcW w:w="3600" w:type="dxa"/>
            <w:vAlign w:val="bottom"/>
            <w:gridSpan w:val="3"/>
          </w:tcPr>
          <w:p>
            <w:pPr>
              <w:spacing w:after="0" w:line="37" w:lineRule="exact"/>
              <w:rPr>
                <w:sz w:val="20"/>
                <w:szCs w:val="20"/>
                <w:color w:val="auto"/>
              </w:rPr>
            </w:pPr>
            <w:r>
              <w:rPr>
                <w:rFonts w:ascii="Arial" w:cs="Arial" w:eastAsia="Arial" w:hAnsi="Arial"/>
                <w:sz w:val="4"/>
                <w:szCs w:val="4"/>
                <w:color w:val="FFFFFF"/>
              </w:rPr>
              <w:t>(3) any failure to obtain necessa1y regulatory approvals, approval of IFF’</w:t>
            </w:r>
          </w:p>
        </w:tc>
        <w:tc>
          <w:tcPr>
            <w:tcW w:w="3200" w:type="dxa"/>
            <w:vAlign w:val="bottom"/>
            <w:gridSpan w:val="4"/>
          </w:tcPr>
          <w:p>
            <w:pPr>
              <w:spacing w:after="0" w:line="37" w:lineRule="exact"/>
              <w:rPr>
                <w:sz w:val="20"/>
                <w:szCs w:val="20"/>
                <w:color w:val="auto"/>
              </w:rPr>
            </w:pPr>
            <w:r>
              <w:rPr>
                <w:rFonts w:ascii="Arial" w:cs="Arial" w:eastAsia="Arial" w:hAnsi="Arial"/>
                <w:sz w:val="4"/>
                <w:szCs w:val="4"/>
                <w:color w:val="FFFFFF"/>
              </w:rPr>
              <w:t>shareholders, anticipated tax treatment or any required financing</w:t>
            </w:r>
          </w:p>
        </w:tc>
        <w:tc>
          <w:tcPr>
            <w:tcW w:w="3000" w:type="dxa"/>
            <w:vAlign w:val="bottom"/>
            <w:gridSpan w:val="3"/>
          </w:tcPr>
          <w:p>
            <w:pPr>
              <w:ind w:left="60"/>
              <w:spacing w:after="0" w:line="37" w:lineRule="exact"/>
              <w:rPr>
                <w:sz w:val="20"/>
                <w:szCs w:val="20"/>
                <w:color w:val="auto"/>
              </w:rPr>
            </w:pPr>
            <w:r>
              <w:rPr>
                <w:rFonts w:ascii="Arial" w:cs="Arial" w:eastAsia="Arial" w:hAnsi="Arial"/>
                <w:sz w:val="4"/>
                <w:szCs w:val="4"/>
                <w:color w:val="FFFFFF"/>
              </w:rPr>
              <w:t>to satisfy any of the other conditions to the proposed</w:t>
            </w:r>
          </w:p>
        </w:tc>
      </w:tr>
      <w:tr>
        <w:trPr>
          <w:trHeight w:val="36"/>
        </w:trPr>
        <w:tc>
          <w:tcPr>
            <w:tcW w:w="9800" w:type="dxa"/>
            <w:vAlign w:val="bottom"/>
            <w:gridSpan w:val="10"/>
          </w:tcPr>
          <w:p>
            <w:pPr>
              <w:spacing w:after="0" w:line="37" w:lineRule="exact"/>
              <w:rPr>
                <w:sz w:val="20"/>
                <w:szCs w:val="20"/>
                <w:color w:val="auto"/>
              </w:rPr>
            </w:pPr>
            <w:r>
              <w:rPr>
                <w:rFonts w:ascii="Arial" w:cs="Arial" w:eastAsia="Arial" w:hAnsi="Arial"/>
                <w:sz w:val="4"/>
                <w:szCs w:val="4"/>
                <w:color w:val="FFFFFF"/>
              </w:rPr>
              <w:t>transaction, (4) the possibility that unforeseen liabilities, future capital expenditures, revenues, expenses, earnings, syne1gies, economic performance, indebtedness, financial condition, losses, future</w:t>
            </w:r>
          </w:p>
        </w:tc>
      </w:tr>
      <w:tr>
        <w:trPr>
          <w:trHeight w:val="36"/>
        </w:trPr>
        <w:tc>
          <w:tcPr>
            <w:tcW w:w="9800" w:type="dxa"/>
            <w:vAlign w:val="bottom"/>
            <w:gridSpan w:val="10"/>
          </w:tcPr>
          <w:p>
            <w:pPr>
              <w:spacing w:after="0" w:line="37" w:lineRule="exact"/>
              <w:rPr>
                <w:sz w:val="20"/>
                <w:szCs w:val="20"/>
                <w:color w:val="auto"/>
              </w:rPr>
            </w:pPr>
            <w:r>
              <w:rPr>
                <w:rFonts w:ascii="Arial" w:cs="Arial" w:eastAsia="Arial" w:hAnsi="Arial"/>
                <w:sz w:val="4"/>
                <w:szCs w:val="4"/>
                <w:color w:val="FFFFFF"/>
              </w:rPr>
              <w:t>prospects, business and management strategies that could impact the value, timing or pursuit of the proposed transaction, (5) risks and costs and pursuit and/or implementation of the separation of N&amp;Bco,</w:t>
            </w:r>
          </w:p>
        </w:tc>
      </w:tr>
      <w:tr>
        <w:trPr>
          <w:trHeight w:val="36"/>
        </w:trPr>
        <w:tc>
          <w:tcPr>
            <w:tcW w:w="3600" w:type="dxa"/>
            <w:vAlign w:val="bottom"/>
            <w:gridSpan w:val="3"/>
          </w:tcPr>
          <w:p>
            <w:pPr>
              <w:spacing w:after="0" w:line="37" w:lineRule="exact"/>
              <w:rPr>
                <w:sz w:val="20"/>
                <w:szCs w:val="20"/>
                <w:color w:val="auto"/>
              </w:rPr>
            </w:pPr>
            <w:r>
              <w:rPr>
                <w:rFonts w:ascii="Arial" w:cs="Arial" w:eastAsia="Arial" w:hAnsi="Arial"/>
                <w:sz w:val="4"/>
                <w:szCs w:val="4"/>
                <w:color w:val="FFFFFF"/>
              </w:rPr>
              <w:t>including timing anticipated to complete the separation, any changes to the</w:t>
            </w:r>
          </w:p>
        </w:tc>
        <w:tc>
          <w:tcPr>
            <w:tcW w:w="2160" w:type="dxa"/>
            <w:vAlign w:val="bottom"/>
            <w:gridSpan w:val="3"/>
          </w:tcPr>
          <w:p>
            <w:pPr>
              <w:ind w:left="200"/>
              <w:spacing w:after="0" w:line="37" w:lineRule="exact"/>
              <w:rPr>
                <w:sz w:val="20"/>
                <w:szCs w:val="20"/>
                <w:color w:val="auto"/>
              </w:rPr>
            </w:pPr>
            <w:r>
              <w:rPr>
                <w:rFonts w:ascii="Arial" w:cs="Arial" w:eastAsia="Arial" w:hAnsi="Arial"/>
                <w:sz w:val="4"/>
                <w:szCs w:val="4"/>
                <w:color w:val="FFFFFF"/>
              </w:rPr>
              <w:t>figuration of businesses included in the</w:t>
            </w:r>
          </w:p>
        </w:tc>
        <w:tc>
          <w:tcPr>
            <w:tcW w:w="4040" w:type="dxa"/>
            <w:vAlign w:val="bottom"/>
            <w:gridSpan w:val="4"/>
          </w:tcPr>
          <w:p>
            <w:pPr>
              <w:ind w:left="480"/>
              <w:spacing w:after="0" w:line="37" w:lineRule="exact"/>
              <w:rPr>
                <w:sz w:val="20"/>
                <w:szCs w:val="20"/>
                <w:color w:val="auto"/>
              </w:rPr>
            </w:pPr>
            <w:r>
              <w:rPr>
                <w:rFonts w:ascii="Arial" w:cs="Arial" w:eastAsia="Arial" w:hAnsi="Arial"/>
                <w:sz w:val="4"/>
                <w:szCs w:val="4"/>
                <w:color w:val="FFFFFF"/>
              </w:rPr>
              <w:t>if implemented, (6) risks related to indemnification of certain legacy</w:t>
            </w:r>
          </w:p>
        </w:tc>
      </w:tr>
      <w:tr>
        <w:trPr>
          <w:trHeight w:val="36"/>
        </w:trPr>
        <w:tc>
          <w:tcPr>
            <w:tcW w:w="9800" w:type="dxa"/>
            <w:vAlign w:val="bottom"/>
            <w:gridSpan w:val="10"/>
          </w:tcPr>
          <w:p>
            <w:pPr>
              <w:spacing w:after="0" w:line="37" w:lineRule="exact"/>
              <w:rPr>
                <w:sz w:val="20"/>
                <w:szCs w:val="20"/>
                <w:color w:val="auto"/>
              </w:rPr>
            </w:pPr>
            <w:r>
              <w:rPr>
                <w:rFonts w:ascii="Arial" w:cs="Arial" w:eastAsia="Arial" w:hAnsi="Arial"/>
                <w:sz w:val="4"/>
                <w:szCs w:val="4"/>
                <w:color w:val="FFFFFF"/>
              </w:rPr>
              <w:t>liabiliti s of E. I. duPont de Nemours and Company (“Historical EID”) in connection with the distribution of Corteva Inc.separationJune 1, 2019 (the “Corteva Distribution”), (7) potentia/liability arising from</w:t>
            </w:r>
          </w:p>
        </w:tc>
      </w:tr>
      <w:tr>
        <w:trPr>
          <w:trHeight w:val="36"/>
        </w:trPr>
        <w:tc>
          <w:tcPr>
            <w:tcW w:w="9800" w:type="dxa"/>
            <w:vAlign w:val="bottom"/>
            <w:gridSpan w:val="10"/>
          </w:tcPr>
          <w:p>
            <w:pPr>
              <w:spacing w:after="0" w:line="37" w:lineRule="exact"/>
              <w:rPr>
                <w:sz w:val="20"/>
                <w:szCs w:val="20"/>
                <w:color w:val="auto"/>
              </w:rPr>
            </w:pPr>
            <w:r>
              <w:rPr>
                <w:rFonts w:ascii="Arial" w:cs="Arial" w:eastAsia="Arial" w:hAnsi="Arial"/>
                <w:sz w:val="4"/>
                <w:szCs w:val="4"/>
                <w:color w:val="FFFFFF"/>
              </w:rPr>
              <w:t>fraudulent conveyance and similar laws in connection with DuPont’s distribution of Dow Inc. on Apri/1, 2019 and/or the Corteva Distributions (the “Previous Distributions”), (8) failure to effectively</w:t>
            </w:r>
          </w:p>
        </w:tc>
      </w:tr>
      <w:tr>
        <w:trPr>
          <w:trHeight w:val="36"/>
        </w:trPr>
        <w:tc>
          <w:tcPr>
            <w:tcW w:w="9800" w:type="dxa"/>
            <w:vAlign w:val="bottom"/>
            <w:gridSpan w:val="10"/>
          </w:tcPr>
          <w:p>
            <w:pPr>
              <w:spacing w:after="0" w:line="37" w:lineRule="exact"/>
              <w:rPr>
                <w:sz w:val="20"/>
                <w:szCs w:val="20"/>
                <w:color w:val="auto"/>
              </w:rPr>
            </w:pPr>
            <w:r>
              <w:rPr>
                <w:rFonts w:ascii="Arial" w:cs="Arial" w:eastAsia="Arial" w:hAnsi="Arial"/>
                <w:sz w:val="4"/>
                <w:szCs w:val="4"/>
                <w:color w:val="FFFFFF"/>
              </w:rPr>
              <w:t>manage acquisitions, divestitures, alliances, joint ventures and other portfolio changes, including meeting conditions under the Letter Agreement entered in connection with the Corteva Distribution,</w:t>
            </w:r>
          </w:p>
        </w:tc>
      </w:tr>
      <w:tr>
        <w:trPr>
          <w:trHeight w:val="36"/>
        </w:trPr>
        <w:tc>
          <w:tcPr>
            <w:tcW w:w="1960" w:type="dxa"/>
            <w:vAlign w:val="bottom"/>
            <w:gridSpan w:val="2"/>
          </w:tcPr>
          <w:p>
            <w:pPr>
              <w:spacing w:after="0" w:line="37" w:lineRule="exact"/>
              <w:rPr>
                <w:sz w:val="20"/>
                <w:szCs w:val="20"/>
                <w:color w:val="auto"/>
              </w:rPr>
            </w:pPr>
            <w:r>
              <w:rPr>
                <w:rFonts w:ascii="Arial" w:cs="Arial" w:eastAsia="Arial" w:hAnsi="Arial"/>
                <w:sz w:val="4"/>
                <w:szCs w:val="4"/>
                <w:color w:val="FFFFFF"/>
              </w:rPr>
              <w:t>related to the transfer of certain levels of</w:t>
            </w:r>
          </w:p>
        </w:tc>
        <w:tc>
          <w:tcPr>
            <w:tcW w:w="7840" w:type="dxa"/>
            <w:vAlign w:val="bottom"/>
            <w:gridSpan w:val="8"/>
          </w:tcPr>
          <w:p>
            <w:pPr>
              <w:jc w:val="center"/>
              <w:spacing w:after="0" w:line="37" w:lineRule="exact"/>
              <w:rPr>
                <w:sz w:val="20"/>
                <w:szCs w:val="20"/>
                <w:color w:val="auto"/>
              </w:rPr>
            </w:pPr>
            <w:r>
              <w:rPr>
                <w:rFonts w:ascii="Arial" w:cs="Arial" w:eastAsia="Arial" w:hAnsi="Arial"/>
                <w:sz w:val="4"/>
                <w:szCs w:val="4"/>
                <w:color w:val="FFFFFF"/>
              </w:rPr>
              <w:t>and businesses, (9) uncertainty as to the long-term value of DuPont common stock, (10) potential inability or reduced access to the capital markets or</w:t>
            </w:r>
          </w:p>
        </w:tc>
      </w:tr>
      <w:tr>
        <w:trPr>
          <w:trHeight w:val="36"/>
        </w:trPr>
        <w:tc>
          <w:tcPr>
            <w:tcW w:w="1960" w:type="dxa"/>
            <w:vAlign w:val="bottom"/>
            <w:gridSpan w:val="2"/>
          </w:tcPr>
          <w:p>
            <w:pPr>
              <w:spacing w:after="0" w:line="37" w:lineRule="exact"/>
              <w:rPr>
                <w:sz w:val="20"/>
                <w:szCs w:val="20"/>
                <w:color w:val="auto"/>
              </w:rPr>
            </w:pPr>
            <w:r>
              <w:rPr>
                <w:rFonts w:ascii="Arial" w:cs="Arial" w:eastAsia="Arial" w:hAnsi="Arial"/>
                <w:sz w:val="4"/>
                <w:szCs w:val="4"/>
                <w:color w:val="FFFFFF"/>
              </w:rPr>
              <w:t>increased cost of borrowings, including</w:t>
            </w:r>
          </w:p>
        </w:tc>
        <w:tc>
          <w:tcPr>
            <w:tcW w:w="3560" w:type="dxa"/>
            <w:vAlign w:val="bottom"/>
            <w:gridSpan w:val="3"/>
          </w:tcPr>
          <w:p>
            <w:pPr>
              <w:ind w:left="20"/>
              <w:spacing w:after="0" w:line="37" w:lineRule="exact"/>
              <w:rPr>
                <w:sz w:val="20"/>
                <w:szCs w:val="20"/>
                <w:color w:val="auto"/>
              </w:rPr>
            </w:pPr>
            <w:r>
              <w:rPr>
                <w:rFonts w:ascii="Arial" w:cs="Arial" w:eastAsia="Arial" w:hAnsi="Arial"/>
                <w:sz w:val="4"/>
                <w:szCs w:val="4"/>
                <w:color w:val="FFFFFF"/>
              </w:rPr>
              <w:t>assetsresult of  credit rating downgrade, (11) inherent uncertainties</w:t>
            </w:r>
          </w:p>
        </w:tc>
        <w:tc>
          <w:tcPr>
            <w:tcW w:w="2620" w:type="dxa"/>
            <w:vAlign w:val="bottom"/>
            <w:gridSpan w:val="3"/>
          </w:tcPr>
          <w:p>
            <w:pPr>
              <w:ind w:left="80"/>
              <w:spacing w:after="0" w:line="37" w:lineRule="exact"/>
              <w:rPr>
                <w:sz w:val="20"/>
                <w:szCs w:val="20"/>
                <w:color w:val="auto"/>
              </w:rPr>
            </w:pPr>
            <w:r>
              <w:rPr>
                <w:rFonts w:ascii="Arial" w:cs="Arial" w:eastAsia="Arial" w:hAnsi="Arial"/>
                <w:sz w:val="4"/>
                <w:szCs w:val="4"/>
                <w:color w:val="FFFFFF"/>
              </w:rPr>
              <w:t>in the estimates and judgments used in the</w:t>
            </w:r>
          </w:p>
        </w:tc>
        <w:tc>
          <w:tcPr>
            <w:tcW w:w="1660" w:type="dxa"/>
            <w:vAlign w:val="bottom"/>
            <w:gridSpan w:val="2"/>
          </w:tcPr>
          <w:p>
            <w:pPr>
              <w:ind w:left="100"/>
              <w:spacing w:after="0" w:line="37" w:lineRule="exact"/>
              <w:rPr>
                <w:sz w:val="20"/>
                <w:szCs w:val="20"/>
                <w:color w:val="auto"/>
              </w:rPr>
            </w:pPr>
            <w:r>
              <w:rPr>
                <w:rFonts w:ascii="Arial" w:cs="Arial" w:eastAsia="Arial" w:hAnsi="Arial"/>
                <w:sz w:val="4"/>
                <w:szCs w:val="4"/>
                <w:color w:val="FFFFFF"/>
              </w:rPr>
              <w:t>of financial statements and the</w:t>
            </w:r>
          </w:p>
        </w:tc>
      </w:tr>
      <w:tr>
        <w:trPr>
          <w:trHeight w:val="36"/>
        </w:trPr>
        <w:tc>
          <w:tcPr>
            <w:tcW w:w="9800" w:type="dxa"/>
            <w:vAlign w:val="bottom"/>
            <w:gridSpan w:val="10"/>
          </w:tcPr>
          <w:p>
            <w:pPr>
              <w:spacing w:after="0" w:line="37" w:lineRule="exact"/>
              <w:rPr>
                <w:sz w:val="20"/>
                <w:szCs w:val="20"/>
                <w:color w:val="auto"/>
              </w:rPr>
            </w:pPr>
            <w:r>
              <w:rPr>
                <w:rFonts w:ascii="Arial" w:cs="Arial" w:eastAsia="Arial" w:hAnsi="Arial"/>
                <w:sz w:val="4"/>
                <w:szCs w:val="4"/>
                <w:color w:val="FFFFFF"/>
              </w:rPr>
              <w:t>providing of estimates of financial measures, in accordance with the accounting principles generally acceptedinvolvedthe United States of America and related standards,preparationoran adjusted basis, (12) the</w:t>
            </w:r>
          </w:p>
        </w:tc>
      </w:tr>
      <w:tr>
        <w:trPr>
          <w:trHeight w:val="36"/>
        </w:trPr>
        <w:tc>
          <w:tcPr>
            <w:tcW w:w="9800" w:type="dxa"/>
            <w:vAlign w:val="bottom"/>
            <w:gridSpan w:val="10"/>
          </w:tcPr>
          <w:p>
            <w:pPr>
              <w:spacing w:after="0" w:line="37" w:lineRule="exact"/>
              <w:rPr>
                <w:sz w:val="20"/>
                <w:szCs w:val="20"/>
                <w:color w:val="auto"/>
              </w:rPr>
            </w:pPr>
            <w:r>
              <w:rPr>
                <w:rFonts w:ascii="Arial" w:cs="Arial" w:eastAsia="Arial" w:hAnsi="Arial"/>
                <w:sz w:val="4"/>
                <w:szCs w:val="4"/>
                <w:color w:val="FFFFFF"/>
              </w:rPr>
              <w:t>integration of IFF and its Frutarom business andjor N&amp;Bco being more difficult, time consuming or costly than expected, (13) the failure to achieve expected or targeted future financial and opera ing</w:t>
            </w:r>
          </w:p>
        </w:tc>
      </w:tr>
      <w:tr>
        <w:trPr>
          <w:trHeight w:val="36"/>
        </w:trPr>
        <w:tc>
          <w:tcPr>
            <w:tcW w:w="620" w:type="dxa"/>
            <w:vAlign w:val="bottom"/>
          </w:tcPr>
          <w:p>
            <w:pPr>
              <w:spacing w:after="0"/>
              <w:rPr>
                <w:sz w:val="3"/>
                <w:szCs w:val="3"/>
                <w:color w:val="auto"/>
              </w:rPr>
            </w:pPr>
          </w:p>
        </w:tc>
        <w:tc>
          <w:tcPr>
            <w:tcW w:w="9180" w:type="dxa"/>
            <w:vAlign w:val="bottom"/>
            <w:gridSpan w:val="9"/>
          </w:tcPr>
          <w:p>
            <w:pPr>
              <w:ind w:left="20"/>
              <w:spacing w:after="0" w:line="37" w:lineRule="exact"/>
              <w:rPr>
                <w:sz w:val="20"/>
                <w:szCs w:val="20"/>
                <w:color w:val="auto"/>
              </w:rPr>
            </w:pPr>
            <w:r>
              <w:rPr>
                <w:rFonts w:ascii="Arial" w:cs="Arial" w:eastAsia="Arial" w:hAnsi="Arial"/>
                <w:sz w:val="4"/>
                <w:szCs w:val="4"/>
                <w:color w:val="FFFFFF"/>
              </w:rPr>
              <w:t>and results, (14) the possibility that IFF may be unable to achieve expected benefits, synergies and operating efficiencies in connection with the proposed transaction within the expected time</w:t>
            </w:r>
          </w:p>
        </w:tc>
      </w:tr>
      <w:tr>
        <w:trPr>
          <w:trHeight w:val="36"/>
        </w:trPr>
        <w:tc>
          <w:tcPr>
            <w:tcW w:w="9800" w:type="dxa"/>
            <w:vAlign w:val="bottom"/>
            <w:gridSpan w:val="10"/>
          </w:tcPr>
          <w:p>
            <w:pPr>
              <w:spacing w:after="0" w:line="37" w:lineRule="exact"/>
              <w:rPr>
                <w:sz w:val="20"/>
                <w:szCs w:val="20"/>
                <w:color w:val="auto"/>
              </w:rPr>
            </w:pPr>
            <w:r>
              <w:rPr>
                <w:rFonts w:ascii="Arial" w:cs="Arial" w:eastAsia="Arial" w:hAnsi="Arial"/>
                <w:sz w:val="4"/>
                <w:szCs w:val="4"/>
                <w:color w:val="FFFFFF"/>
              </w:rPr>
              <w:t>performanceframesatall or to successfully integrate Frutarom and N&amp;Bco, (15) customer loss and business disruption being greater than expected following the proposed transaction, (16) the impact of divestitures</w:t>
            </w:r>
          </w:p>
        </w:tc>
      </w:tr>
      <w:tr>
        <w:trPr>
          <w:trHeight w:val="36"/>
        </w:trPr>
        <w:tc>
          <w:tcPr>
            <w:tcW w:w="620" w:type="dxa"/>
            <w:vAlign w:val="bottom"/>
          </w:tcPr>
          <w:p>
            <w:pPr>
              <w:spacing w:after="0" w:line="37" w:lineRule="exact"/>
              <w:rPr>
                <w:sz w:val="20"/>
                <w:szCs w:val="20"/>
                <w:color w:val="auto"/>
              </w:rPr>
            </w:pPr>
            <w:r>
              <w:rPr>
                <w:rFonts w:ascii="Arial" w:cs="Arial" w:eastAsia="Arial" w:hAnsi="Arial"/>
                <w:sz w:val="4"/>
                <w:szCs w:val="4"/>
                <w:color w:val="FFFFFF"/>
              </w:rPr>
              <w:t>required as</w:t>
            </w:r>
          </w:p>
        </w:tc>
        <w:tc>
          <w:tcPr>
            <w:tcW w:w="3740" w:type="dxa"/>
            <w:vAlign w:val="bottom"/>
            <w:gridSpan w:val="3"/>
          </w:tcPr>
          <w:p>
            <w:pPr>
              <w:ind w:left="20"/>
              <w:spacing w:after="0" w:line="37" w:lineRule="exact"/>
              <w:rPr>
                <w:sz w:val="20"/>
                <w:szCs w:val="20"/>
                <w:color w:val="auto"/>
              </w:rPr>
            </w:pPr>
            <w:r>
              <w:rPr>
                <w:rFonts w:ascii="Arial" w:cs="Arial" w:eastAsia="Arial" w:hAnsi="Arial"/>
                <w:sz w:val="4"/>
                <w:szCs w:val="4"/>
                <w:color w:val="FFFFFF"/>
              </w:rPr>
              <w:t>condition to consummation of he proposed transaction as well as other</w:t>
            </w:r>
          </w:p>
        </w:tc>
        <w:tc>
          <w:tcPr>
            <w:tcW w:w="5440" w:type="dxa"/>
            <w:vAlign w:val="bottom"/>
            <w:gridSpan w:val="6"/>
          </w:tcPr>
          <w:p>
            <w:pPr>
              <w:ind w:left="300"/>
              <w:spacing w:after="0" w:line="37" w:lineRule="exact"/>
              <w:rPr>
                <w:sz w:val="20"/>
                <w:szCs w:val="20"/>
                <w:color w:val="auto"/>
              </w:rPr>
            </w:pPr>
            <w:r>
              <w:rPr>
                <w:rFonts w:ascii="Arial" w:cs="Arial" w:eastAsia="Arial" w:hAnsi="Arial"/>
                <w:sz w:val="4"/>
                <w:szCs w:val="4"/>
                <w:color w:val="FFFFFF"/>
              </w:rPr>
              <w:t>commitments, (17) legislativ , regulatory and economic developments; (18) an  crease or decrease in the</w:t>
            </w:r>
          </w:p>
        </w:tc>
      </w:tr>
      <w:tr>
        <w:trPr>
          <w:trHeight w:val="0"/>
        </w:trPr>
        <w:tc>
          <w:tcPr>
            <w:tcW w:w="8280" w:type="dxa"/>
            <w:vAlign w:val="bottom"/>
            <w:gridSpan w:val="9"/>
          </w:tcPr>
          <w:p>
            <w:pPr>
              <w:spacing w:after="0" w:line="71" w:lineRule="exact"/>
              <w:rPr>
                <w:sz w:val="20"/>
                <w:szCs w:val="20"/>
                <w:color w:val="auto"/>
              </w:rPr>
            </w:pPr>
            <w:r>
              <w:rPr>
                <w:rFonts w:ascii="Arial" w:cs="Arial" w:eastAsia="Arial" w:hAnsi="Arial"/>
                <w:sz w:val="8"/>
                <w:szCs w:val="8"/>
                <w:color w:val="FFFFFF"/>
              </w:rPr>
              <w:t>anticipated transaction taxes (including due to any changes to tax legislation and its impactconditionaltax rates (and the timing of the effectiveness of any such changes)) to be paid</w:t>
            </w:r>
          </w:p>
        </w:tc>
        <w:tc>
          <w:tcPr>
            <w:tcW w:w="1520" w:type="dxa"/>
            <w:vAlign w:val="bottom"/>
          </w:tcPr>
          <w:p>
            <w:pPr>
              <w:jc w:val="center"/>
              <w:ind w:right="270"/>
              <w:spacing w:after="0" w:line="71" w:lineRule="exact"/>
              <w:rPr>
                <w:sz w:val="20"/>
                <w:szCs w:val="20"/>
                <w:color w:val="auto"/>
              </w:rPr>
            </w:pPr>
            <w:r>
              <w:rPr>
                <w:rFonts w:ascii="Arial" w:cs="Arial" w:eastAsia="Arial" w:hAnsi="Arial"/>
                <w:sz w:val="8"/>
                <w:szCs w:val="8"/>
                <w:color w:val="FFFFFF"/>
              </w:rPr>
              <w:t>connection with the</w:t>
            </w:r>
          </w:p>
        </w:tc>
      </w:tr>
    </w:tbl>
    <w:p>
      <w:pPr>
        <w:spacing w:after="0" w:line="205" w:lineRule="auto"/>
        <w:rPr>
          <w:sz w:val="20"/>
          <w:szCs w:val="20"/>
          <w:color w:val="auto"/>
        </w:rPr>
      </w:pPr>
      <w:r>
        <w:rPr>
          <w:rFonts w:ascii="Arial" w:cs="Arial" w:eastAsia="Arial" w:hAnsi="Arial"/>
          <w:sz w:val="11"/>
          <w:szCs w:val="11"/>
          <w:color w:val="FFFFFF"/>
        </w:rPr>
        <w:t>separation prior to the closing of the transactions could cause an adjustment to the exchange ratio, (19) potentia/litigation relating to the proposed transaction that could be instituted against DuPont, IFF</w:t>
      </w:r>
    </w:p>
    <w:p>
      <w:pPr>
        <w:sectPr>
          <w:pgSz w:w="11900" w:h="16838" w:orient="portrait"/>
          <w:cols w:equalWidth="0" w:num="1">
            <w:col w:w="9800"/>
          </w:cols>
          <w:pgMar w:left="1060" w:top="1440" w:right="103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760" w:type="dxa"/>
            <w:vAlign w:val="bottom"/>
            <w:gridSpan w:val="9"/>
          </w:tcPr>
          <w:p>
            <w:pPr>
              <w:spacing w:after="0"/>
              <w:rPr>
                <w:sz w:val="20"/>
                <w:szCs w:val="20"/>
                <w:color w:val="auto"/>
              </w:rPr>
            </w:pPr>
            <w:r>
              <w:rPr>
                <w:rFonts w:ascii="Arial" w:cs="Arial" w:eastAsia="Arial" w:hAnsi="Arial"/>
                <w:sz w:val="12"/>
                <w:szCs w:val="12"/>
                <w:color w:val="FFFFFF"/>
                <w:w w:val="93"/>
              </w:rPr>
              <w:t>or their respective directors, (20) risks associated with third party contracts containing consent andjor other provisions that may be triggered by the proposed transaction, (21) negative effects of the</w:t>
            </w:r>
          </w:p>
        </w:tc>
      </w:tr>
      <w:tr>
        <w:trPr>
          <w:trHeight w:val="36"/>
        </w:trPr>
        <w:tc>
          <w:tcPr>
            <w:tcW w:w="2220" w:type="dxa"/>
            <w:vAlign w:val="bottom"/>
            <w:gridSpan w:val="3"/>
          </w:tcPr>
          <w:p>
            <w:pPr>
              <w:spacing w:after="0" w:line="37" w:lineRule="exact"/>
              <w:rPr>
                <w:sz w:val="20"/>
                <w:szCs w:val="20"/>
                <w:color w:val="auto"/>
              </w:rPr>
            </w:pPr>
            <w:r>
              <w:rPr>
                <w:rFonts w:ascii="Arial" w:cs="Arial" w:eastAsia="Arial" w:hAnsi="Arial"/>
                <w:sz w:val="4"/>
                <w:szCs w:val="4"/>
                <w:color w:val="FFFFFF"/>
              </w:rPr>
              <w:t>announcement or the consummation of the</w:t>
            </w:r>
          </w:p>
        </w:tc>
        <w:tc>
          <w:tcPr>
            <w:tcW w:w="7540" w:type="dxa"/>
            <w:vAlign w:val="bottom"/>
            <w:gridSpan w:val="6"/>
          </w:tcPr>
          <w:p>
            <w:pPr>
              <w:ind w:left="420"/>
              <w:spacing w:after="0" w:line="37" w:lineRule="exact"/>
              <w:rPr>
                <w:sz w:val="20"/>
                <w:szCs w:val="20"/>
                <w:color w:val="auto"/>
              </w:rPr>
            </w:pPr>
            <w:r>
              <w:rPr>
                <w:rFonts w:ascii="Arial" w:cs="Arial" w:eastAsia="Arial" w:hAnsi="Arial"/>
                <w:sz w:val="4"/>
                <w:szCs w:val="4"/>
                <w:color w:val="FFFFFF"/>
              </w:rPr>
              <w:t>on the market price of DuPont’s andjor IFF’ common stock, (22) risks relating to the value of the IFF shares to be issued in the transaction and</w:t>
            </w:r>
          </w:p>
        </w:tc>
      </w:tr>
      <w:tr>
        <w:trPr>
          <w:trHeight w:val="36"/>
        </w:trPr>
        <w:tc>
          <w:tcPr>
            <w:tcW w:w="9760" w:type="dxa"/>
            <w:vAlign w:val="bottom"/>
            <w:gridSpan w:val="9"/>
          </w:tcPr>
          <w:p>
            <w:pPr>
              <w:spacing w:after="0" w:line="37" w:lineRule="exact"/>
              <w:rPr>
                <w:sz w:val="20"/>
                <w:szCs w:val="20"/>
                <w:color w:val="auto"/>
              </w:rPr>
            </w:pPr>
            <w:r>
              <w:rPr>
                <w:rFonts w:ascii="Arial" w:cs="Arial" w:eastAsia="Arial" w:hAnsi="Arial"/>
                <w:sz w:val="4"/>
                <w:szCs w:val="4"/>
                <w:color w:val="FFFFFF"/>
              </w:rPr>
              <w:t>uncertainty as to the long-term value of IFF’transactioncommon stock, (23) risks relating to IFF’s ongoing investigations into improper payments made in Frutarom businesses principally operating in Russia and</w:t>
            </w:r>
          </w:p>
        </w:tc>
      </w:tr>
      <w:tr>
        <w:trPr>
          <w:trHeight w:val="36"/>
        </w:trPr>
        <w:tc>
          <w:tcPr>
            <w:tcW w:w="8940" w:type="dxa"/>
            <w:vAlign w:val="bottom"/>
            <w:gridSpan w:val="8"/>
          </w:tcPr>
          <w:p>
            <w:pPr>
              <w:spacing w:after="0" w:line="37" w:lineRule="exact"/>
              <w:rPr>
                <w:sz w:val="20"/>
                <w:szCs w:val="20"/>
                <w:color w:val="auto"/>
              </w:rPr>
            </w:pPr>
            <w:r>
              <w:rPr>
                <w:rFonts w:ascii="Arial" w:cs="Arial" w:eastAsia="Arial" w:hAnsi="Arial"/>
                <w:sz w:val="4"/>
                <w:szCs w:val="4"/>
                <w:color w:val="FFFFFF"/>
              </w:rPr>
              <w:t>the Ukraine, including expens s incurred with respect to the investigations, the cost of any remedial measures or compliance programs arising out of the investigations, legal proceedings</w:t>
            </w:r>
          </w:p>
        </w:tc>
        <w:tc>
          <w:tcPr>
            <w:tcW w:w="820" w:type="dxa"/>
            <w:vAlign w:val="bottom"/>
          </w:tcPr>
          <w:p>
            <w:pPr>
              <w:ind w:left="140"/>
              <w:spacing w:after="0" w:line="37" w:lineRule="exact"/>
              <w:rPr>
                <w:sz w:val="20"/>
                <w:szCs w:val="20"/>
                <w:color w:val="auto"/>
              </w:rPr>
            </w:pPr>
            <w:r>
              <w:rPr>
                <w:rFonts w:ascii="Arial" w:cs="Arial" w:eastAsia="Arial" w:hAnsi="Arial"/>
                <w:sz w:val="4"/>
                <w:szCs w:val="4"/>
                <w:color w:val="FFFFFF"/>
              </w:rPr>
              <w:t>government</w:t>
            </w:r>
          </w:p>
        </w:tc>
      </w:tr>
      <w:tr>
        <w:trPr>
          <w:trHeight w:val="36"/>
        </w:trPr>
        <w:tc>
          <w:tcPr>
            <w:tcW w:w="7400" w:type="dxa"/>
            <w:vAlign w:val="bottom"/>
            <w:gridSpan w:val="7"/>
          </w:tcPr>
          <w:p>
            <w:pPr>
              <w:ind w:left="80"/>
              <w:spacing w:after="0" w:line="37" w:lineRule="exact"/>
              <w:rPr>
                <w:sz w:val="20"/>
                <w:szCs w:val="20"/>
                <w:color w:val="auto"/>
              </w:rPr>
            </w:pPr>
            <w:r>
              <w:rPr>
                <w:rFonts w:ascii="Arial" w:cs="Arial" w:eastAsia="Arial" w:hAnsi="Arial"/>
                <w:sz w:val="4"/>
                <w:szCs w:val="4"/>
                <w:color w:val="FFFFFF"/>
              </w:rPr>
              <w:t>vestigations that may arise relating to the subject of IFF’s investigations, and the outcome of any such legal or government investigations, such as the</w:t>
            </w:r>
          </w:p>
        </w:tc>
        <w:tc>
          <w:tcPr>
            <w:tcW w:w="2360" w:type="dxa"/>
            <w:vAlign w:val="bottom"/>
            <w:gridSpan w:val="2"/>
          </w:tcPr>
          <w:p>
            <w:pPr>
              <w:ind w:left="440"/>
              <w:spacing w:after="0" w:line="37" w:lineRule="exact"/>
              <w:rPr>
                <w:sz w:val="20"/>
                <w:szCs w:val="20"/>
                <w:color w:val="auto"/>
              </w:rPr>
            </w:pPr>
            <w:r>
              <w:rPr>
                <w:rFonts w:ascii="Arial" w:cs="Arial" w:eastAsia="Arial" w:hAnsi="Arial"/>
                <w:sz w:val="4"/>
                <w:szCs w:val="4"/>
                <w:color w:val="FFFFFF"/>
              </w:rPr>
              <w:t>of fines, penalties, orders, or</w:t>
            </w:r>
          </w:p>
        </w:tc>
      </w:tr>
      <w:tr>
        <w:trPr>
          <w:trHeight w:val="36"/>
        </w:trPr>
        <w:tc>
          <w:tcPr>
            <w:tcW w:w="9760" w:type="dxa"/>
            <w:vAlign w:val="bottom"/>
            <w:gridSpan w:val="9"/>
          </w:tcPr>
          <w:p>
            <w:pPr>
              <w:spacing w:after="0" w:line="37" w:lineRule="exact"/>
              <w:rPr>
                <w:sz w:val="20"/>
                <w:szCs w:val="20"/>
                <w:color w:val="auto"/>
              </w:rPr>
            </w:pPr>
            <w:r>
              <w:rPr>
                <w:rFonts w:ascii="Arial" w:cs="Arial" w:eastAsia="Arial" w:hAnsi="Arial"/>
                <w:sz w:val="4"/>
                <w:szCs w:val="4"/>
                <w:color w:val="FFFFFF"/>
              </w:rPr>
              <w:t>injunctions, (24) the impact of the failure to comply with U.S. or foreign an i-corruption and anti-bribery laws and regulations, including with respect toimpositionIFF’ongoing investigations into improper</w:t>
            </w:r>
          </w:p>
        </w:tc>
      </w:tr>
      <w:tr>
        <w:trPr>
          <w:trHeight w:val="36"/>
        </w:trPr>
        <w:tc>
          <w:tcPr>
            <w:tcW w:w="9760" w:type="dxa"/>
            <w:vAlign w:val="bottom"/>
            <w:gridSpan w:val="9"/>
          </w:tcPr>
          <w:p>
            <w:pPr>
              <w:spacing w:after="0" w:line="37" w:lineRule="exact"/>
              <w:rPr>
                <w:sz w:val="20"/>
                <w:szCs w:val="20"/>
                <w:color w:val="auto"/>
              </w:rPr>
            </w:pPr>
            <w:r>
              <w:rPr>
                <w:rFonts w:ascii="Arial" w:cs="Arial" w:eastAsia="Arial" w:hAnsi="Arial"/>
                <w:sz w:val="4"/>
                <w:szCs w:val="4"/>
                <w:color w:val="FFFFFF"/>
              </w:rPr>
              <w:t>payments made in Frutarom businesses principally operating in Russia and the Ukraine, (25) the impact of the outcome of legal claims, regulatory investigations and litigation, including any that may</w:t>
            </w:r>
          </w:p>
        </w:tc>
      </w:tr>
      <w:tr>
        <w:trPr>
          <w:trHeight w:val="36"/>
        </w:trPr>
        <w:tc>
          <w:tcPr>
            <w:tcW w:w="9760" w:type="dxa"/>
            <w:vAlign w:val="bottom"/>
            <w:gridSpan w:val="9"/>
          </w:tcPr>
          <w:p>
            <w:pPr>
              <w:spacing w:after="0" w:line="37" w:lineRule="exact"/>
              <w:rPr>
                <w:sz w:val="20"/>
                <w:szCs w:val="20"/>
                <w:color w:val="auto"/>
              </w:rPr>
            </w:pPr>
            <w:r>
              <w:rPr>
                <w:rFonts w:ascii="Arial" w:cs="Arial" w:eastAsia="Arial" w:hAnsi="Arial"/>
                <w:sz w:val="4"/>
                <w:szCs w:val="4"/>
                <w:color w:val="FFFFFF"/>
              </w:rPr>
              <w:t>arise out of IFF’s ongoing investigations into improper payments made in Frutarom businesses principally operating in Russia and the Ukraine, (26) the ability of N&amp;Bco or IFF to retain and hire key</w:t>
            </w:r>
          </w:p>
        </w:tc>
      </w:tr>
      <w:tr>
        <w:trPr>
          <w:trHeight w:val="36"/>
        </w:trPr>
        <w:tc>
          <w:tcPr>
            <w:tcW w:w="6780" w:type="dxa"/>
            <w:vAlign w:val="bottom"/>
            <w:gridSpan w:val="6"/>
          </w:tcPr>
          <w:p>
            <w:pPr>
              <w:spacing w:after="0" w:line="37" w:lineRule="exact"/>
              <w:rPr>
                <w:sz w:val="20"/>
                <w:szCs w:val="20"/>
                <w:color w:val="auto"/>
              </w:rPr>
            </w:pPr>
            <w:r>
              <w:rPr>
                <w:rFonts w:ascii="Arial" w:cs="Arial" w:eastAsia="Arial" w:hAnsi="Arial"/>
                <w:sz w:val="4"/>
                <w:szCs w:val="4"/>
                <w:color w:val="FFFFFF"/>
              </w:rPr>
              <w:t>personnel, (27) the risk that N&amp;Bco, as a newly formed entity that currently has no credit rating, will not have access to the capital markets</w:t>
            </w:r>
          </w:p>
        </w:tc>
        <w:tc>
          <w:tcPr>
            <w:tcW w:w="2980" w:type="dxa"/>
            <w:vAlign w:val="bottom"/>
            <w:gridSpan w:val="3"/>
          </w:tcPr>
          <w:p>
            <w:pPr>
              <w:ind w:left="80"/>
              <w:spacing w:after="0" w:line="37" w:lineRule="exact"/>
              <w:rPr>
                <w:sz w:val="20"/>
                <w:szCs w:val="20"/>
                <w:color w:val="auto"/>
              </w:rPr>
            </w:pPr>
            <w:r>
              <w:rPr>
                <w:rFonts w:ascii="Arial" w:cs="Arial" w:eastAsia="Arial" w:hAnsi="Arial"/>
                <w:sz w:val="4"/>
                <w:szCs w:val="4"/>
                <w:color w:val="FFFFFF"/>
              </w:rPr>
              <w:t>acceptable terms, (28) the risk that N&amp;Bco and IFF will</w:t>
            </w:r>
          </w:p>
        </w:tc>
      </w:tr>
      <w:tr>
        <w:trPr>
          <w:trHeight w:val="36"/>
        </w:trPr>
        <w:tc>
          <w:tcPr>
            <w:tcW w:w="8940" w:type="dxa"/>
            <w:vAlign w:val="bottom"/>
            <w:gridSpan w:val="8"/>
          </w:tcPr>
          <w:p>
            <w:pPr>
              <w:spacing w:after="0" w:line="37" w:lineRule="exact"/>
              <w:rPr>
                <w:sz w:val="20"/>
                <w:szCs w:val="20"/>
                <w:color w:val="auto"/>
              </w:rPr>
            </w:pPr>
            <w:r>
              <w:rPr>
                <w:rFonts w:ascii="Arial" w:cs="Arial" w:eastAsia="Arial" w:hAnsi="Arial"/>
                <w:sz w:val="4"/>
                <w:szCs w:val="4"/>
                <w:color w:val="FFFFFF"/>
              </w:rPr>
              <w:t>incur significant indebtedness in connection with the potential transaction, and the degree to which IFF will be leveraged following completion of the potential transaction may</w:t>
            </w:r>
          </w:p>
        </w:tc>
        <w:tc>
          <w:tcPr>
            <w:tcW w:w="820" w:type="dxa"/>
            <w:vAlign w:val="bottom"/>
          </w:tcPr>
          <w:p>
            <w:pPr>
              <w:ind w:left="40"/>
              <w:spacing w:after="0" w:line="37" w:lineRule="exact"/>
              <w:rPr>
                <w:sz w:val="20"/>
                <w:szCs w:val="20"/>
                <w:color w:val="auto"/>
              </w:rPr>
            </w:pPr>
            <w:r>
              <w:rPr>
                <w:rFonts w:ascii="Arial" w:cs="Arial" w:eastAsia="Arial" w:hAnsi="Arial"/>
                <w:sz w:val="4"/>
                <w:szCs w:val="4"/>
                <w:color w:val="FFFFFF"/>
              </w:rPr>
              <w:t>and adversely</w:t>
            </w:r>
          </w:p>
        </w:tc>
      </w:tr>
      <w:tr>
        <w:trPr>
          <w:trHeight w:val="36"/>
        </w:trPr>
        <w:tc>
          <w:tcPr>
            <w:tcW w:w="420" w:type="dxa"/>
            <w:vAlign w:val="bottom"/>
          </w:tcPr>
          <w:p>
            <w:pPr>
              <w:spacing w:after="0" w:line="37" w:lineRule="exact"/>
              <w:rPr>
                <w:sz w:val="20"/>
                <w:szCs w:val="20"/>
                <w:color w:val="auto"/>
              </w:rPr>
            </w:pPr>
            <w:r>
              <w:rPr>
                <w:rFonts w:ascii="Arial" w:cs="Arial" w:eastAsia="Arial" w:hAnsi="Arial"/>
                <w:sz w:val="4"/>
                <w:szCs w:val="4"/>
                <w:color w:val="FFFFFF"/>
              </w:rPr>
              <w:t>affect its</w:t>
            </w:r>
          </w:p>
        </w:tc>
        <w:tc>
          <w:tcPr>
            <w:tcW w:w="9340" w:type="dxa"/>
            <w:vAlign w:val="bottom"/>
            <w:gridSpan w:val="8"/>
          </w:tcPr>
          <w:p>
            <w:pPr>
              <w:ind w:left="480"/>
              <w:spacing w:after="0" w:line="37" w:lineRule="exact"/>
              <w:rPr>
                <w:sz w:val="20"/>
                <w:szCs w:val="20"/>
                <w:color w:val="auto"/>
              </w:rPr>
            </w:pPr>
            <w:r>
              <w:rPr>
                <w:rFonts w:ascii="Arial" w:cs="Arial" w:eastAsia="Arial" w:hAnsi="Arial"/>
                <w:sz w:val="4"/>
                <w:szCs w:val="4"/>
                <w:color w:val="FFFFFF"/>
              </w:rPr>
              <w:t>financial condition and results of operations, (29) the ability to obtain or consummate financing or refinancing related to the transaction upon acceptable termsmateriallyorall, and (30) other</w:t>
            </w:r>
          </w:p>
        </w:tc>
      </w:tr>
      <w:tr>
        <w:trPr>
          <w:trHeight w:val="36"/>
        </w:trPr>
        <w:tc>
          <w:tcPr>
            <w:tcW w:w="1360" w:type="dxa"/>
            <w:vAlign w:val="bottom"/>
            <w:gridSpan w:val="2"/>
          </w:tcPr>
          <w:p>
            <w:pPr>
              <w:spacing w:after="0" w:line="37" w:lineRule="exact"/>
              <w:rPr>
                <w:sz w:val="20"/>
                <w:szCs w:val="20"/>
                <w:color w:val="auto"/>
              </w:rPr>
            </w:pPr>
            <w:r>
              <w:rPr>
                <w:rFonts w:ascii="Arial" w:cs="Arial" w:eastAsia="Arial" w:hAnsi="Arial"/>
                <w:sz w:val="4"/>
                <w:szCs w:val="4"/>
                <w:color w:val="FFFFFF"/>
              </w:rPr>
              <w:t>risks to DuPont’business, N&amp;Bco’</w:t>
            </w:r>
          </w:p>
        </w:tc>
        <w:tc>
          <w:tcPr>
            <w:tcW w:w="2920" w:type="dxa"/>
            <w:vAlign w:val="bottom"/>
            <w:gridSpan w:val="2"/>
          </w:tcPr>
          <w:p>
            <w:pPr>
              <w:spacing w:after="0" w:line="37" w:lineRule="exact"/>
              <w:rPr>
                <w:sz w:val="20"/>
                <w:szCs w:val="20"/>
                <w:color w:val="auto"/>
              </w:rPr>
            </w:pPr>
            <w:r>
              <w:rPr>
                <w:rFonts w:ascii="Arial" w:cs="Arial" w:eastAsia="Arial" w:hAnsi="Arial"/>
                <w:sz w:val="4"/>
                <w:szCs w:val="4"/>
                <w:color w:val="FFFFFF"/>
              </w:rPr>
              <w:t>and IFF’s business, operations and results of operations</w:t>
            </w:r>
          </w:p>
        </w:tc>
        <w:tc>
          <w:tcPr>
            <w:tcW w:w="5480" w:type="dxa"/>
            <w:vAlign w:val="bottom"/>
            <w:gridSpan w:val="5"/>
          </w:tcPr>
          <w:p>
            <w:pPr>
              <w:ind w:left="260"/>
              <w:spacing w:after="0" w:line="37" w:lineRule="exact"/>
              <w:rPr>
                <w:sz w:val="20"/>
                <w:szCs w:val="20"/>
                <w:color w:val="auto"/>
              </w:rPr>
            </w:pPr>
            <w:r>
              <w:rPr>
                <w:rFonts w:ascii="Arial" w:cs="Arial" w:eastAsia="Arial" w:hAnsi="Arial"/>
                <w:sz w:val="4"/>
                <w:szCs w:val="4"/>
                <w:color w:val="FFFFFF"/>
              </w:rPr>
              <w:t>from: failure to develop and market new products and optimally manage product life cycles; ability, cost and</w:t>
            </w:r>
          </w:p>
        </w:tc>
      </w:tr>
      <w:tr>
        <w:trPr>
          <w:trHeight w:val="36"/>
        </w:trPr>
        <w:tc>
          <w:tcPr>
            <w:tcW w:w="9760" w:type="dxa"/>
            <w:vAlign w:val="bottom"/>
            <w:gridSpan w:val="9"/>
          </w:tcPr>
          <w:p>
            <w:pPr>
              <w:spacing w:after="0" w:line="37" w:lineRule="exact"/>
              <w:rPr>
                <w:sz w:val="20"/>
                <w:szCs w:val="20"/>
                <w:color w:val="auto"/>
              </w:rPr>
            </w:pPr>
            <w:r>
              <w:rPr>
                <w:rFonts w:ascii="Arial" w:cs="Arial" w:eastAsia="Arial" w:hAnsi="Arial"/>
                <w:sz w:val="4"/>
                <w:szCs w:val="4"/>
                <w:color w:val="FFFFFF"/>
              </w:rPr>
              <w:t>impact on business operations, including the supply chain, of responding to changes includingmarket acceptance, rules, regulations and policies and failure to respond to such changes; outcome of significant</w:t>
            </w:r>
          </w:p>
        </w:tc>
      </w:tr>
      <w:tr>
        <w:trPr>
          <w:trHeight w:val="36"/>
        </w:trPr>
        <w:tc>
          <w:tcPr>
            <w:tcW w:w="9760" w:type="dxa"/>
            <w:vAlign w:val="bottom"/>
            <w:gridSpan w:val="9"/>
          </w:tcPr>
          <w:p>
            <w:pPr>
              <w:spacing w:after="0" w:line="37" w:lineRule="exact"/>
              <w:rPr>
                <w:sz w:val="20"/>
                <w:szCs w:val="20"/>
                <w:color w:val="auto"/>
              </w:rPr>
            </w:pPr>
            <w:r>
              <w:rPr>
                <w:rFonts w:ascii="Arial" w:cs="Arial" w:eastAsia="Arial" w:hAnsi="Arial"/>
                <w:sz w:val="4"/>
                <w:szCs w:val="4"/>
                <w:color w:val="FFFFFF"/>
              </w:rPr>
              <w:t>litigation, environmental matters and other commitments and contingencies; failure to appropriately manage process safety and product stewardship issues; global economic and capita/market conditions,</w:t>
            </w:r>
          </w:p>
        </w:tc>
      </w:tr>
      <w:tr>
        <w:trPr>
          <w:trHeight w:val="36"/>
        </w:trPr>
        <w:tc>
          <w:tcPr>
            <w:tcW w:w="2220" w:type="dxa"/>
            <w:vAlign w:val="bottom"/>
            <w:gridSpan w:val="3"/>
          </w:tcPr>
          <w:p>
            <w:pPr>
              <w:spacing w:after="0" w:line="37" w:lineRule="exact"/>
              <w:rPr>
                <w:sz w:val="20"/>
                <w:szCs w:val="20"/>
                <w:color w:val="auto"/>
              </w:rPr>
            </w:pPr>
            <w:r>
              <w:rPr>
                <w:rFonts w:ascii="Arial" w:cs="Arial" w:eastAsia="Arial" w:hAnsi="Arial"/>
                <w:sz w:val="4"/>
                <w:szCs w:val="4"/>
                <w:color w:val="FFFFFF"/>
              </w:rPr>
              <w:t>including the continued availability of capital</w:t>
            </w:r>
          </w:p>
        </w:tc>
        <w:tc>
          <w:tcPr>
            <w:tcW w:w="7540" w:type="dxa"/>
            <w:vAlign w:val="bottom"/>
            <w:gridSpan w:val="6"/>
          </w:tcPr>
          <w:p>
            <w:pPr>
              <w:ind w:left="40"/>
              <w:spacing w:after="0" w:line="37" w:lineRule="exact"/>
              <w:rPr>
                <w:sz w:val="20"/>
                <w:szCs w:val="20"/>
                <w:color w:val="auto"/>
              </w:rPr>
            </w:pPr>
            <w:r>
              <w:rPr>
                <w:rFonts w:ascii="Arial" w:cs="Arial" w:eastAsia="Arial" w:hAnsi="Arial"/>
                <w:sz w:val="4"/>
                <w:szCs w:val="4"/>
                <w:color w:val="FFFFFF"/>
              </w:rPr>
              <w:t>nd financing, as well as inflation, interest and currency exchange rates; changes in political conditions, including tariffs, trade disputes and retaliat01y</w:t>
            </w:r>
          </w:p>
        </w:tc>
      </w:tr>
      <w:tr>
        <w:trPr>
          <w:trHeight w:val="36"/>
        </w:trPr>
        <w:tc>
          <w:tcPr>
            <w:tcW w:w="9760" w:type="dxa"/>
            <w:vAlign w:val="bottom"/>
            <w:gridSpan w:val="9"/>
          </w:tcPr>
          <w:p>
            <w:pPr>
              <w:spacing w:after="0" w:line="37" w:lineRule="exact"/>
              <w:rPr>
                <w:sz w:val="20"/>
                <w:szCs w:val="20"/>
                <w:color w:val="auto"/>
              </w:rPr>
            </w:pPr>
            <w:r>
              <w:rPr>
                <w:rFonts w:ascii="Arial" w:cs="Arial" w:eastAsia="Arial" w:hAnsi="Arial"/>
                <w:sz w:val="4"/>
                <w:szCs w:val="4"/>
                <w:color w:val="FFFFFF"/>
              </w:rPr>
              <w:t>actions; impairment of goodwill or intangible assets; the availability of and fluctuations in the cost of enetgy and raw materials; business or supply disruption, including in connection with the Previous</w:t>
            </w:r>
          </w:p>
        </w:tc>
      </w:tr>
      <w:tr>
        <w:trPr>
          <w:trHeight w:val="36"/>
        </w:trPr>
        <w:tc>
          <w:tcPr>
            <w:tcW w:w="7400" w:type="dxa"/>
            <w:vAlign w:val="bottom"/>
            <w:gridSpan w:val="7"/>
          </w:tcPr>
          <w:p>
            <w:pPr>
              <w:spacing w:after="0" w:line="37" w:lineRule="exact"/>
              <w:rPr>
                <w:sz w:val="20"/>
                <w:szCs w:val="20"/>
                <w:color w:val="auto"/>
              </w:rPr>
            </w:pPr>
            <w:r>
              <w:rPr>
                <w:rFonts w:ascii="Arial" w:cs="Arial" w:eastAsia="Arial" w:hAnsi="Arial"/>
                <w:sz w:val="4"/>
                <w:szCs w:val="4"/>
                <w:color w:val="FFFFFF"/>
              </w:rPr>
              <w:t>Distributions; security threats, such as acts of sabotage, terrorism or wat; natural disasters and weather events and patterns which could result in a</w:t>
            </w:r>
          </w:p>
        </w:tc>
        <w:tc>
          <w:tcPr>
            <w:tcW w:w="2360" w:type="dxa"/>
            <w:vAlign w:val="bottom"/>
            <w:gridSpan w:val="2"/>
          </w:tcPr>
          <w:p>
            <w:pPr>
              <w:ind w:left="160"/>
              <w:spacing w:after="0" w:line="37" w:lineRule="exact"/>
              <w:rPr>
                <w:sz w:val="20"/>
                <w:szCs w:val="20"/>
                <w:color w:val="auto"/>
              </w:rPr>
            </w:pPr>
            <w:r>
              <w:rPr>
                <w:rFonts w:ascii="Arial" w:cs="Arial" w:eastAsia="Arial" w:hAnsi="Arial"/>
                <w:sz w:val="4"/>
                <w:szCs w:val="4"/>
                <w:color w:val="FFFFFF"/>
              </w:rPr>
              <w:t>operational event for DuPont, N&amp;Bco or IFF,</w:t>
            </w:r>
          </w:p>
        </w:tc>
      </w:tr>
      <w:tr>
        <w:trPr>
          <w:trHeight w:val="36"/>
        </w:trPr>
        <w:tc>
          <w:tcPr>
            <w:tcW w:w="9760" w:type="dxa"/>
            <w:vAlign w:val="bottom"/>
            <w:gridSpan w:val="9"/>
          </w:tcPr>
          <w:p>
            <w:pPr>
              <w:spacing w:after="0" w:line="37" w:lineRule="exact"/>
              <w:rPr>
                <w:sz w:val="20"/>
                <w:szCs w:val="20"/>
                <w:color w:val="auto"/>
              </w:rPr>
            </w:pPr>
            <w:r>
              <w:rPr>
                <w:rFonts w:ascii="Arial" w:cs="Arial" w:eastAsia="Arial" w:hAnsi="Arial"/>
                <w:sz w:val="4"/>
                <w:szCs w:val="4"/>
                <w:color w:val="FFFFFF"/>
              </w:rPr>
              <w:t>adversely impact demand or production; ability to discovet; develop and protect new technologies and to protect and enforce DuPont’s, N&amp;Bco’s orsignificantIFF’intellectual property rights; unpredictability and</w:t>
            </w:r>
          </w:p>
        </w:tc>
      </w:tr>
      <w:tr>
        <w:trPr>
          <w:trHeight w:val="36"/>
        </w:trPr>
        <w:tc>
          <w:tcPr>
            <w:tcW w:w="9760" w:type="dxa"/>
            <w:vAlign w:val="bottom"/>
            <w:gridSpan w:val="9"/>
          </w:tcPr>
          <w:p>
            <w:pPr>
              <w:spacing w:after="0" w:line="37" w:lineRule="exact"/>
              <w:rPr>
                <w:sz w:val="20"/>
                <w:szCs w:val="20"/>
                <w:color w:val="auto"/>
              </w:rPr>
            </w:pPr>
            <w:r>
              <w:rPr>
                <w:rFonts w:ascii="Arial" w:cs="Arial" w:eastAsia="Arial" w:hAnsi="Arial"/>
                <w:sz w:val="4"/>
                <w:szCs w:val="4"/>
                <w:color w:val="FFFFFF"/>
              </w:rPr>
              <w:t>severity of catastrophic events, including, but not limited to, acts of terrorism or outbreak of war or hostilities, as well as management’s response to any of the aforementioned factors. These risks, as well</w:t>
            </w:r>
          </w:p>
        </w:tc>
      </w:tr>
      <w:tr>
        <w:trPr>
          <w:trHeight w:val="36"/>
        </w:trPr>
        <w:tc>
          <w:tcPr>
            <w:tcW w:w="9760" w:type="dxa"/>
            <w:vAlign w:val="bottom"/>
            <w:gridSpan w:val="9"/>
          </w:tcPr>
          <w:p>
            <w:pPr>
              <w:spacing w:after="0" w:line="37" w:lineRule="exact"/>
              <w:rPr>
                <w:sz w:val="20"/>
                <w:szCs w:val="20"/>
                <w:color w:val="auto"/>
              </w:rPr>
            </w:pPr>
            <w:r>
              <w:rPr>
                <w:rFonts w:ascii="Arial" w:cs="Arial" w:eastAsia="Arial" w:hAnsi="Arial"/>
                <w:sz w:val="4"/>
                <w:szCs w:val="4"/>
                <w:color w:val="FFFFFF"/>
              </w:rPr>
              <w:t>as other risks associated with the proposed merger, will be more fully discussed in the registration statement and metger proxy on Form 5 -4 to be filed by IFF and the registration statement on Form10 to</w:t>
            </w:r>
          </w:p>
        </w:tc>
      </w:tr>
      <w:tr>
        <w:trPr>
          <w:trHeight w:val="36"/>
        </w:trPr>
        <w:tc>
          <w:tcPr>
            <w:tcW w:w="9760" w:type="dxa"/>
            <w:vAlign w:val="bottom"/>
            <w:gridSpan w:val="9"/>
          </w:tcPr>
          <w:p>
            <w:pPr>
              <w:spacing w:after="0" w:line="37" w:lineRule="exact"/>
              <w:rPr>
                <w:sz w:val="20"/>
                <w:szCs w:val="20"/>
                <w:color w:val="auto"/>
              </w:rPr>
            </w:pPr>
            <w:r>
              <w:rPr>
                <w:rFonts w:ascii="Arial" w:cs="Arial" w:eastAsia="Arial" w:hAnsi="Arial"/>
                <w:sz w:val="4"/>
                <w:szCs w:val="4"/>
                <w:color w:val="FFFFFF"/>
              </w:rPr>
              <w:t>be filed by N&amp;Bco. While the list of factors presented here is, and the list of factors to be presented in any registration statement filed in connection with the transaction are, considered representative, no</w:t>
            </w:r>
          </w:p>
        </w:tc>
      </w:tr>
      <w:tr>
        <w:trPr>
          <w:trHeight w:val="36"/>
        </w:trPr>
        <w:tc>
          <w:tcPr>
            <w:tcW w:w="5240" w:type="dxa"/>
            <w:vAlign w:val="bottom"/>
            <w:gridSpan w:val="5"/>
          </w:tcPr>
          <w:p>
            <w:pPr>
              <w:ind w:left="40"/>
              <w:spacing w:after="0" w:line="37" w:lineRule="exact"/>
              <w:rPr>
                <w:sz w:val="20"/>
                <w:szCs w:val="20"/>
                <w:color w:val="auto"/>
              </w:rPr>
            </w:pPr>
            <w:r>
              <w:rPr>
                <w:rFonts w:ascii="Arial" w:cs="Arial" w:eastAsia="Arial" w:hAnsi="Arial"/>
                <w:sz w:val="4"/>
                <w:szCs w:val="4"/>
                <w:color w:val="FFFFFF"/>
              </w:rPr>
              <w:t>uch list should be considered to be a complete statement of all potential risks and uncertainties. Unlisted</w:t>
            </w:r>
          </w:p>
        </w:tc>
        <w:tc>
          <w:tcPr>
            <w:tcW w:w="4520" w:type="dxa"/>
            <w:vAlign w:val="bottom"/>
            <w:gridSpan w:val="4"/>
          </w:tcPr>
          <w:p>
            <w:pPr>
              <w:ind w:left="200"/>
              <w:spacing w:after="0" w:line="37" w:lineRule="exact"/>
              <w:rPr>
                <w:sz w:val="20"/>
                <w:szCs w:val="20"/>
                <w:color w:val="auto"/>
              </w:rPr>
            </w:pPr>
            <w:r>
              <w:rPr>
                <w:rFonts w:ascii="Arial" w:cs="Arial" w:eastAsia="Arial" w:hAnsi="Arial"/>
                <w:sz w:val="4"/>
                <w:szCs w:val="4"/>
                <w:color w:val="FFFFFF"/>
              </w:rPr>
              <w:t>may present significant additional obstacles to the realization of forward looking</w:t>
            </w:r>
          </w:p>
        </w:tc>
      </w:tr>
      <w:tr>
        <w:trPr>
          <w:trHeight w:val="36"/>
        </w:trPr>
        <w:tc>
          <w:tcPr>
            <w:tcW w:w="1360" w:type="dxa"/>
            <w:vAlign w:val="bottom"/>
            <w:gridSpan w:val="2"/>
          </w:tcPr>
          <w:p>
            <w:pPr>
              <w:spacing w:after="0" w:line="37" w:lineRule="exact"/>
              <w:rPr>
                <w:sz w:val="20"/>
                <w:szCs w:val="20"/>
                <w:color w:val="auto"/>
              </w:rPr>
            </w:pPr>
            <w:r>
              <w:rPr>
                <w:rFonts w:ascii="Arial" w:cs="Arial" w:eastAsia="Arial" w:hAnsi="Arial"/>
                <w:sz w:val="4"/>
                <w:szCs w:val="4"/>
                <w:color w:val="FFFFFF"/>
              </w:rPr>
              <w:t>statements. Further lists and</w:t>
            </w:r>
          </w:p>
        </w:tc>
        <w:tc>
          <w:tcPr>
            <w:tcW w:w="8400" w:type="dxa"/>
            <w:vAlign w:val="bottom"/>
            <w:gridSpan w:val="7"/>
          </w:tcPr>
          <w:p>
            <w:pPr>
              <w:ind w:left="620"/>
              <w:spacing w:after="0" w:line="37" w:lineRule="exact"/>
              <w:rPr>
                <w:sz w:val="20"/>
                <w:szCs w:val="20"/>
                <w:color w:val="auto"/>
              </w:rPr>
            </w:pPr>
            <w:r>
              <w:rPr>
                <w:rFonts w:ascii="Arial" w:cs="Arial" w:eastAsia="Arial" w:hAnsi="Arial"/>
                <w:sz w:val="4"/>
                <w:szCs w:val="4"/>
                <w:color w:val="FFFFFF"/>
              </w:rPr>
              <w:t>of risks and uncertainties can be found in each of IFF’s and DuPont’factorsForm 10-Q for the period ended September 30, 2019 and each of IFF’s and DuPont’s</w:t>
            </w:r>
          </w:p>
        </w:tc>
      </w:tr>
      <w:tr>
        <w:trPr>
          <w:trHeight w:val="36"/>
        </w:trPr>
        <w:tc>
          <w:tcPr>
            <w:tcW w:w="9760" w:type="dxa"/>
            <w:vAlign w:val="bottom"/>
            <w:gridSpan w:val="9"/>
          </w:tcPr>
          <w:p>
            <w:pPr>
              <w:spacing w:after="0" w:line="37" w:lineRule="exact"/>
              <w:rPr>
                <w:sz w:val="20"/>
                <w:szCs w:val="20"/>
                <w:color w:val="auto"/>
              </w:rPr>
            </w:pPr>
            <w:r>
              <w:rPr>
                <w:rFonts w:ascii="Arial" w:cs="Arial" w:eastAsia="Arial" w:hAnsi="Arial"/>
                <w:sz w:val="4"/>
                <w:szCs w:val="4"/>
                <w:color w:val="FFFFFF"/>
              </w:rPr>
              <w:t>respective subsequent reportsdescriptionsForm10-Q, Form10-K and Form 8-K, the contents of which are not incotporated by reference into, nor do they form part of, this announcement. Any other risks</w:t>
            </w:r>
          </w:p>
        </w:tc>
      </w:tr>
      <w:tr>
        <w:trPr>
          <w:trHeight w:val="36"/>
        </w:trPr>
        <w:tc>
          <w:tcPr>
            <w:tcW w:w="9760" w:type="dxa"/>
            <w:vAlign w:val="bottom"/>
            <w:gridSpan w:val="9"/>
          </w:tcPr>
          <w:p>
            <w:pPr>
              <w:spacing w:after="0" w:line="37" w:lineRule="exact"/>
              <w:rPr>
                <w:sz w:val="20"/>
                <w:szCs w:val="20"/>
                <w:color w:val="auto"/>
              </w:rPr>
            </w:pPr>
            <w:r>
              <w:rPr>
                <w:rFonts w:ascii="Arial" w:cs="Arial" w:eastAsia="Arial" w:hAnsi="Arial"/>
                <w:sz w:val="4"/>
                <w:szCs w:val="4"/>
                <w:color w:val="FFFFFF"/>
              </w:rPr>
              <w:t>associated with the proposed transaction will be more fully discussed   any registration statement filed with the SEC. While the list of factors presented here is, and the list of factors that may be</w:t>
            </w:r>
          </w:p>
        </w:tc>
      </w:tr>
      <w:tr>
        <w:trPr>
          <w:trHeight w:val="36"/>
        </w:trPr>
        <w:tc>
          <w:tcPr>
            <w:tcW w:w="8940" w:type="dxa"/>
            <w:vAlign w:val="bottom"/>
            <w:gridSpan w:val="8"/>
          </w:tcPr>
          <w:p>
            <w:pPr>
              <w:spacing w:after="0" w:line="37" w:lineRule="exact"/>
              <w:rPr>
                <w:sz w:val="20"/>
                <w:szCs w:val="20"/>
                <w:color w:val="auto"/>
              </w:rPr>
            </w:pPr>
            <w:r>
              <w:rPr>
                <w:rFonts w:ascii="Arial" w:cs="Arial" w:eastAsia="Arial" w:hAnsi="Arial"/>
                <w:sz w:val="4"/>
                <w:szCs w:val="4"/>
                <w:color w:val="FFFFFF"/>
              </w:rPr>
              <w:t>presented in a registration statement of IFF or N&amp;Bco would be, considered representative, no such list should be considered to be a complete statement of all potential risks and</w:t>
            </w:r>
          </w:p>
        </w:tc>
        <w:tc>
          <w:tcPr>
            <w:tcW w:w="820" w:type="dxa"/>
            <w:vAlign w:val="bottom"/>
          </w:tcPr>
          <w:p>
            <w:pPr>
              <w:ind w:left="220"/>
              <w:spacing w:after="0" w:line="37" w:lineRule="exact"/>
              <w:rPr>
                <w:sz w:val="20"/>
                <w:szCs w:val="20"/>
                <w:color w:val="auto"/>
              </w:rPr>
            </w:pPr>
            <w:r>
              <w:rPr>
                <w:rFonts w:ascii="Arial" w:cs="Arial" w:eastAsia="Arial" w:hAnsi="Arial"/>
                <w:sz w:val="4"/>
                <w:szCs w:val="4"/>
                <w:color w:val="FFFFFF"/>
              </w:rPr>
              <w:t>. Unlisted</w:t>
            </w:r>
          </w:p>
        </w:tc>
      </w:tr>
      <w:tr>
        <w:trPr>
          <w:trHeight w:val="36"/>
        </w:trPr>
        <w:tc>
          <w:tcPr>
            <w:tcW w:w="8940" w:type="dxa"/>
            <w:vAlign w:val="bottom"/>
            <w:gridSpan w:val="8"/>
          </w:tcPr>
          <w:p>
            <w:pPr>
              <w:spacing w:after="0" w:line="37" w:lineRule="exact"/>
              <w:rPr>
                <w:sz w:val="20"/>
                <w:szCs w:val="20"/>
                <w:color w:val="auto"/>
              </w:rPr>
            </w:pPr>
            <w:r>
              <w:rPr>
                <w:rFonts w:ascii="Arial" w:cs="Arial" w:eastAsia="Arial" w:hAnsi="Arial"/>
                <w:sz w:val="4"/>
                <w:szCs w:val="4"/>
                <w:color w:val="FFFFFF"/>
              </w:rPr>
              <w:t>factors may present significant additional obstacles to the realization of forward looking statements. Consequences of material differences in results as compared with those anticipated</w:t>
            </w:r>
          </w:p>
        </w:tc>
        <w:tc>
          <w:tcPr>
            <w:tcW w:w="820" w:type="dxa"/>
            <w:vAlign w:val="bottom"/>
          </w:tcPr>
          <w:p>
            <w:pPr>
              <w:ind w:left="20"/>
              <w:spacing w:after="0" w:line="37" w:lineRule="exact"/>
              <w:rPr>
                <w:sz w:val="20"/>
                <w:szCs w:val="20"/>
                <w:color w:val="auto"/>
              </w:rPr>
            </w:pPr>
            <w:r>
              <w:rPr>
                <w:rFonts w:ascii="Arial" w:cs="Arial" w:eastAsia="Arial" w:hAnsi="Arial"/>
                <w:sz w:val="4"/>
                <w:szCs w:val="4"/>
                <w:color w:val="FFFFFF"/>
              </w:rPr>
              <w:t>the forward-</w:t>
            </w:r>
          </w:p>
        </w:tc>
      </w:tr>
      <w:tr>
        <w:trPr>
          <w:trHeight w:val="36"/>
        </w:trPr>
        <w:tc>
          <w:tcPr>
            <w:tcW w:w="9760" w:type="dxa"/>
            <w:vAlign w:val="bottom"/>
            <w:gridSpan w:val="9"/>
          </w:tcPr>
          <w:p>
            <w:pPr>
              <w:spacing w:after="0" w:line="37" w:lineRule="exact"/>
              <w:rPr>
                <w:sz w:val="20"/>
                <w:szCs w:val="20"/>
                <w:color w:val="auto"/>
              </w:rPr>
            </w:pPr>
            <w:r>
              <w:rPr>
                <w:rFonts w:ascii="Arial" w:cs="Arial" w:eastAsia="Arial" w:hAnsi="Arial"/>
                <w:sz w:val="4"/>
                <w:szCs w:val="4"/>
                <w:color w:val="FFFFFF"/>
              </w:rPr>
              <w:t>looking statements could include, among other things, business disruption, operational problems, financial loss, /ega/liability to third parties and similar risks, any of which could uncertaintieshavematerial adverse</w:t>
            </w:r>
          </w:p>
        </w:tc>
      </w:tr>
      <w:tr>
        <w:trPr>
          <w:trHeight w:val="0"/>
        </w:trPr>
        <w:tc>
          <w:tcPr>
            <w:tcW w:w="420" w:type="dxa"/>
            <w:vAlign w:val="bottom"/>
          </w:tcPr>
          <w:p>
            <w:pPr>
              <w:spacing w:after="0" w:line="71" w:lineRule="exact"/>
              <w:rPr>
                <w:sz w:val="20"/>
                <w:szCs w:val="20"/>
                <w:color w:val="auto"/>
              </w:rPr>
            </w:pPr>
            <w:r>
              <w:rPr>
                <w:rFonts w:ascii="Arial" w:cs="Arial" w:eastAsia="Arial" w:hAnsi="Arial"/>
                <w:sz w:val="8"/>
                <w:szCs w:val="8"/>
                <w:color w:val="FFFFFF"/>
              </w:rPr>
              <w:t>effect</w:t>
            </w:r>
          </w:p>
        </w:tc>
        <w:tc>
          <w:tcPr>
            <w:tcW w:w="9340" w:type="dxa"/>
            <w:vAlign w:val="bottom"/>
            <w:gridSpan w:val="8"/>
          </w:tcPr>
          <w:p>
            <w:pPr>
              <w:ind w:left="20"/>
              <w:spacing w:after="0" w:line="71" w:lineRule="exact"/>
              <w:rPr>
                <w:sz w:val="20"/>
                <w:szCs w:val="20"/>
                <w:color w:val="auto"/>
              </w:rPr>
            </w:pPr>
            <w:r>
              <w:rPr>
                <w:rFonts w:ascii="Arial" w:cs="Arial" w:eastAsia="Arial" w:hAnsi="Arial"/>
                <w:sz w:val="8"/>
                <w:szCs w:val="8"/>
                <w:color w:val="FFFFFF"/>
              </w:rPr>
              <w:t>IFF’s, DuPont’s or N&amp;Bco’s consolidated financial condition, results of operations, credit rating or liquidity. None of IFF, DuPont nor N&amp;Bco assumes any obligation to publicly provide</w:t>
            </w:r>
          </w:p>
        </w:tc>
      </w:tr>
    </w:tbl>
    <w:p>
      <w:pPr>
        <w:spacing w:after="0" w:line="22" w:lineRule="auto"/>
        <w:rPr>
          <w:sz w:val="20"/>
          <w:szCs w:val="20"/>
          <w:color w:val="auto"/>
        </w:rPr>
      </w:pPr>
      <w:r>
        <w:rPr>
          <w:rFonts w:ascii="Arial" w:cs="Arial" w:eastAsia="Arial" w:hAnsi="Arial"/>
          <w:sz w:val="1"/>
          <w:szCs w:val="1"/>
          <w:color w:val="FFFFFF"/>
        </w:rPr>
        <w:t>revisions</w:t>
      </w:r>
    </w:p>
    <w:p>
      <w:pPr>
        <w:spacing w:after="0"/>
        <w:rPr>
          <w:sz w:val="20"/>
          <w:szCs w:val="20"/>
          <w:color w:val="auto"/>
        </w:rPr>
      </w:pPr>
      <w:r>
        <w:rPr>
          <w:rFonts w:ascii="Arial" w:cs="Arial" w:eastAsia="Arial" w:hAnsi="Arial"/>
          <w:sz w:val="9"/>
          <w:szCs w:val="9"/>
          <w:color w:val="FFFFFF"/>
        </w:rPr>
        <w:t>&lt;&gt;PrurifiP.’&gt;orupdatesanrlnfhPrtoanyannlirahiPforward-law&lt;&gt;.looking statements, whether as a result of new information, future developments or otherwise, should circumstances change, PXrPnf fl.’&gt; nfhPrwi.&lt;&gt;P rPnuirPrl hv .</w:t>
      </w:r>
    </w:p>
    <w:p>
      <w:pPr>
        <w:sectPr>
          <w:pgSz w:w="11900" w:h="16838" w:orient="portrait"/>
          <w:cols w:equalWidth="0" w:num="1">
            <w:col w:w="9760"/>
          </w:cols>
          <w:pgMar w:left="1060" w:top="1440" w:right="107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760" w:type="dxa"/>
            <w:vAlign w:val="bottom"/>
            <w:gridSpan w:val="5"/>
          </w:tcPr>
          <w:p>
            <w:pPr>
              <w:spacing w:after="0"/>
              <w:rPr>
                <w:sz w:val="20"/>
                <w:szCs w:val="20"/>
                <w:color w:val="auto"/>
              </w:rPr>
            </w:pPr>
            <w:r>
              <w:rPr>
                <w:rFonts w:ascii="Arial" w:cs="Arial" w:eastAsia="Arial" w:hAnsi="Arial"/>
                <w:sz w:val="12"/>
                <w:szCs w:val="12"/>
                <w:color w:val="FFFFFF"/>
                <w:w w:val="95"/>
              </w:rPr>
              <w:t>Participants in the Solicitation This communication is not  solicitation of a proxy from any investor or security holder. Howeve1; DuPont, IFF and certain of their respective directors and executive</w:t>
            </w:r>
          </w:p>
        </w:tc>
      </w:tr>
      <w:tr>
        <w:trPr>
          <w:trHeight w:val="36"/>
        </w:trPr>
        <w:tc>
          <w:tcPr>
            <w:tcW w:w="3800" w:type="dxa"/>
            <w:vAlign w:val="bottom"/>
          </w:tcPr>
          <w:p>
            <w:pPr>
              <w:spacing w:after="0" w:line="37" w:lineRule="exact"/>
              <w:rPr>
                <w:sz w:val="20"/>
                <w:szCs w:val="20"/>
                <w:color w:val="auto"/>
              </w:rPr>
            </w:pPr>
            <w:r>
              <w:rPr>
                <w:rFonts w:ascii="Arial" w:cs="Arial" w:eastAsia="Arial" w:hAnsi="Arial"/>
                <w:sz w:val="4"/>
                <w:szCs w:val="4"/>
                <w:color w:val="FFFFFF"/>
              </w:rPr>
              <w:t>officers may be deemed to be participants in the solicitation of proxies in</w:t>
            </w:r>
          </w:p>
        </w:tc>
        <w:tc>
          <w:tcPr>
            <w:tcW w:w="5960" w:type="dxa"/>
            <w:vAlign w:val="bottom"/>
            <w:gridSpan w:val="4"/>
          </w:tcPr>
          <w:p>
            <w:pPr>
              <w:ind w:left="280"/>
              <w:spacing w:after="0" w:line="37" w:lineRule="exact"/>
              <w:rPr>
                <w:sz w:val="20"/>
                <w:szCs w:val="20"/>
                <w:color w:val="auto"/>
              </w:rPr>
            </w:pPr>
            <w:r>
              <w:rPr>
                <w:rFonts w:ascii="Arial" w:cs="Arial" w:eastAsia="Arial" w:hAnsi="Arial"/>
                <w:sz w:val="4"/>
                <w:szCs w:val="4"/>
                <w:color w:val="FFFFFF"/>
              </w:rPr>
              <w:t>with the proposed transaction under the rules of the SEC. Information about the directors and executive officers of</w:t>
            </w:r>
          </w:p>
        </w:tc>
      </w:tr>
      <w:tr>
        <w:trPr>
          <w:trHeight w:val="36"/>
        </w:trPr>
        <w:tc>
          <w:tcPr>
            <w:tcW w:w="9760" w:type="dxa"/>
            <w:vAlign w:val="bottom"/>
            <w:gridSpan w:val="5"/>
          </w:tcPr>
          <w:p>
            <w:pPr>
              <w:spacing w:after="0" w:line="37" w:lineRule="exact"/>
              <w:rPr>
                <w:sz w:val="20"/>
                <w:szCs w:val="20"/>
                <w:color w:val="auto"/>
              </w:rPr>
            </w:pPr>
            <w:r>
              <w:rPr>
                <w:rFonts w:ascii="Arial" w:cs="Arial" w:eastAsia="Arial" w:hAnsi="Arial"/>
                <w:sz w:val="4"/>
                <w:szCs w:val="4"/>
                <w:color w:val="FFFFFF"/>
              </w:rPr>
              <w:t>DuPont may be found in its Annual Report on Form 10-K filed with the SECconnectionFebruary 11, 2019 and its definitive proxy statement filed with the SEC on May 1, 2019. Information about the directors</w:t>
            </w:r>
          </w:p>
        </w:tc>
      </w:tr>
      <w:tr>
        <w:trPr>
          <w:trHeight w:val="36"/>
        </w:trPr>
        <w:tc>
          <w:tcPr>
            <w:tcW w:w="4680" w:type="dxa"/>
            <w:vAlign w:val="bottom"/>
            <w:gridSpan w:val="2"/>
          </w:tcPr>
          <w:p>
            <w:pPr>
              <w:spacing w:after="0" w:line="37" w:lineRule="exact"/>
              <w:rPr>
                <w:sz w:val="20"/>
                <w:szCs w:val="20"/>
                <w:color w:val="auto"/>
              </w:rPr>
            </w:pPr>
            <w:r>
              <w:rPr>
                <w:rFonts w:ascii="Arial" w:cs="Arial" w:eastAsia="Arial" w:hAnsi="Arial"/>
                <w:sz w:val="4"/>
                <w:szCs w:val="4"/>
                <w:color w:val="FFFFFF"/>
              </w:rPr>
              <w:t>and executive officers of IFF may be found in its definitive proxy statement h”/ed with the SEC</w:t>
            </w:r>
          </w:p>
        </w:tc>
        <w:tc>
          <w:tcPr>
            <w:tcW w:w="5080" w:type="dxa"/>
            <w:vAlign w:val="bottom"/>
            <w:gridSpan w:val="3"/>
          </w:tcPr>
          <w:p>
            <w:pPr>
              <w:ind w:left="100"/>
              <w:spacing w:after="0" w:line="37" w:lineRule="exact"/>
              <w:rPr>
                <w:sz w:val="20"/>
                <w:szCs w:val="20"/>
                <w:color w:val="auto"/>
              </w:rPr>
            </w:pPr>
            <w:r>
              <w:rPr>
                <w:rFonts w:ascii="Arial" w:cs="Arial" w:eastAsia="Arial" w:hAnsi="Arial"/>
                <w:sz w:val="4"/>
                <w:szCs w:val="4"/>
                <w:color w:val="FFFFFF"/>
              </w:rPr>
              <w:t>March 18, 2019. Other information regarding the participants in the proxy solicitation and a description</w:t>
            </w:r>
          </w:p>
        </w:tc>
      </w:tr>
      <w:tr>
        <w:trPr>
          <w:trHeight w:val="0"/>
        </w:trPr>
        <w:tc>
          <w:tcPr>
            <w:tcW w:w="6000" w:type="dxa"/>
            <w:vAlign w:val="bottom"/>
            <w:gridSpan w:val="3"/>
          </w:tcPr>
          <w:p>
            <w:pPr>
              <w:spacing w:after="0" w:line="71" w:lineRule="exact"/>
              <w:rPr>
                <w:sz w:val="20"/>
                <w:szCs w:val="20"/>
                <w:color w:val="auto"/>
              </w:rPr>
            </w:pPr>
            <w:r>
              <w:rPr>
                <w:rFonts w:ascii="Arial" w:cs="Arial" w:eastAsia="Arial" w:hAnsi="Arial"/>
                <w:sz w:val="8"/>
                <w:szCs w:val="8"/>
                <w:color w:val="FFFFFF"/>
              </w:rPr>
              <w:t>of their direct and indirect interests, by security holdings or otherwise, will be contained in the registration statements,</w:t>
            </w:r>
          </w:p>
        </w:tc>
        <w:tc>
          <w:tcPr>
            <w:tcW w:w="2460" w:type="dxa"/>
            <w:vAlign w:val="bottom"/>
          </w:tcPr>
          <w:p>
            <w:pPr>
              <w:ind w:left="340"/>
              <w:spacing w:after="0" w:line="71" w:lineRule="exact"/>
              <w:rPr>
                <w:sz w:val="20"/>
                <w:szCs w:val="20"/>
                <w:color w:val="auto"/>
              </w:rPr>
            </w:pPr>
            <w:r>
              <w:rPr>
                <w:rFonts w:ascii="Arial" w:cs="Arial" w:eastAsia="Arial" w:hAnsi="Arial"/>
                <w:sz w:val="8"/>
                <w:szCs w:val="8"/>
                <w:color w:val="FFFFFF"/>
              </w:rPr>
              <w:t>and proxy statement and other relevant</w:t>
            </w:r>
          </w:p>
        </w:tc>
        <w:tc>
          <w:tcPr>
            <w:tcW w:w="1300" w:type="dxa"/>
            <w:vAlign w:val="bottom"/>
          </w:tcPr>
          <w:p>
            <w:pPr>
              <w:ind w:left="260"/>
              <w:spacing w:after="0" w:line="71" w:lineRule="exact"/>
              <w:rPr>
                <w:sz w:val="20"/>
                <w:szCs w:val="20"/>
                <w:color w:val="auto"/>
              </w:rPr>
            </w:pPr>
            <w:r>
              <w:rPr>
                <w:rFonts w:ascii="Arial" w:cs="Arial" w:eastAsia="Arial" w:hAnsi="Arial"/>
                <w:sz w:val="8"/>
                <w:szCs w:val="8"/>
                <w:color w:val="FFFFFF"/>
              </w:rPr>
              <w:t>to be filed with the</w:t>
            </w:r>
          </w:p>
        </w:tc>
      </w:tr>
    </w:tbl>
    <w:p>
      <w:pPr>
        <w:spacing w:after="0" w:line="225" w:lineRule="auto"/>
        <w:rPr>
          <w:sz w:val="20"/>
          <w:szCs w:val="20"/>
          <w:color w:val="auto"/>
        </w:rPr>
      </w:pPr>
      <w:r>
        <w:rPr>
          <w:rFonts w:ascii="Arial" w:cs="Arial" w:eastAsia="Arial" w:hAnsi="Arial"/>
          <w:sz w:val="10"/>
          <w:szCs w:val="10"/>
          <w:color w:val="FFFFFF"/>
        </w:rPr>
        <w:t>SEC when they become available. 0 Does this page require a review? Click the link be!ow to inform the author. ~QQrtprospectusesContentTAuthor COMMENT ON THIS PAGE Writematerialscomment ...</w:t>
      </w:r>
    </w:p>
    <w:p>
      <w:pPr>
        <w:sectPr>
          <w:pgSz w:w="11900" w:h="16838" w:orient="portrait"/>
          <w:cols w:equalWidth="0" w:num="1">
            <w:col w:w="9760"/>
          </w:cols>
          <w:pgMar w:left="1060" w:top="1440" w:right="1079" w:bottom="1440" w:gutter="0" w:footer="0" w:header="0"/>
        </w:sectPr>
      </w:pPr>
    </w:p>
    <w:bookmarkStart w:id="128" w:name="page129"/>
    <w:bookmarkEnd w:id="128"/>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99.14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13335</wp:posOffset>
            </wp:positionV>
            <wp:extent cx="5835015" cy="75514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35015" cy="755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spacing w:after="0" w:line="214" w:lineRule="auto"/>
        <w:rPr>
          <w:sz w:val="20"/>
          <w:szCs w:val="20"/>
          <w:color w:val="auto"/>
        </w:rPr>
      </w:pPr>
      <w:r>
        <w:rPr>
          <w:rFonts w:ascii="Arial" w:cs="Arial" w:eastAsia="Arial" w:hAnsi="Arial"/>
          <w:sz w:val="5"/>
          <w:szCs w:val="5"/>
          <w:color w:val="FFFFFF"/>
        </w:rPr>
        <w:t>ChairmanExhbit99.13 Announcement - Decen https://corpcommunications.us.newsweaver.com IFF and DuPont’s Nutrition &amp; Biosciences Business are Combining December 2019 (Above: Ed Breen. ExecutiveofDuPont,andAndreasFiBIGIDearColleagueIamexcitedtoannouncethatwehaveagreedtomergewithDuPont’Nutrition&amp;Biosciencesbusiness,aworldleaderinfoodscienceand biotechnology. This combination will position the new IFF to become a new global integrated solutions leader across consumer-oriented end markets. I’ve previously shared with you my vision to be #1 in our space and this combinationbroadissignificant step toward achieving that goal. With DuPont Nutrition &amp; Biosciences, the new IFF will have an enhanced ability to deliver full-scale solutions toofcustomersacrossrangeofendmarkets,includingFood&amp;Beverage,Home&amp;PersonalCareandHealth&amp;WellnessOurcollectiveportfolioofproductswillbethemost complete</w:t>
      </w:r>
    </w:p>
    <w:p>
      <w:pPr>
        <w:jc w:val="both"/>
        <w:ind w:right="20"/>
        <w:spacing w:after="0" w:line="188" w:lineRule="auto"/>
        <w:rPr>
          <w:sz w:val="20"/>
          <w:szCs w:val="20"/>
          <w:color w:val="auto"/>
        </w:rPr>
      </w:pPr>
      <w:r>
        <w:rPr>
          <w:rFonts w:ascii="Arial" w:cs="Arial" w:eastAsia="Arial" w:hAnsi="Arial"/>
          <w:sz w:val="7"/>
          <w:szCs w:val="7"/>
          <w:color w:val="FFFFFF"/>
        </w:rPr>
        <w:t>thousandswell-</w:t>
      </w:r>
      <w:r>
        <w:rPr>
          <w:rFonts w:ascii="Arial" w:cs="Arial" w:eastAsia="Arial" w:hAnsi="Arial"/>
          <w:sz w:val="8"/>
          <w:szCs w:val="8"/>
          <w:color w:val="FFFFFF"/>
          <w:vertAlign w:val="superscript"/>
        </w:rPr>
        <w:t>by</w:t>
      </w:r>
      <w:r>
        <w:rPr>
          <w:rFonts w:ascii="Arial" w:cs="Arial" w:eastAsia="Arial" w:hAnsi="Arial"/>
          <w:sz w:val="7"/>
          <w:szCs w:val="7"/>
          <w:color w:val="FFFFFF"/>
        </w:rPr>
        <w:t xml:space="preserve">alanced in our industry, and we will have #1 or #2 positions across numerous attractive ingredient categories, including Taste, Scent, Nutrition, Enzymes, Cultures, Soy Proteins and Probiotics. Powered leading R&amp;D capabilities and the broadest technology portfolio, we will combine the best of science and creativity. We will be ideally equipped to deliver differentiated solutions to respond to </w:t>
      </w:r>
      <w:r>
        <w:rPr>
          <w:rFonts w:ascii="Arial" w:cs="Arial" w:eastAsia="Arial" w:hAnsi="Arial"/>
          <w:sz w:val="8"/>
          <w:szCs w:val="8"/>
          <w:color w:val="FFFFFF"/>
          <w:vertAlign w:val="subscript"/>
        </w:rPr>
        <w:t>ultures,</w:t>
      </w:r>
      <w:r>
        <w:rPr>
          <w:rFonts w:ascii="Arial" w:cs="Arial" w:eastAsia="Arial" w:hAnsi="Arial"/>
          <w:sz w:val="7"/>
          <w:szCs w:val="7"/>
          <w:color w:val="FFFFFF"/>
        </w:rPr>
        <w:t>stomer demands and increasing consumer preferences for natural, healthier and “better for you” products. With IFFs leadership in natural solutions and N&amp;B’s leadership</w:t>
      </w:r>
      <w:r>
        <w:rPr>
          <w:rFonts w:ascii="Arial" w:cs="Arial" w:eastAsia="Arial" w:hAnsi="Arial"/>
          <w:sz w:val="8"/>
          <w:szCs w:val="8"/>
          <w:color w:val="FFFFFF"/>
          <w:vertAlign w:val="subscript"/>
        </w:rPr>
        <w:t>combination</w:t>
      </w:r>
      <w:r>
        <w:rPr>
          <w:rFonts w:ascii="Arial" w:cs="Arial" w:eastAsia="Arial" w:hAnsi="Arial"/>
          <w:sz w:val="7"/>
          <w:szCs w:val="7"/>
          <w:color w:val="FFFFFF"/>
        </w:rPr>
        <w:t>clean label, including</w:t>
      </w:r>
    </w:p>
    <w:p>
      <w:pPr>
        <w:ind w:right="120" w:firstLine="207"/>
        <w:spacing w:after="0"/>
        <w:rPr>
          <w:sz w:val="20"/>
          <w:szCs w:val="20"/>
          <w:color w:val="auto"/>
        </w:rPr>
      </w:pPr>
      <w:r>
        <w:rPr>
          <w:rFonts w:ascii="Arial" w:cs="Arial" w:eastAsia="Arial" w:hAnsi="Arial"/>
          <w:sz w:val="6"/>
          <w:szCs w:val="6"/>
          <w:color w:val="FFFFFF"/>
          <w:vertAlign w:val="subscript"/>
        </w:rPr>
        <w:t>petitive</w:t>
      </w:r>
      <w:r>
        <w:rPr>
          <w:rFonts w:ascii="Arial" w:cs="Arial" w:eastAsia="Arial" w:hAnsi="Arial"/>
          <w:sz w:val="3"/>
          <w:szCs w:val="3"/>
          <w:color w:val="FFFFFF"/>
        </w:rPr>
        <w:t xml:space="preserve">enzymes and plant-based proteins, we will be in a stronger position to lead the industry’s evolution and provide differentiated innovation to customers. This will give us a powerful </w:t>
      </w:r>
      <w:r>
        <w:rPr>
          <w:rFonts w:ascii="Arial" w:cs="Arial" w:eastAsia="Arial" w:hAnsi="Arial"/>
          <w:sz w:val="6"/>
          <w:szCs w:val="6"/>
          <w:color w:val="FFFFFF"/>
          <w:vertAlign w:val="subscript"/>
        </w:rPr>
        <w:t>combination</w:t>
      </w:r>
      <w:r>
        <w:rPr>
          <w:rFonts w:ascii="Arial" w:cs="Arial" w:eastAsia="Arial" w:hAnsi="Arial"/>
          <w:sz w:val="3"/>
          <w:szCs w:val="3"/>
          <w:color w:val="FFFFFF"/>
        </w:rPr>
        <w:t>advantage and provide our business and all of our employees with a new pathway for long-term growth Here are just two examples of the incredible opportunity ahead of us with this</w:t>
      </w:r>
    </w:p>
    <w:p>
      <w:pPr>
        <w:spacing w:after="0" w:line="3" w:lineRule="exact"/>
        <w:rPr>
          <w:sz w:val="20"/>
          <w:szCs w:val="20"/>
          <w:color w:val="auto"/>
        </w:rPr>
      </w:pPr>
    </w:p>
    <w:p>
      <w:pPr>
        <w:ind w:right="300" w:firstLine="601"/>
        <w:spacing w:after="0"/>
        <w:rPr>
          <w:sz w:val="20"/>
          <w:szCs w:val="20"/>
          <w:color w:val="auto"/>
        </w:rPr>
      </w:pPr>
      <w:r>
        <w:rPr>
          <w:rFonts w:ascii="Arial" w:cs="Arial" w:eastAsia="Arial" w:hAnsi="Arial"/>
          <w:sz w:val="8"/>
          <w:szCs w:val="8"/>
          <w:color w:val="FFFFFF"/>
        </w:rPr>
        <w:t>. Today. IFF provides the flavors, seasonings, taste modulation and natural color for plant- based burgers, while Nutrition &amp; Biosciences provides the texturants, binders and plant- based proteins. In Personal Care, IFF provides the encapsulation delivery system and scent products for detergents, with N&amp;B providing the enzymes for fluidity and stain removal. In each example our combined company will be able to deliver all of these products in one differentiated solution to our customers.</w:t>
      </w:r>
    </w:p>
    <w:p>
      <w:pPr>
        <w:sectPr>
          <w:pgSz w:w="11900" w:h="16838" w:orient="portrait"/>
          <w:cols w:equalWidth="0" w:num="1">
            <w:col w:w="9800"/>
          </w:cols>
          <w:pgMar w:left="1060" w:top="259" w:right="103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193" w:lineRule="auto"/>
        <w:rPr>
          <w:sz w:val="20"/>
          <w:szCs w:val="20"/>
          <w:color w:val="auto"/>
        </w:rPr>
      </w:pPr>
      <w:r>
        <w:rPr>
          <w:rFonts w:ascii="Arial" w:cs="Arial" w:eastAsia="Arial" w:hAnsi="Arial"/>
          <w:sz w:val="6"/>
          <w:szCs w:val="6"/>
          <w:color w:val="FFFFFF"/>
        </w:rPr>
        <w:t>Announcement - Decen https://corpcommunications.us.newsweaver.com Our cultures are both driven by an unwavering commitment to our customers,enabledpledge vie have each built and strengthened overourrespectvemorethan100-yearhistories.LikeIFF,stayingclosetothecustomerandutilizingkeymarketinsights,technicalandtoolshasNutrition&amp;Biosciencestodeliverworld experience expertise care -classtoitscustomers.Nutrition&amp;BiosciencesandIFFarealsoalignedinourshareddedicationtosustainability,whichinlinewithourcommitmenttoredefinehowweliveinandfor the resources of our world. Importantly, the combined company will have an executive management team that includes the best talent from both organizations. Each company brings deep experience with integrating large organizations and we will form an Integration Office that will be composed of representatives from both companies. Upon completion of the transaction, I will continue to lead IFF as Chairman and CEO and we will remain headquartered in New York City. For more information on this announcement, please visit our transaction website at www.StrongerlnnovationTogether.com and refer to the press release we issued earlier today as well asaboutvideo in which DuPont’s Executive Chairman and I discuss this combinationclosingadditional detail. The intranet includes an FAQ that you mightfinduseful.Therearestillmanydetailsobeworkedouthowwewillcombineourtwoorganizations.Thepartiesaretargetingthetransactionbytheendofthefirstquarterof2021Until withthen,weremainindependententities our own operations and operational goals and vie will communicate additional information as we are able. This is truly transformative day for IFFs future, creativity andIamincrediblyexcitedaboutwhatthiswillmeanforusandourcustomersOnceagain,wearepoisedtodefineourindustrywiththebestofscienceR&amp;D.Thankyouforyour</w:t>
      </w:r>
    </w:p>
    <w:p>
      <w:pPr>
        <w:spacing w:after="0" w:line="1" w:lineRule="exact"/>
        <w:rPr>
          <w:sz w:val="20"/>
          <w:szCs w:val="20"/>
          <w:color w:val="auto"/>
        </w:rPr>
      </w:pPr>
    </w:p>
    <w:p>
      <w:pPr>
        <w:ind w:right="240"/>
        <w:spacing w:after="0" w:line="187" w:lineRule="auto"/>
        <w:rPr>
          <w:sz w:val="20"/>
          <w:szCs w:val="20"/>
          <w:color w:val="auto"/>
        </w:rPr>
      </w:pPr>
      <w:r>
        <w:rPr>
          <w:rFonts w:ascii="Arial" w:cs="Arial" w:eastAsia="Arial" w:hAnsi="Arial"/>
          <w:sz w:val="12"/>
          <w:szCs w:val="12"/>
          <w:color w:val="FFFFFF"/>
        </w:rPr>
        <w:t>continued hard work and dedication. Youcombinationarecore reason why this combination is possible and why we are so excited for our future. In times like these. I would like to takeand moment to thank your families and those who have supported you along this journey. Here’s to great things ahead Sincerely, Andreas Fibig, Chairman &amp; CEO LiKe (2)</w:t>
      </w:r>
    </w:p>
    <w:p>
      <w:pPr>
        <w:sectPr>
          <w:pgSz w:w="11900" w:h="16838" w:orient="portrait"/>
          <w:cols w:equalWidth="0" w:num="1">
            <w:col w:w="9740"/>
          </w:cols>
          <w:pgMar w:left="1060" w:top="1440" w:right="109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20" w:type="dxa"/>
            <w:vAlign w:val="bottom"/>
            <w:gridSpan w:val="2"/>
          </w:tcPr>
          <w:p>
            <w:pPr>
              <w:spacing w:after="0"/>
              <w:rPr>
                <w:sz w:val="20"/>
                <w:szCs w:val="20"/>
                <w:color w:val="auto"/>
              </w:rPr>
            </w:pPr>
            <w:r>
              <w:rPr>
                <w:rFonts w:ascii="Arial" w:cs="Arial" w:eastAsia="Arial" w:hAnsi="Arial"/>
                <w:sz w:val="12"/>
                <w:szCs w:val="12"/>
                <w:color w:val="FFFFFF"/>
              </w:rPr>
              <w:t>Announcement - Decen</w:t>
            </w:r>
          </w:p>
        </w:tc>
        <w:tc>
          <w:tcPr>
            <w:tcW w:w="200" w:type="dxa"/>
            <w:vAlign w:val="bottom"/>
          </w:tcPr>
          <w:p>
            <w:pPr>
              <w:spacing w:after="0"/>
              <w:rPr>
                <w:sz w:val="12"/>
                <w:szCs w:val="12"/>
                <w:color w:val="auto"/>
              </w:rPr>
            </w:pPr>
          </w:p>
        </w:tc>
        <w:tc>
          <w:tcPr>
            <w:tcW w:w="1860" w:type="dxa"/>
            <w:vAlign w:val="bottom"/>
          </w:tcPr>
          <w:p>
            <w:pPr>
              <w:ind w:left="380"/>
              <w:spacing w:after="0"/>
              <w:rPr>
                <w:sz w:val="20"/>
                <w:szCs w:val="20"/>
                <w:color w:val="auto"/>
              </w:rPr>
            </w:pPr>
            <w:r>
              <w:rPr>
                <w:rFonts w:ascii="Arial" w:cs="Arial" w:eastAsia="Arial" w:hAnsi="Arial"/>
                <w:sz w:val="12"/>
                <w:szCs w:val="12"/>
                <w:color w:val="FFFFFF"/>
              </w:rPr>
              <w:t>.us.newsweaver.com</w:t>
            </w:r>
          </w:p>
        </w:tc>
        <w:tc>
          <w:tcPr>
            <w:tcW w:w="5800" w:type="dxa"/>
            <w:vAlign w:val="bottom"/>
            <w:gridSpan w:val="9"/>
          </w:tcPr>
          <w:p>
            <w:pPr>
              <w:jc w:val="right"/>
              <w:ind w:right="40"/>
              <w:spacing w:after="0"/>
              <w:rPr>
                <w:sz w:val="20"/>
                <w:szCs w:val="20"/>
                <w:color w:val="auto"/>
              </w:rPr>
            </w:pPr>
            <w:r>
              <w:rPr>
                <w:rFonts w:ascii="Arial" w:cs="Arial" w:eastAsia="Arial" w:hAnsi="Arial"/>
                <w:sz w:val="12"/>
                <w:szCs w:val="12"/>
                <w:color w:val="FFFFFF"/>
                <w:w w:val="92"/>
              </w:rPr>
              <w:t>Information and Where to Find It This communication is not intended to and shall not constitute an offer to sell or the</w:t>
            </w:r>
          </w:p>
        </w:tc>
      </w:tr>
      <w:tr>
        <w:trPr>
          <w:trHeight w:val="36"/>
        </w:trPr>
        <w:tc>
          <w:tcPr>
            <w:tcW w:w="9780" w:type="dxa"/>
            <w:vAlign w:val="bottom"/>
            <w:gridSpan w:val="13"/>
          </w:tcPr>
          <w:p>
            <w:pPr>
              <w:ind w:left="620"/>
              <w:spacing w:after="0" w:line="37" w:lineRule="exact"/>
              <w:rPr>
                <w:sz w:val="20"/>
                <w:szCs w:val="20"/>
                <w:color w:val="auto"/>
              </w:rPr>
            </w:pPr>
            <w:r>
              <w:rPr>
                <w:rFonts w:ascii="Arial" w:cs="Arial" w:eastAsia="Arial" w:hAnsi="Arial"/>
                <w:sz w:val="4"/>
                <w:szCs w:val="4"/>
                <w:color w:val="FFFFFF"/>
              </w:rPr>
              <w:t>f an offer tohttps://corpcommunicationssellthesolicitationofan offer to buy any securitiesAdditionalor solicitation of any vote of approval. nor shall there be any sale of securities in any jurisdiction in which such offer,</w:t>
            </w: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solicitation or sale would be unlawful prior to registration or qualification under the securities laws of any such jurisdiction. No offer of securities shall be made except by means of a prospectus meeting</w:t>
            </w: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the requirements of Section 10 of the Securities Act of 1033. as amended (the “Securities Act”). In connection with the proposed combination of Nutrition &amp; Biosciences, Inc. (N&amp;Bco’), a wholly owned</w:t>
            </w:r>
          </w:p>
        </w:tc>
      </w:tr>
      <w:tr>
        <w:trPr>
          <w:trHeight w:val="36"/>
        </w:trPr>
        <w:tc>
          <w:tcPr>
            <w:tcW w:w="3980" w:type="dxa"/>
            <w:vAlign w:val="bottom"/>
            <w:gridSpan w:val="4"/>
          </w:tcPr>
          <w:p>
            <w:pPr>
              <w:spacing w:after="0" w:line="37" w:lineRule="exact"/>
              <w:rPr>
                <w:sz w:val="20"/>
                <w:szCs w:val="20"/>
                <w:color w:val="auto"/>
              </w:rPr>
            </w:pPr>
            <w:r>
              <w:rPr>
                <w:rFonts w:ascii="Arial" w:cs="Arial" w:eastAsia="Arial" w:hAnsi="Arial"/>
                <w:sz w:val="4"/>
                <w:szCs w:val="4"/>
                <w:color w:val="FFFFFF"/>
              </w:rPr>
              <w:t>subsidiary of DuPont de Nemours, Inc. (“DuPont’), and International Flavors &amp;</w:t>
            </w:r>
          </w:p>
        </w:tc>
        <w:tc>
          <w:tcPr>
            <w:tcW w:w="420" w:type="dxa"/>
            <w:vAlign w:val="bottom"/>
          </w:tcPr>
          <w:p>
            <w:pPr>
              <w:spacing w:after="0"/>
              <w:rPr>
                <w:sz w:val="3"/>
                <w:szCs w:val="3"/>
                <w:color w:val="auto"/>
              </w:rPr>
            </w:pPr>
          </w:p>
        </w:tc>
        <w:tc>
          <w:tcPr>
            <w:tcW w:w="5380" w:type="dxa"/>
            <w:vAlign w:val="bottom"/>
            <w:gridSpan w:val="8"/>
          </w:tcPr>
          <w:p>
            <w:pPr>
              <w:jc w:val="right"/>
              <w:ind w:right="120"/>
              <w:spacing w:after="0" w:line="37" w:lineRule="exact"/>
              <w:rPr>
                <w:sz w:val="20"/>
                <w:szCs w:val="20"/>
                <w:color w:val="auto"/>
              </w:rPr>
            </w:pPr>
            <w:r>
              <w:rPr>
                <w:rFonts w:ascii="Arial" w:cs="Arial" w:eastAsia="Arial" w:hAnsi="Arial"/>
                <w:sz w:val="4"/>
                <w:szCs w:val="4"/>
                <w:color w:val="FFFFFF"/>
              </w:rPr>
              <w:t>Inc. (“IFF’), which will immediately follow the proposed separation of N&amp;Bco from DuPont (the “proposed</w:t>
            </w:r>
          </w:p>
        </w:tc>
      </w:tr>
      <w:tr>
        <w:trPr>
          <w:trHeight w:val="36"/>
        </w:trPr>
        <w:tc>
          <w:tcPr>
            <w:tcW w:w="2120" w:type="dxa"/>
            <w:vAlign w:val="bottom"/>
            <w:gridSpan w:val="3"/>
          </w:tcPr>
          <w:p>
            <w:pPr>
              <w:ind w:left="520"/>
              <w:spacing w:after="0" w:line="37" w:lineRule="exact"/>
              <w:rPr>
                <w:sz w:val="20"/>
                <w:szCs w:val="20"/>
                <w:color w:val="auto"/>
              </w:rPr>
            </w:pPr>
            <w:r>
              <w:rPr>
                <w:rFonts w:ascii="Arial" w:cs="Arial" w:eastAsia="Arial" w:hAnsi="Arial"/>
                <w:sz w:val="4"/>
                <w:szCs w:val="4"/>
                <w:color w:val="FFFFFF"/>
              </w:rPr>
              <w:t>’). N&amp;Bco and IFF intend to file</w:t>
            </w:r>
          </w:p>
        </w:tc>
        <w:tc>
          <w:tcPr>
            <w:tcW w:w="3280" w:type="dxa"/>
            <w:vAlign w:val="bottom"/>
            <w:gridSpan w:val="3"/>
          </w:tcPr>
          <w:p>
            <w:pPr>
              <w:ind w:left="420"/>
              <w:spacing w:after="0" w:line="37" w:lineRule="exact"/>
              <w:rPr>
                <w:sz w:val="20"/>
                <w:szCs w:val="20"/>
                <w:color w:val="auto"/>
              </w:rPr>
            </w:pPr>
            <w:r>
              <w:rPr>
                <w:rFonts w:ascii="Arial" w:cs="Arial" w:eastAsia="Arial" w:hAnsi="Arial"/>
                <w:sz w:val="4"/>
                <w:szCs w:val="4"/>
                <w:color w:val="FFFFFF"/>
              </w:rPr>
              <w:t>materials with the SEC. includingFragrancesregistration statement</w:t>
            </w:r>
          </w:p>
        </w:tc>
        <w:tc>
          <w:tcPr>
            <w:tcW w:w="4380" w:type="dxa"/>
            <w:vAlign w:val="bottom"/>
            <w:gridSpan w:val="7"/>
          </w:tcPr>
          <w:p>
            <w:pPr>
              <w:jc w:val="right"/>
              <w:ind w:right="400"/>
              <w:spacing w:after="0" w:line="37" w:lineRule="exact"/>
              <w:rPr>
                <w:sz w:val="20"/>
                <w:szCs w:val="20"/>
                <w:color w:val="auto"/>
              </w:rPr>
            </w:pPr>
            <w:r>
              <w:rPr>
                <w:rFonts w:ascii="Arial" w:cs="Arial" w:eastAsia="Arial" w:hAnsi="Arial"/>
                <w:sz w:val="4"/>
                <w:szCs w:val="4"/>
                <w:color w:val="FFFFFF"/>
              </w:rPr>
              <w:t>Form  -4 that wiII include a proxy statement/prospectus relating to the proposed</w:t>
            </w: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transaction. In addition, N&amp;Bco expects to filerelevantregistration statement in connection with its separation from DuPont INVESTORS AND SECURITY HOLDERS ARE URGED TO READ THE</w:t>
            </w:r>
          </w:p>
        </w:tc>
      </w:tr>
      <w:tr>
        <w:trPr>
          <w:trHeight w:val="36"/>
        </w:trPr>
        <w:tc>
          <w:tcPr>
            <w:tcW w:w="980" w:type="dxa"/>
            <w:vAlign w:val="bottom"/>
          </w:tcPr>
          <w:p>
            <w:pPr>
              <w:spacing w:after="0" w:line="37" w:lineRule="exact"/>
              <w:rPr>
                <w:sz w:val="20"/>
                <w:szCs w:val="20"/>
                <w:color w:val="auto"/>
              </w:rPr>
            </w:pPr>
            <w:r>
              <w:rPr>
                <w:rFonts w:ascii="Arial" w:cs="Arial" w:eastAsia="Arial" w:hAnsi="Arial"/>
                <w:sz w:val="4"/>
                <w:szCs w:val="4"/>
                <w:color w:val="FFFFFF"/>
              </w:rPr>
              <w:t>REGISTRATION</w:t>
            </w:r>
          </w:p>
        </w:tc>
        <w:tc>
          <w:tcPr>
            <w:tcW w:w="8340" w:type="dxa"/>
            <w:vAlign w:val="bottom"/>
            <w:gridSpan w:val="11"/>
          </w:tcPr>
          <w:p>
            <w:pPr>
              <w:ind w:left="100"/>
              <w:spacing w:after="0" w:line="37" w:lineRule="exact"/>
              <w:rPr>
                <w:sz w:val="20"/>
                <w:szCs w:val="20"/>
                <w:color w:val="auto"/>
              </w:rPr>
            </w:pPr>
            <w:r>
              <w:rPr>
                <w:rFonts w:ascii="Arial" w:cs="Arial" w:eastAsia="Arial" w:hAnsi="Arial"/>
                <w:sz w:val="4"/>
                <w:szCs w:val="4"/>
                <w:color w:val="FFFFFF"/>
              </w:rPr>
              <w:t>TEMENTS. PROXY ST TEMENT/PROSPECTUS AND ANY OTHER RELEVANT DOCUMENTS WHEN THEY BECOME AVAILABLE BECAUSE THEY WILL</w:t>
            </w:r>
          </w:p>
        </w:tc>
        <w:tc>
          <w:tcPr>
            <w:tcW w:w="460" w:type="dxa"/>
            <w:vAlign w:val="bottom"/>
          </w:tcPr>
          <w:p>
            <w:pPr>
              <w:spacing w:after="0"/>
              <w:rPr>
                <w:sz w:val="3"/>
                <w:szCs w:val="3"/>
                <w:color w:val="auto"/>
              </w:rPr>
            </w:pP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CONTAIN IMPORSTANT INFORMATION ABOUT IFF. N&amp;BCO AND THE PROPOSED TRANSACTION. A definitive proxy statement will be sent to shareholders of IFF seeking approval of the</w:t>
            </w:r>
          </w:p>
        </w:tc>
      </w:tr>
      <w:tr>
        <w:trPr>
          <w:trHeight w:val="36"/>
        </w:trPr>
        <w:tc>
          <w:tcPr>
            <w:tcW w:w="4400" w:type="dxa"/>
            <w:vAlign w:val="bottom"/>
            <w:gridSpan w:val="5"/>
          </w:tcPr>
          <w:p>
            <w:pPr>
              <w:spacing w:after="0" w:line="37" w:lineRule="exact"/>
              <w:rPr>
                <w:sz w:val="20"/>
                <w:szCs w:val="20"/>
                <w:color w:val="auto"/>
              </w:rPr>
            </w:pPr>
            <w:r>
              <w:rPr>
                <w:rFonts w:ascii="Arial" w:cs="Arial" w:eastAsia="Arial" w:hAnsi="Arial"/>
                <w:sz w:val="4"/>
                <w:szCs w:val="4"/>
                <w:color w:val="FFFFFF"/>
              </w:rPr>
              <w:t>proposed transaction. The documents relating to the Proposed transaction (when they are</w:t>
            </w:r>
          </w:p>
        </w:tc>
        <w:tc>
          <w:tcPr>
            <w:tcW w:w="5380" w:type="dxa"/>
            <w:vAlign w:val="bottom"/>
            <w:gridSpan w:val="8"/>
          </w:tcPr>
          <w:p>
            <w:pPr>
              <w:jc w:val="right"/>
              <w:spacing w:after="0" w:line="37" w:lineRule="exact"/>
              <w:rPr>
                <w:sz w:val="20"/>
                <w:szCs w:val="20"/>
                <w:color w:val="auto"/>
              </w:rPr>
            </w:pPr>
            <w:r>
              <w:rPr>
                <w:rFonts w:ascii="Arial" w:cs="Arial" w:eastAsia="Arial" w:hAnsi="Arial"/>
                <w:sz w:val="4"/>
                <w:szCs w:val="4"/>
                <w:color w:val="FFFFFF"/>
              </w:rPr>
              <w:t>can be obtained free of charge from the SEC’s website at www.   .gov. The proxy statement prospectus</w:t>
            </w:r>
          </w:p>
        </w:tc>
      </w:tr>
      <w:tr>
        <w:trPr>
          <w:trHeight w:val="36"/>
        </w:trPr>
        <w:tc>
          <w:tcPr>
            <w:tcW w:w="7420" w:type="dxa"/>
            <w:vAlign w:val="bottom"/>
            <w:gridSpan w:val="9"/>
          </w:tcPr>
          <w:p>
            <w:pPr>
              <w:spacing w:after="0" w:line="37" w:lineRule="exact"/>
              <w:rPr>
                <w:sz w:val="20"/>
                <w:szCs w:val="20"/>
                <w:color w:val="auto"/>
              </w:rPr>
            </w:pPr>
            <w:r>
              <w:rPr>
                <w:rFonts w:ascii="Arial" w:cs="Arial" w:eastAsia="Arial" w:hAnsi="Arial"/>
                <w:sz w:val="4"/>
                <w:szCs w:val="4"/>
                <w:color w:val="FFFFFF"/>
              </w:rPr>
              <w:t>and/or information statement and other- documents (when they are available) will also be available) free of charge or IFFs website at https://ir.iff com. or</w:t>
            </w:r>
          </w:p>
        </w:tc>
        <w:tc>
          <w:tcPr>
            <w:tcW w:w="1520" w:type="dxa"/>
            <w:vAlign w:val="bottom"/>
          </w:tcPr>
          <w:p>
            <w:pPr>
              <w:ind w:left="60"/>
              <w:spacing w:after="0" w:line="37" w:lineRule="exact"/>
              <w:rPr>
                <w:sz w:val="20"/>
                <w:szCs w:val="20"/>
                <w:color w:val="auto"/>
              </w:rPr>
            </w:pPr>
            <w:r>
              <w:rPr>
                <w:rFonts w:ascii="Arial" w:cs="Arial" w:eastAsia="Arial" w:hAnsi="Arial"/>
                <w:sz w:val="4"/>
                <w:szCs w:val="4"/>
                <w:color w:val="FFFFFF"/>
              </w:rPr>
              <w:t>DuPont’secwebsite at</w:t>
            </w: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https://www.investors.dupont.conv,investors.,dupont- investors/defauIt.aspx Cautionary Note on Forward-Looking Statements This communication contains “forward-looking statements’ within the</w:t>
            </w:r>
          </w:p>
        </w:tc>
      </w:tr>
      <w:tr>
        <w:trPr>
          <w:trHeight w:val="36"/>
        </w:trPr>
        <w:tc>
          <w:tcPr>
            <w:tcW w:w="2120" w:type="dxa"/>
            <w:vAlign w:val="bottom"/>
            <w:gridSpan w:val="3"/>
          </w:tcPr>
          <w:p>
            <w:pPr>
              <w:spacing w:after="0" w:line="37" w:lineRule="exact"/>
              <w:rPr>
                <w:sz w:val="20"/>
                <w:szCs w:val="20"/>
                <w:color w:val="auto"/>
              </w:rPr>
            </w:pPr>
            <w:r>
              <w:rPr>
                <w:rFonts w:ascii="Arial" w:cs="Arial" w:eastAsia="Arial" w:hAnsi="Arial"/>
                <w:sz w:val="4"/>
                <w:szCs w:val="4"/>
                <w:color w:val="FFFFFF"/>
              </w:rPr>
              <w:t>meaning of the federal securities Laws, incl</w:t>
            </w:r>
          </w:p>
        </w:tc>
        <w:tc>
          <w:tcPr>
            <w:tcW w:w="7660" w:type="dxa"/>
            <w:vAlign w:val="bottom"/>
            <w:gridSpan w:val="10"/>
          </w:tcPr>
          <w:p>
            <w:pPr>
              <w:jc w:val="right"/>
              <w:ind w:right="140"/>
              <w:spacing w:after="0" w:line="37" w:lineRule="exact"/>
              <w:rPr>
                <w:sz w:val="20"/>
                <w:szCs w:val="20"/>
                <w:color w:val="auto"/>
              </w:rPr>
            </w:pPr>
            <w:r>
              <w:rPr>
                <w:rFonts w:ascii="Arial" w:cs="Arial" w:eastAsia="Arial" w:hAnsi="Arial"/>
                <w:sz w:val="4"/>
                <w:szCs w:val="4"/>
                <w:color w:val="FFFFFF"/>
              </w:rPr>
              <w:t>ding Section 27A of the Securities Act and Section 21E of the Securities Exchange Act of 1034. as amended (the ‘Exchange Act”) In this context, forward-</w:t>
            </w: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looking statements often address expected future business and financial performance and financial condition, and often contain words such as “expect,” ‘anticipate,’ ‘intend,’ ‘plan,’ “believe.” ‘seek.’</w:t>
            </w: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‘see,’ “will,” ‘would.’ ‘target,’ similar expressions, and variations   negatives of these words. Forward-looking statements by their nature address matters that are, to different degrees. uncertain, such as</w:t>
            </w:r>
          </w:p>
        </w:tc>
      </w:tr>
      <w:tr>
        <w:trPr>
          <w:trHeight w:val="36"/>
        </w:trPr>
        <w:tc>
          <w:tcPr>
            <w:tcW w:w="4400" w:type="dxa"/>
            <w:vAlign w:val="bottom"/>
            <w:gridSpan w:val="5"/>
          </w:tcPr>
          <w:p>
            <w:pPr>
              <w:spacing w:after="0" w:line="37" w:lineRule="exact"/>
              <w:rPr>
                <w:sz w:val="20"/>
                <w:szCs w:val="20"/>
                <w:color w:val="auto"/>
              </w:rPr>
            </w:pPr>
            <w:r>
              <w:rPr>
                <w:rFonts w:ascii="Arial" w:cs="Arial" w:eastAsia="Arial" w:hAnsi="Arial"/>
                <w:sz w:val="4"/>
                <w:szCs w:val="4"/>
                <w:color w:val="FFFFFF"/>
              </w:rPr>
              <w:t>statements about the proposed transaction, the expected timetable for completing the</w:t>
            </w:r>
          </w:p>
        </w:tc>
        <w:tc>
          <w:tcPr>
            <w:tcW w:w="5380" w:type="dxa"/>
            <w:vAlign w:val="bottom"/>
            <w:gridSpan w:val="8"/>
          </w:tcPr>
          <w:p>
            <w:pPr>
              <w:jc w:val="right"/>
              <w:ind w:right="180"/>
              <w:spacing w:after="0" w:line="37" w:lineRule="exact"/>
              <w:rPr>
                <w:sz w:val="20"/>
                <w:szCs w:val="20"/>
                <w:color w:val="auto"/>
              </w:rPr>
            </w:pPr>
            <w:r>
              <w:rPr>
                <w:rFonts w:ascii="Arial" w:cs="Arial" w:eastAsia="Arial" w:hAnsi="Arial"/>
                <w:sz w:val="4"/>
                <w:szCs w:val="4"/>
                <w:color w:val="FFFFFF"/>
              </w:rPr>
              <w:t>trans ction, the benefits and synergies of the proposed transaction, future opportunities for the combined</w:t>
            </w: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company and products and any other statements regarding DuPont’s. IFFs and N&amp;Bcoproposedfuture operations, financial or operating results, capital allocation, dividend policy, debt ratio, anticipated business</w:t>
            </w:r>
          </w:p>
        </w:tc>
      </w:tr>
      <w:tr>
        <w:trPr>
          <w:trHeight w:val="36"/>
        </w:trPr>
        <w:tc>
          <w:tcPr>
            <w:tcW w:w="3980" w:type="dxa"/>
            <w:vAlign w:val="bottom"/>
            <w:gridSpan w:val="4"/>
          </w:tcPr>
          <w:p>
            <w:pPr>
              <w:spacing w:after="0" w:line="37" w:lineRule="exact"/>
              <w:rPr>
                <w:sz w:val="20"/>
                <w:szCs w:val="20"/>
                <w:color w:val="auto"/>
              </w:rPr>
            </w:pPr>
            <w:r>
              <w:rPr>
                <w:rFonts w:ascii="Arial" w:cs="Arial" w:eastAsia="Arial" w:hAnsi="Arial"/>
                <w:sz w:val="4"/>
                <w:szCs w:val="4"/>
                <w:color w:val="FFFFFF"/>
              </w:rPr>
              <w:t>levels, future earnings, planned activities, anticipated growth, market</w:t>
            </w:r>
          </w:p>
        </w:tc>
        <w:tc>
          <w:tcPr>
            <w:tcW w:w="5800" w:type="dxa"/>
            <w:vAlign w:val="bottom"/>
            <w:gridSpan w:val="9"/>
          </w:tcPr>
          <w:p>
            <w:pPr>
              <w:jc w:val="right"/>
              <w:ind w:right="160"/>
              <w:spacing w:after="0" w:line="37" w:lineRule="exact"/>
              <w:rPr>
                <w:sz w:val="20"/>
                <w:szCs w:val="20"/>
                <w:color w:val="auto"/>
              </w:rPr>
            </w:pPr>
            <w:r>
              <w:rPr>
                <w:rFonts w:ascii="Arial" w:cs="Arial" w:eastAsia="Arial" w:hAnsi="Arial"/>
                <w:sz w:val="4"/>
                <w:szCs w:val="4"/>
                <w:color w:val="FFFFFF"/>
              </w:rPr>
              <w:t>strategies, competitions, and other expectations and targets for future periods. There are several factors which could</w:t>
            </w: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cause actual plans and results to differ materially from those expressedopportunities,impliedin forward-looking statements. Such factors include, but are not limited to. (1) the parties’ ability   meet expectations</w:t>
            </w: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regarding the timing. completion and accounting and tax treatments of the proposed transaction. (2) changes in relevant tax and other laws. (3)  ny failure to obtain necessary regulatory approvals,</w:t>
            </w:r>
          </w:p>
        </w:tc>
      </w:tr>
      <w:tr>
        <w:trPr>
          <w:trHeight w:val="36"/>
        </w:trPr>
        <w:tc>
          <w:tcPr>
            <w:tcW w:w="3980" w:type="dxa"/>
            <w:vAlign w:val="bottom"/>
            <w:gridSpan w:val="4"/>
          </w:tcPr>
          <w:p>
            <w:pPr>
              <w:spacing w:after="0" w:line="37" w:lineRule="exact"/>
              <w:rPr>
                <w:sz w:val="20"/>
                <w:szCs w:val="20"/>
                <w:color w:val="auto"/>
              </w:rPr>
            </w:pPr>
            <w:r>
              <w:rPr>
                <w:rFonts w:ascii="Arial" w:cs="Arial" w:eastAsia="Arial" w:hAnsi="Arial"/>
                <w:sz w:val="4"/>
                <w:szCs w:val="4"/>
                <w:color w:val="FFFFFF"/>
              </w:rPr>
              <w:t>approval of IFFs shareholders, anticipated tax treatment or any required financing</w:t>
            </w:r>
          </w:p>
        </w:tc>
        <w:tc>
          <w:tcPr>
            <w:tcW w:w="5800" w:type="dxa"/>
            <w:vAlign w:val="bottom"/>
            <w:gridSpan w:val="9"/>
          </w:tcPr>
          <w:p>
            <w:pPr>
              <w:jc w:val="right"/>
              <w:ind w:right="100"/>
              <w:spacing w:after="0" w:line="37" w:lineRule="exact"/>
              <w:rPr>
                <w:sz w:val="20"/>
                <w:szCs w:val="20"/>
                <w:color w:val="auto"/>
              </w:rPr>
            </w:pPr>
            <w:r>
              <w:rPr>
                <w:rFonts w:ascii="Arial" w:cs="Arial" w:eastAsia="Arial" w:hAnsi="Arial"/>
                <w:sz w:val="4"/>
                <w:szCs w:val="4"/>
                <w:color w:val="FFFFFF"/>
              </w:rPr>
              <w:t>to satisfy any of the other conditions to the proposed transaction, (4) the possibility that unforeseen liabilities, future</w:t>
            </w: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capital expenditures, revenues, expenses, earnings, synergies, economic performance, indebtedness, financial condition, losses, future prospects, business and management strategies that could impact the</w:t>
            </w: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value, timing or pursuit of the proposed transaction, (5) risks and costs and pursuit and/or implementation of the separation of N&amp;Bco, including timing anticipated to complete the separation, any</w:t>
            </w: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changes to the configuration of businesses included in the separation if implemented. (6) risks related to indemnification of certain legacy liabilities of E. I. du Pont de Nemours and Company (“Historical</w:t>
            </w:r>
          </w:p>
        </w:tc>
      </w:tr>
      <w:tr>
        <w:trPr>
          <w:trHeight w:val="36"/>
        </w:trPr>
        <w:tc>
          <w:tcPr>
            <w:tcW w:w="1920" w:type="dxa"/>
            <w:vAlign w:val="bottom"/>
            <w:gridSpan w:val="2"/>
          </w:tcPr>
          <w:p>
            <w:pPr>
              <w:spacing w:after="0" w:line="37" w:lineRule="exact"/>
              <w:rPr>
                <w:sz w:val="20"/>
                <w:szCs w:val="20"/>
                <w:color w:val="auto"/>
              </w:rPr>
            </w:pPr>
            <w:r>
              <w:rPr>
                <w:rFonts w:ascii="Arial" w:cs="Arial" w:eastAsia="Arial" w:hAnsi="Arial"/>
                <w:sz w:val="4"/>
                <w:szCs w:val="4"/>
                <w:color w:val="FFFFFF"/>
              </w:rPr>
              <w:t>EID’) in connection with the</w:t>
            </w:r>
          </w:p>
        </w:tc>
        <w:tc>
          <w:tcPr>
            <w:tcW w:w="7860" w:type="dxa"/>
            <w:vAlign w:val="bottom"/>
            <w:gridSpan w:val="11"/>
          </w:tcPr>
          <w:p>
            <w:pPr>
              <w:jc w:val="right"/>
              <w:ind w:right="300"/>
              <w:spacing w:after="0" w:line="37" w:lineRule="exact"/>
              <w:rPr>
                <w:sz w:val="20"/>
                <w:szCs w:val="20"/>
                <w:color w:val="auto"/>
              </w:rPr>
            </w:pPr>
            <w:r>
              <w:rPr>
                <w:rFonts w:ascii="Arial" w:cs="Arial" w:eastAsia="Arial" w:hAnsi="Arial"/>
                <w:sz w:val="4"/>
                <w:szCs w:val="4"/>
                <w:color w:val="FFFFFF"/>
              </w:rPr>
              <w:t>of Corteva Inc. on June 1. 2010 (the ‘Corteva Distribution”). (7) potential liability arising from fraudulent conveyance and similar Laws in connection with</w:t>
            </w: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DuPont’s distribution of DowdistributionInc.April 1,2010 and/or the Corteva Distributions (the ‘Previous Distributions’), (8) failure to effectively manage acquisitions, divestitures, alliances, joint ventures and</w:t>
            </w:r>
          </w:p>
        </w:tc>
      </w:tr>
      <w:tr>
        <w:trPr>
          <w:trHeight w:val="36"/>
        </w:trPr>
        <w:tc>
          <w:tcPr>
            <w:tcW w:w="8940" w:type="dxa"/>
            <w:vAlign w:val="bottom"/>
            <w:gridSpan w:val="10"/>
          </w:tcPr>
          <w:p>
            <w:pPr>
              <w:spacing w:after="0" w:line="37" w:lineRule="exact"/>
              <w:rPr>
                <w:sz w:val="20"/>
                <w:szCs w:val="20"/>
                <w:color w:val="auto"/>
              </w:rPr>
            </w:pPr>
            <w:r>
              <w:rPr>
                <w:rFonts w:ascii="Arial" w:cs="Arial" w:eastAsia="Arial" w:hAnsi="Arial"/>
                <w:sz w:val="4"/>
                <w:szCs w:val="4"/>
                <w:color w:val="FFFFFF"/>
              </w:rPr>
              <w:t>other portfolio changes, including meeting conditions under the Letter Agreement entered in connection with the Corteva Distribution, related to the transfer of certain levels of assets</w:t>
            </w:r>
          </w:p>
        </w:tc>
        <w:tc>
          <w:tcPr>
            <w:tcW w:w="840" w:type="dxa"/>
            <w:vAlign w:val="bottom"/>
            <w:gridSpan w:val="3"/>
          </w:tcPr>
          <w:p>
            <w:pPr>
              <w:jc w:val="right"/>
              <w:ind w:right="60"/>
              <w:spacing w:after="0" w:line="37" w:lineRule="exact"/>
              <w:rPr>
                <w:sz w:val="20"/>
                <w:szCs w:val="20"/>
                <w:color w:val="auto"/>
              </w:rPr>
            </w:pPr>
            <w:r>
              <w:rPr>
                <w:rFonts w:ascii="Arial" w:cs="Arial" w:eastAsia="Arial" w:hAnsi="Arial"/>
                <w:sz w:val="4"/>
                <w:szCs w:val="4"/>
                <w:color w:val="FFFFFF"/>
              </w:rPr>
              <w:t>businesses. (0)</w:t>
            </w: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uncertainty as to the long-term value of DuPont common stock. (10) potential inability or reduced access to the capital markets or increased cost of borrowings, including   a result ofandcredit rating</w:t>
            </w:r>
          </w:p>
        </w:tc>
      </w:tr>
      <w:tr>
        <w:trPr>
          <w:trHeight w:val="36"/>
        </w:trPr>
        <w:tc>
          <w:tcPr>
            <w:tcW w:w="1920" w:type="dxa"/>
            <w:vAlign w:val="bottom"/>
            <w:gridSpan w:val="2"/>
          </w:tcPr>
          <w:p>
            <w:pPr>
              <w:spacing w:after="0" w:line="37" w:lineRule="exact"/>
              <w:rPr>
                <w:sz w:val="20"/>
                <w:szCs w:val="20"/>
                <w:color w:val="auto"/>
              </w:rPr>
            </w:pPr>
            <w:r>
              <w:rPr>
                <w:rFonts w:ascii="Arial" w:cs="Arial" w:eastAsia="Arial" w:hAnsi="Arial"/>
                <w:sz w:val="4"/>
                <w:szCs w:val="4"/>
                <w:color w:val="FFFFFF"/>
              </w:rPr>
              <w:t>downgrade, (11) inherent uncertainties</w:t>
            </w:r>
          </w:p>
        </w:tc>
        <w:tc>
          <w:tcPr>
            <w:tcW w:w="200" w:type="dxa"/>
            <w:vAlign w:val="bottom"/>
          </w:tcPr>
          <w:p>
            <w:pPr>
              <w:spacing w:after="0"/>
              <w:rPr>
                <w:sz w:val="3"/>
                <w:szCs w:val="3"/>
                <w:color w:val="auto"/>
              </w:rPr>
            </w:pPr>
          </w:p>
        </w:tc>
        <w:tc>
          <w:tcPr>
            <w:tcW w:w="2280" w:type="dxa"/>
            <w:vAlign w:val="bottom"/>
            <w:gridSpan w:val="2"/>
          </w:tcPr>
          <w:p>
            <w:pPr>
              <w:jc w:val="center"/>
              <w:ind w:left="150"/>
              <w:spacing w:after="0" w:line="37" w:lineRule="exact"/>
              <w:rPr>
                <w:sz w:val="20"/>
                <w:szCs w:val="20"/>
                <w:color w:val="auto"/>
              </w:rPr>
            </w:pPr>
            <w:r>
              <w:rPr>
                <w:rFonts w:ascii="Arial" w:cs="Arial" w:eastAsia="Arial" w:hAnsi="Arial"/>
                <w:sz w:val="4"/>
                <w:szCs w:val="4"/>
                <w:color w:val="FFFFFF"/>
              </w:rPr>
              <w:t>in the estimates and judgments used in the</w:t>
            </w:r>
          </w:p>
        </w:tc>
        <w:tc>
          <w:tcPr>
            <w:tcW w:w="5380" w:type="dxa"/>
            <w:vAlign w:val="bottom"/>
            <w:gridSpan w:val="8"/>
          </w:tcPr>
          <w:p>
            <w:pPr>
              <w:jc w:val="right"/>
              <w:ind w:right="20"/>
              <w:spacing w:after="0" w:line="37" w:lineRule="exact"/>
              <w:rPr>
                <w:sz w:val="20"/>
                <w:szCs w:val="20"/>
                <w:color w:val="auto"/>
              </w:rPr>
            </w:pPr>
            <w:r>
              <w:rPr>
                <w:rFonts w:ascii="Arial" w:cs="Arial" w:eastAsia="Arial" w:hAnsi="Arial"/>
                <w:sz w:val="4"/>
                <w:szCs w:val="4"/>
                <w:color w:val="FFFFFF"/>
              </w:rPr>
              <w:t>of financial statements and the providing of estimates of financial measures, in accordance with the</w:t>
            </w: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accounting principles generally acceptedinvolvedtheUnited States of America and related standards,preparationoran adjusted basis, (12) the integration of IFF and its Frutarom business and/or N&amp;Bco being more</w:t>
            </w: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difficult time consuming or costly than expected. (13) the failure to achieve expected or targeted future financial and operating performance and results, (14) the possibility that IFF may be unable to</w:t>
            </w: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achieve expected benefits, synergies and operating efficiencies in connection with the proposed transaction within the expected time frames or at all or to successfully integrate Frutarom and N&amp;Bco, (15)</w:t>
            </w: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customer loss and business disruption being greater than expected following the proposed transaction, (16) the impact of divestitures required as a condition to consummation of the proposed transaction</w:t>
            </w:r>
          </w:p>
        </w:tc>
      </w:tr>
      <w:tr>
        <w:trPr>
          <w:trHeight w:val="36"/>
        </w:trPr>
        <w:tc>
          <w:tcPr>
            <w:tcW w:w="8940" w:type="dxa"/>
            <w:vAlign w:val="bottom"/>
            <w:gridSpan w:val="10"/>
          </w:tcPr>
          <w:p>
            <w:pPr>
              <w:spacing w:after="0" w:line="37" w:lineRule="exact"/>
              <w:rPr>
                <w:sz w:val="20"/>
                <w:szCs w:val="20"/>
                <w:color w:val="auto"/>
              </w:rPr>
            </w:pPr>
            <w:r>
              <w:rPr>
                <w:rFonts w:ascii="Arial" w:cs="Arial" w:eastAsia="Arial" w:hAnsi="Arial"/>
                <w:sz w:val="4"/>
                <w:szCs w:val="4"/>
                <w:color w:val="FFFFFF"/>
              </w:rPr>
              <w:t>as well as ocher conditional commitments. (17) legislative, regulatory and economic developments. (18) an increase or decrease in the anticipated transaction taxes (including due to any</w:t>
            </w: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jc w:val="right"/>
              <w:ind w:right="140"/>
              <w:spacing w:after="0" w:line="37" w:lineRule="exact"/>
              <w:rPr>
                <w:sz w:val="20"/>
                <w:szCs w:val="20"/>
                <w:color w:val="auto"/>
              </w:rPr>
            </w:pPr>
            <w:r>
              <w:rPr>
                <w:rFonts w:ascii="Arial" w:cs="Arial" w:eastAsia="Arial" w:hAnsi="Arial"/>
                <w:sz w:val="4"/>
                <w:szCs w:val="4"/>
                <w:color w:val="FFFFFF"/>
              </w:rPr>
              <w:t>to tax</w:t>
            </w:r>
          </w:p>
        </w:tc>
      </w:tr>
      <w:tr>
        <w:trPr>
          <w:trHeight w:val="36"/>
        </w:trPr>
        <w:tc>
          <w:tcPr>
            <w:tcW w:w="9320" w:type="dxa"/>
            <w:vAlign w:val="bottom"/>
            <w:gridSpan w:val="12"/>
          </w:tcPr>
          <w:p>
            <w:pPr>
              <w:spacing w:after="0" w:line="37" w:lineRule="exact"/>
              <w:rPr>
                <w:sz w:val="20"/>
                <w:szCs w:val="20"/>
                <w:color w:val="auto"/>
              </w:rPr>
            </w:pPr>
            <w:r>
              <w:rPr>
                <w:rFonts w:ascii="Arial" w:cs="Arial" w:eastAsia="Arial" w:hAnsi="Arial"/>
                <w:sz w:val="4"/>
                <w:szCs w:val="4"/>
                <w:color w:val="FFFFFF"/>
              </w:rPr>
              <w:t>legislation and its impact on tax rates (and the timing of the effectiveness of any such changes)) to be paid in connection with the separation prior to the closing of the transactions could causechanges</w:t>
            </w:r>
          </w:p>
        </w:tc>
        <w:tc>
          <w:tcPr>
            <w:tcW w:w="460" w:type="dxa"/>
            <w:vAlign w:val="bottom"/>
          </w:tcPr>
          <w:p>
            <w:pPr>
              <w:spacing w:after="0"/>
              <w:rPr>
                <w:sz w:val="3"/>
                <w:szCs w:val="3"/>
                <w:color w:val="auto"/>
              </w:rPr>
            </w:pP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adjustment to the exchange ratio. (10) potential litigation relating to the proposed transaction that could be instituted against DuPont, IFF or their respective directors, (20) risks associated with third party</w:t>
            </w: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contracts containing consent and/or other provisions that may be triggered by the proposed transaction, (21) negative effects of the announcement or the consummation of the transaction on the market</w:t>
            </w:r>
          </w:p>
        </w:tc>
      </w:tr>
      <w:tr>
        <w:trPr>
          <w:trHeight w:val="36"/>
        </w:trPr>
        <w:tc>
          <w:tcPr>
            <w:tcW w:w="8940" w:type="dxa"/>
            <w:vAlign w:val="bottom"/>
            <w:gridSpan w:val="10"/>
          </w:tcPr>
          <w:p>
            <w:pPr>
              <w:spacing w:after="0" w:line="37" w:lineRule="exact"/>
              <w:rPr>
                <w:sz w:val="20"/>
                <w:szCs w:val="20"/>
                <w:color w:val="auto"/>
              </w:rPr>
            </w:pPr>
            <w:r>
              <w:rPr>
                <w:rFonts w:ascii="Arial" w:cs="Arial" w:eastAsia="Arial" w:hAnsi="Arial"/>
                <w:sz w:val="4"/>
                <w:szCs w:val="4"/>
                <w:color w:val="FFFFFF"/>
              </w:rPr>
              <w:t>once of DuPont’s and/or IFFs common stock, (22) risks relating to the value of the IFF shares to be issued   the transaction and uncertainty as to the long-term value of IFF’s common</w:t>
            </w:r>
          </w:p>
        </w:tc>
        <w:tc>
          <w:tcPr>
            <w:tcW w:w="200" w:type="dxa"/>
            <w:vAlign w:val="bottom"/>
          </w:tcPr>
          <w:p>
            <w:pPr>
              <w:spacing w:after="0"/>
              <w:rPr>
                <w:sz w:val="3"/>
                <w:szCs w:val="3"/>
                <w:color w:val="auto"/>
              </w:rPr>
            </w:pPr>
          </w:p>
        </w:tc>
        <w:tc>
          <w:tcPr>
            <w:tcW w:w="640" w:type="dxa"/>
            <w:vAlign w:val="bottom"/>
            <w:gridSpan w:val="2"/>
          </w:tcPr>
          <w:p>
            <w:pPr>
              <w:jc w:val="right"/>
              <w:ind w:right="140"/>
              <w:spacing w:after="0" w:line="37" w:lineRule="exact"/>
              <w:rPr>
                <w:sz w:val="20"/>
                <w:szCs w:val="20"/>
                <w:color w:val="auto"/>
              </w:rPr>
            </w:pPr>
            <w:r>
              <w:rPr>
                <w:rFonts w:ascii="Arial" w:cs="Arial" w:eastAsia="Arial" w:hAnsi="Arial"/>
                <w:sz w:val="4"/>
                <w:szCs w:val="4"/>
                <w:color w:val="FFFFFF"/>
              </w:rPr>
              <w:t>(23) risks</w:t>
            </w:r>
          </w:p>
        </w:tc>
      </w:tr>
      <w:tr>
        <w:trPr>
          <w:trHeight w:val="36"/>
        </w:trPr>
        <w:tc>
          <w:tcPr>
            <w:tcW w:w="5600" w:type="dxa"/>
            <w:vAlign w:val="bottom"/>
            <w:gridSpan w:val="7"/>
          </w:tcPr>
          <w:p>
            <w:pPr>
              <w:spacing w:after="0" w:line="37" w:lineRule="exact"/>
              <w:rPr>
                <w:sz w:val="20"/>
                <w:szCs w:val="20"/>
                <w:color w:val="auto"/>
              </w:rPr>
            </w:pPr>
            <w:r>
              <w:rPr>
                <w:rFonts w:ascii="Arial" w:cs="Arial" w:eastAsia="Arial" w:hAnsi="Arial"/>
                <w:sz w:val="4"/>
                <w:szCs w:val="4"/>
                <w:color w:val="FFFFFF"/>
              </w:rPr>
              <w:t>relating to IFF s ongoing investigations into improper payments made in Frutarom businesses principally operating</w:t>
            </w:r>
          </w:p>
        </w:tc>
        <w:tc>
          <w:tcPr>
            <w:tcW w:w="3540" w:type="dxa"/>
            <w:vAlign w:val="bottom"/>
            <w:gridSpan w:val="4"/>
          </w:tcPr>
          <w:p>
            <w:pPr>
              <w:ind w:left="80"/>
              <w:spacing w:after="0" w:line="37" w:lineRule="exact"/>
              <w:rPr>
                <w:sz w:val="20"/>
                <w:szCs w:val="20"/>
                <w:color w:val="auto"/>
              </w:rPr>
            </w:pPr>
            <w:r>
              <w:rPr>
                <w:rFonts w:ascii="Arial" w:cs="Arial" w:eastAsia="Arial" w:hAnsi="Arial"/>
                <w:sz w:val="4"/>
                <w:szCs w:val="4"/>
                <w:color w:val="FFFFFF"/>
              </w:rPr>
              <w:t>Russia and the Ukraine, including expenses incurred with respect stock,the</w:t>
            </w: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r>
      <w:tr>
        <w:trPr>
          <w:trHeight w:val="36"/>
        </w:trPr>
        <w:tc>
          <w:tcPr>
            <w:tcW w:w="6080" w:type="dxa"/>
            <w:vAlign w:val="bottom"/>
            <w:gridSpan w:val="8"/>
          </w:tcPr>
          <w:p>
            <w:pPr>
              <w:jc w:val="center"/>
              <w:ind w:left="619"/>
              <w:spacing w:after="0" w:line="37" w:lineRule="exact"/>
              <w:rPr>
                <w:sz w:val="20"/>
                <w:szCs w:val="20"/>
                <w:color w:val="auto"/>
              </w:rPr>
            </w:pPr>
            <w:r>
              <w:rPr>
                <w:rFonts w:ascii="Arial" w:cs="Arial" w:eastAsia="Arial" w:hAnsi="Arial"/>
                <w:sz w:val="4"/>
                <w:szCs w:val="4"/>
                <w:color w:val="FFFFFF"/>
              </w:rPr>
              <w:t>the cost of any remedial measures or compliance programs arising out of the investigations, legal proceedings</w:t>
            </w:r>
          </w:p>
        </w:tc>
        <w:tc>
          <w:tcPr>
            <w:tcW w:w="3700" w:type="dxa"/>
            <w:vAlign w:val="bottom"/>
            <w:gridSpan w:val="5"/>
          </w:tcPr>
          <w:p>
            <w:pPr>
              <w:jc w:val="right"/>
              <w:ind w:right="180"/>
              <w:spacing w:after="0" w:line="37" w:lineRule="exact"/>
              <w:rPr>
                <w:sz w:val="20"/>
                <w:szCs w:val="20"/>
                <w:color w:val="auto"/>
              </w:rPr>
            </w:pPr>
            <w:r>
              <w:rPr>
                <w:rFonts w:ascii="Arial" w:cs="Arial" w:eastAsia="Arial" w:hAnsi="Arial"/>
                <w:sz w:val="4"/>
                <w:szCs w:val="4"/>
                <w:color w:val="FFFFFF"/>
              </w:rPr>
              <w:t>government investigations that may arise relating to the subject of IFFs</w:t>
            </w: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investigations, and the outcome of any such legal or government investigations, such as the imposition of fines, penalties, orders, or injunctions. (24) the impact of the failure to comply with U.S. or</w:t>
            </w:r>
          </w:p>
        </w:tc>
      </w:tr>
      <w:tr>
        <w:trPr>
          <w:trHeight w:val="36"/>
        </w:trPr>
        <w:tc>
          <w:tcPr>
            <w:tcW w:w="9780" w:type="dxa"/>
            <w:vAlign w:val="bottom"/>
            <w:gridSpan w:val="13"/>
          </w:tcPr>
          <w:p>
            <w:pPr>
              <w:spacing w:after="0" w:line="37" w:lineRule="exact"/>
              <w:rPr>
                <w:sz w:val="20"/>
                <w:szCs w:val="20"/>
                <w:color w:val="auto"/>
              </w:rPr>
            </w:pPr>
            <w:r>
              <w:rPr>
                <w:rFonts w:ascii="Arial" w:cs="Arial" w:eastAsia="Arial" w:hAnsi="Arial"/>
                <w:sz w:val="4"/>
                <w:szCs w:val="4"/>
                <w:color w:val="FFFFFF"/>
              </w:rPr>
              <w:t>foreign ant-corruption and anti-bribery laws and regulations, including with respect to IFF’s ongoing investigations into improper payments made   Frutarom businesses principally operating in Russia</w:t>
            </w:r>
          </w:p>
        </w:tc>
      </w:tr>
      <w:tr>
        <w:trPr>
          <w:trHeight w:val="0"/>
        </w:trPr>
        <w:tc>
          <w:tcPr>
            <w:tcW w:w="7420" w:type="dxa"/>
            <w:vAlign w:val="bottom"/>
            <w:gridSpan w:val="9"/>
          </w:tcPr>
          <w:p>
            <w:pPr>
              <w:spacing w:after="0" w:line="71" w:lineRule="exact"/>
              <w:rPr>
                <w:sz w:val="20"/>
                <w:szCs w:val="20"/>
                <w:color w:val="auto"/>
              </w:rPr>
            </w:pPr>
            <w:r>
              <w:rPr>
                <w:rFonts w:ascii="Arial" w:cs="Arial" w:eastAsia="Arial" w:hAnsi="Arial"/>
                <w:sz w:val="8"/>
                <w:szCs w:val="8"/>
                <w:color w:val="FFFFFF"/>
              </w:rPr>
              <w:t>and the Ukraine, (25) the impact of the outcome of legal claims, regulatory investigations and litigation, including any that may arise out of IFFs ongoing</w:t>
            </w:r>
          </w:p>
        </w:tc>
        <w:tc>
          <w:tcPr>
            <w:tcW w:w="2360" w:type="dxa"/>
            <w:vAlign w:val="bottom"/>
            <w:gridSpan w:val="4"/>
          </w:tcPr>
          <w:p>
            <w:pPr>
              <w:jc w:val="right"/>
              <w:ind w:right="100"/>
              <w:spacing w:after="0" w:line="71" w:lineRule="exact"/>
              <w:rPr>
                <w:sz w:val="20"/>
                <w:szCs w:val="20"/>
                <w:color w:val="auto"/>
              </w:rPr>
            </w:pPr>
            <w:r>
              <w:rPr>
                <w:rFonts w:ascii="Arial" w:cs="Arial" w:eastAsia="Arial" w:hAnsi="Arial"/>
                <w:sz w:val="8"/>
                <w:szCs w:val="8"/>
                <w:color w:val="FFFFFF"/>
              </w:rPr>
              <w:t>into improper payments made in</w:t>
            </w:r>
          </w:p>
        </w:tc>
      </w:tr>
    </w:tbl>
    <w:p>
      <w:pPr>
        <w:ind w:right="120"/>
        <w:spacing w:after="0" w:line="187" w:lineRule="auto"/>
        <w:rPr>
          <w:sz w:val="20"/>
          <w:szCs w:val="20"/>
          <w:color w:val="auto"/>
        </w:rPr>
      </w:pPr>
      <w:r>
        <w:rPr>
          <w:rFonts w:ascii="Arial" w:cs="Arial" w:eastAsia="Arial" w:hAnsi="Arial"/>
          <w:sz w:val="8"/>
          <w:szCs w:val="8"/>
          <w:color w:val="FFFFFF"/>
        </w:rPr>
        <w:t>Frutarom businesses principally operating in Russia and the Ukraine, (26) the ability of N&amp;Bco or IFF to retain and hire key personnel. (27) the risk that N&amp;Bco.investigationsasnewly formed entity that currently has no credit rating, will not have access to the capital markets on acceptable terms, (28) the risk that N&amp;Bco and IFF will incur significant indebtedness in connection with the</w:t>
      </w:r>
    </w:p>
    <w:p>
      <w:pPr>
        <w:sectPr>
          <w:pgSz w:w="11900" w:h="16838" w:orient="portrait"/>
          <w:cols w:equalWidth="0" w:num="1">
            <w:col w:w="9780"/>
          </w:cols>
          <w:pgMar w:left="1060" w:top="1440" w:right="105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763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02500" cy="763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740" w:type="dxa"/>
            <w:vAlign w:val="bottom"/>
            <w:gridSpan w:val="12"/>
          </w:tcPr>
          <w:p>
            <w:pPr>
              <w:spacing w:after="0"/>
              <w:rPr>
                <w:sz w:val="20"/>
                <w:szCs w:val="20"/>
                <w:color w:val="auto"/>
              </w:rPr>
            </w:pPr>
            <w:r>
              <w:rPr>
                <w:rFonts w:ascii="Arial" w:cs="Arial" w:eastAsia="Arial" w:hAnsi="Arial"/>
                <w:sz w:val="12"/>
                <w:szCs w:val="12"/>
                <w:color w:val="FFFFFF"/>
                <w:w w:val="94"/>
              </w:rPr>
              <w:t>Announcement - Decen https://corpcommunications.us.newsweaver.com potential transaction, and the degree to which IFF will be leveraged following completion of the potential transaction may</w:t>
            </w:r>
          </w:p>
        </w:tc>
        <w:tc>
          <w:tcPr>
            <w:tcW w:w="0" w:type="dxa"/>
            <w:vAlign w:val="bottom"/>
          </w:tcPr>
          <w:p>
            <w:pPr>
              <w:spacing w:after="0"/>
              <w:rPr>
                <w:sz w:val="1"/>
                <w:szCs w:val="1"/>
                <w:color w:val="auto"/>
              </w:rPr>
            </w:pPr>
          </w:p>
        </w:tc>
      </w:tr>
      <w:tr>
        <w:trPr>
          <w:trHeight w:val="36"/>
        </w:trPr>
        <w:tc>
          <w:tcPr>
            <w:tcW w:w="1820" w:type="dxa"/>
            <w:vAlign w:val="bottom"/>
            <w:gridSpan w:val="2"/>
          </w:tcPr>
          <w:p>
            <w:pPr>
              <w:ind w:left="520"/>
              <w:spacing w:after="0" w:line="37" w:lineRule="exact"/>
              <w:rPr>
                <w:sz w:val="20"/>
                <w:szCs w:val="20"/>
                <w:color w:val="auto"/>
              </w:rPr>
            </w:pPr>
            <w:r>
              <w:rPr>
                <w:rFonts w:ascii="Arial" w:cs="Arial" w:eastAsia="Arial" w:hAnsi="Arial"/>
                <w:sz w:val="4"/>
                <w:szCs w:val="4"/>
                <w:color w:val="FFFFFF"/>
              </w:rPr>
              <w:t>and adversely affect its</w:t>
            </w:r>
          </w:p>
        </w:tc>
        <w:tc>
          <w:tcPr>
            <w:tcW w:w="7920" w:type="dxa"/>
            <w:vAlign w:val="bottom"/>
            <w:gridSpan w:val="10"/>
          </w:tcPr>
          <w:p>
            <w:pPr>
              <w:jc w:val="right"/>
              <w:spacing w:after="0" w:line="37" w:lineRule="exact"/>
              <w:rPr>
                <w:sz w:val="20"/>
                <w:szCs w:val="20"/>
                <w:color w:val="auto"/>
              </w:rPr>
            </w:pPr>
            <w:r>
              <w:rPr>
                <w:rFonts w:ascii="Arial" w:cs="Arial" w:eastAsia="Arial" w:hAnsi="Arial"/>
                <w:sz w:val="4"/>
                <w:szCs w:val="4"/>
                <w:color w:val="FFFFFF"/>
              </w:rPr>
              <w:t>financial condition and results of operations. (29) the ability to obtain or consummate financing or refinancing related to the transaction upon acceptable terms</w:t>
            </w:r>
          </w:p>
        </w:tc>
        <w:tc>
          <w:tcPr>
            <w:tcW w:w="0" w:type="dxa"/>
            <w:vAlign w:val="bottom"/>
          </w:tcPr>
          <w:p>
            <w:pPr>
              <w:spacing w:after="0" w:line="20" w:lineRule="exact"/>
              <w:rPr>
                <w:sz w:val="1"/>
                <w:szCs w:val="1"/>
                <w:color w:val="auto"/>
              </w:rPr>
            </w:pPr>
          </w:p>
        </w:tc>
      </w:tr>
      <w:tr>
        <w:trPr>
          <w:trHeight w:val="36"/>
        </w:trPr>
        <w:tc>
          <w:tcPr>
            <w:tcW w:w="5420" w:type="dxa"/>
            <w:vAlign w:val="bottom"/>
            <w:gridSpan w:val="6"/>
          </w:tcPr>
          <w:p>
            <w:pPr>
              <w:spacing w:after="0" w:line="37" w:lineRule="exact"/>
              <w:rPr>
                <w:sz w:val="20"/>
                <w:szCs w:val="20"/>
                <w:color w:val="auto"/>
              </w:rPr>
            </w:pPr>
            <w:r>
              <w:rPr>
                <w:rFonts w:ascii="Arial" w:cs="Arial" w:eastAsia="Arial" w:hAnsi="Arial"/>
                <w:sz w:val="4"/>
                <w:szCs w:val="4"/>
                <w:color w:val="FFFFFF"/>
              </w:rPr>
              <w:t>materiallyorall,and (30) other risks to DuPont’  N&amp;Bco’ and IFFs business, operations and results of operations</w:t>
            </w:r>
          </w:p>
        </w:tc>
        <w:tc>
          <w:tcPr>
            <w:tcW w:w="4320" w:type="dxa"/>
            <w:vAlign w:val="bottom"/>
            <w:gridSpan w:val="6"/>
          </w:tcPr>
          <w:p>
            <w:pPr>
              <w:jc w:val="right"/>
              <w:spacing w:after="0" w:line="37" w:lineRule="exact"/>
              <w:rPr>
                <w:sz w:val="20"/>
                <w:szCs w:val="20"/>
                <w:color w:val="auto"/>
              </w:rPr>
            </w:pPr>
            <w:r>
              <w:rPr>
                <w:rFonts w:ascii="Arial" w:cs="Arial" w:eastAsia="Arial" w:hAnsi="Arial"/>
                <w:sz w:val="4"/>
                <w:szCs w:val="4"/>
                <w:color w:val="FFFFFF"/>
              </w:rPr>
              <w:t>from: failure to develop and market new products and optimally manage product life</w:t>
            </w:r>
          </w:p>
        </w:tc>
        <w:tc>
          <w:tcPr>
            <w:tcW w:w="0" w:type="dxa"/>
            <w:vAlign w:val="bottom"/>
          </w:tcPr>
          <w:p>
            <w:pPr>
              <w:spacing w:after="0" w:line="20" w:lineRule="exact"/>
              <w:rPr>
                <w:sz w:val="1"/>
                <w:szCs w:val="1"/>
                <w:color w:val="auto"/>
              </w:rPr>
            </w:pPr>
          </w:p>
        </w:tc>
      </w:tr>
      <w:tr>
        <w:trPr>
          <w:trHeight w:val="36"/>
        </w:trPr>
        <w:tc>
          <w:tcPr>
            <w:tcW w:w="9740" w:type="dxa"/>
            <w:vAlign w:val="bottom"/>
            <w:gridSpan w:val="12"/>
          </w:tcPr>
          <w:p>
            <w:pPr>
              <w:spacing w:after="0" w:line="37" w:lineRule="exact"/>
              <w:rPr>
                <w:sz w:val="20"/>
                <w:szCs w:val="20"/>
                <w:color w:val="auto"/>
              </w:rPr>
            </w:pPr>
            <w:r>
              <w:rPr>
                <w:rFonts w:ascii="Arial" w:cs="Arial" w:eastAsia="Arial" w:hAnsi="Arial"/>
                <w:sz w:val="4"/>
                <w:szCs w:val="4"/>
                <w:color w:val="FFFFFF"/>
              </w:rPr>
              <w:t>cycles, ability, cost and impact on business,operations, including the supply chain, of responding to changesincludingmarket acceptance, rules, regulations and policies and failure to respond to such changes;</w:t>
            </w:r>
          </w:p>
        </w:tc>
        <w:tc>
          <w:tcPr>
            <w:tcW w:w="0" w:type="dxa"/>
            <w:vAlign w:val="bottom"/>
          </w:tcPr>
          <w:p>
            <w:pPr>
              <w:spacing w:after="0" w:line="20" w:lineRule="exact"/>
              <w:rPr>
                <w:sz w:val="1"/>
                <w:szCs w:val="1"/>
                <w:color w:val="auto"/>
              </w:rPr>
            </w:pPr>
          </w:p>
        </w:tc>
      </w:tr>
      <w:tr>
        <w:trPr>
          <w:trHeight w:val="36"/>
        </w:trPr>
        <w:tc>
          <w:tcPr>
            <w:tcW w:w="9740" w:type="dxa"/>
            <w:vAlign w:val="bottom"/>
            <w:gridSpan w:val="12"/>
          </w:tcPr>
          <w:p>
            <w:pPr>
              <w:spacing w:after="0" w:line="37" w:lineRule="exact"/>
              <w:rPr>
                <w:sz w:val="20"/>
                <w:szCs w:val="20"/>
                <w:color w:val="auto"/>
              </w:rPr>
            </w:pPr>
            <w:r>
              <w:rPr>
                <w:rFonts w:ascii="Arial" w:cs="Arial" w:eastAsia="Arial" w:hAnsi="Arial"/>
                <w:sz w:val="4"/>
                <w:szCs w:val="4"/>
                <w:color w:val="FFFFFF"/>
              </w:rPr>
              <w:t>outcome of significant litigation, environmental matters and other commitments and contingencies: failure to appropriately manage process safety and product stewardship issues; global economic and</w:t>
            </w:r>
          </w:p>
        </w:tc>
        <w:tc>
          <w:tcPr>
            <w:tcW w:w="0" w:type="dxa"/>
            <w:vAlign w:val="bottom"/>
          </w:tcPr>
          <w:p>
            <w:pPr>
              <w:spacing w:after="0" w:line="20" w:lineRule="exact"/>
              <w:rPr>
                <w:sz w:val="1"/>
                <w:szCs w:val="1"/>
                <w:color w:val="auto"/>
              </w:rPr>
            </w:pPr>
          </w:p>
        </w:tc>
      </w:tr>
      <w:tr>
        <w:trPr>
          <w:trHeight w:val="36"/>
        </w:trPr>
        <w:tc>
          <w:tcPr>
            <w:tcW w:w="5420" w:type="dxa"/>
            <w:vAlign w:val="bottom"/>
            <w:gridSpan w:val="6"/>
          </w:tcPr>
          <w:p>
            <w:pPr>
              <w:spacing w:after="0" w:line="37" w:lineRule="exact"/>
              <w:rPr>
                <w:sz w:val="20"/>
                <w:szCs w:val="20"/>
                <w:color w:val="auto"/>
              </w:rPr>
            </w:pPr>
            <w:r>
              <w:rPr>
                <w:rFonts w:ascii="Arial" w:cs="Arial" w:eastAsia="Arial" w:hAnsi="Arial"/>
                <w:sz w:val="4"/>
                <w:szCs w:val="4"/>
                <w:color w:val="FFFFFF"/>
              </w:rPr>
              <w:t>capital market conditions, including the continued availability of capital and financing, as well as inflation,</w:t>
            </w:r>
          </w:p>
        </w:tc>
        <w:tc>
          <w:tcPr>
            <w:tcW w:w="2020" w:type="dxa"/>
            <w:vAlign w:val="bottom"/>
            <w:gridSpan w:val="3"/>
          </w:tcPr>
          <w:p>
            <w:pPr>
              <w:ind w:left="120"/>
              <w:spacing w:after="0" w:line="37" w:lineRule="exact"/>
              <w:rPr>
                <w:sz w:val="20"/>
                <w:szCs w:val="20"/>
                <w:color w:val="auto"/>
              </w:rPr>
            </w:pPr>
            <w:r>
              <w:rPr>
                <w:rFonts w:ascii="Arial" w:cs="Arial" w:eastAsia="Arial" w:hAnsi="Arial"/>
                <w:sz w:val="4"/>
                <w:szCs w:val="4"/>
                <w:color w:val="FFFFFF"/>
              </w:rPr>
              <w:t>and currency exchange rates; changes</w:t>
            </w:r>
          </w:p>
        </w:tc>
        <w:tc>
          <w:tcPr>
            <w:tcW w:w="2300" w:type="dxa"/>
            <w:vAlign w:val="bottom"/>
            <w:gridSpan w:val="3"/>
          </w:tcPr>
          <w:p>
            <w:pPr>
              <w:jc w:val="right"/>
              <w:ind w:right="160"/>
              <w:spacing w:after="0" w:line="37" w:lineRule="exact"/>
              <w:rPr>
                <w:sz w:val="20"/>
                <w:szCs w:val="20"/>
                <w:color w:val="auto"/>
              </w:rPr>
            </w:pPr>
            <w:r>
              <w:rPr>
                <w:rFonts w:ascii="Arial" w:cs="Arial" w:eastAsia="Arial" w:hAnsi="Arial"/>
                <w:sz w:val="4"/>
                <w:szCs w:val="4"/>
                <w:color w:val="FFFFFF"/>
              </w:rPr>
              <w:t>political conditions, including tariffs, trade</w:t>
            </w:r>
          </w:p>
        </w:tc>
        <w:tc>
          <w:tcPr>
            <w:tcW w:w="0" w:type="dxa"/>
            <w:vAlign w:val="bottom"/>
          </w:tcPr>
          <w:p>
            <w:pPr>
              <w:spacing w:after="0" w:line="20" w:lineRule="exact"/>
              <w:rPr>
                <w:sz w:val="1"/>
                <w:szCs w:val="1"/>
                <w:color w:val="auto"/>
              </w:rPr>
            </w:pPr>
          </w:p>
        </w:tc>
      </w:tr>
      <w:tr>
        <w:trPr>
          <w:trHeight w:val="36"/>
        </w:trPr>
        <w:tc>
          <w:tcPr>
            <w:tcW w:w="9740" w:type="dxa"/>
            <w:vAlign w:val="bottom"/>
            <w:gridSpan w:val="12"/>
          </w:tcPr>
          <w:p>
            <w:pPr>
              <w:spacing w:after="0" w:line="37" w:lineRule="exact"/>
              <w:rPr>
                <w:sz w:val="20"/>
                <w:szCs w:val="20"/>
                <w:color w:val="auto"/>
              </w:rPr>
            </w:pPr>
            <w:r>
              <w:rPr>
                <w:rFonts w:ascii="Arial" w:cs="Arial" w:eastAsia="Arial" w:hAnsi="Arial"/>
                <w:sz w:val="4"/>
                <w:szCs w:val="4"/>
                <w:color w:val="FFFFFF"/>
              </w:rPr>
              <w:t>disputes and retaliatory actions; impairment of goodwill or intangible assets; the availability of and fluctuationsinterestthe cost of energy and raw materials; business or supply disruption, including in</w:t>
            </w:r>
          </w:p>
        </w:tc>
        <w:tc>
          <w:tcPr>
            <w:tcW w:w="0" w:type="dxa"/>
            <w:vAlign w:val="bottom"/>
          </w:tcPr>
          <w:p>
            <w:pPr>
              <w:spacing w:after="0" w:line="20" w:lineRule="exact"/>
              <w:rPr>
                <w:sz w:val="1"/>
                <w:szCs w:val="1"/>
                <w:color w:val="auto"/>
              </w:rPr>
            </w:pPr>
          </w:p>
        </w:tc>
      </w:tr>
      <w:tr>
        <w:trPr>
          <w:trHeight w:val="36"/>
        </w:trPr>
        <w:tc>
          <w:tcPr>
            <w:tcW w:w="8080" w:type="dxa"/>
            <w:vAlign w:val="bottom"/>
            <w:gridSpan w:val="10"/>
          </w:tcPr>
          <w:p>
            <w:pPr>
              <w:spacing w:after="0" w:line="37" w:lineRule="exact"/>
              <w:rPr>
                <w:sz w:val="20"/>
                <w:szCs w:val="20"/>
                <w:color w:val="auto"/>
              </w:rPr>
            </w:pPr>
            <w:r>
              <w:rPr>
                <w:rFonts w:ascii="Arial" w:cs="Arial" w:eastAsia="Arial" w:hAnsi="Arial"/>
                <w:sz w:val="4"/>
                <w:szCs w:val="4"/>
                <w:color w:val="FFFFFF"/>
              </w:rPr>
              <w:t>connection with the Previous Distributions; security threats, such as acts of sabotage, terrorism or war, natural disasters and weather events and patterns which could</w:t>
            </w:r>
          </w:p>
        </w:tc>
        <w:tc>
          <w:tcPr>
            <w:tcW w:w="800" w:type="dxa"/>
            <w:vAlign w:val="bottom"/>
          </w:tcPr>
          <w:p>
            <w:pPr>
              <w:ind w:left="160"/>
              <w:spacing w:after="0" w:line="37" w:lineRule="exact"/>
              <w:rPr>
                <w:sz w:val="20"/>
                <w:szCs w:val="20"/>
                <w:color w:val="auto"/>
              </w:rPr>
            </w:pPr>
            <w:r>
              <w:rPr>
                <w:rFonts w:ascii="Arial" w:cs="Arial" w:eastAsia="Arial" w:hAnsi="Arial"/>
                <w:sz w:val="4"/>
                <w:szCs w:val="4"/>
                <w:color w:val="FFFFFF"/>
              </w:rPr>
              <w:t>in a</w:t>
            </w:r>
          </w:p>
        </w:tc>
        <w:tc>
          <w:tcPr>
            <w:tcW w:w="860" w:type="dxa"/>
            <w:vAlign w:val="bottom"/>
          </w:tcPr>
          <w:p>
            <w:pPr>
              <w:jc w:val="right"/>
              <w:ind w:right="200"/>
              <w:spacing w:after="0" w:line="37" w:lineRule="exact"/>
              <w:rPr>
                <w:sz w:val="20"/>
                <w:szCs w:val="20"/>
                <w:color w:val="auto"/>
              </w:rPr>
            </w:pPr>
            <w:r>
              <w:rPr>
                <w:rFonts w:ascii="Arial" w:cs="Arial" w:eastAsia="Arial" w:hAnsi="Arial"/>
                <w:sz w:val="4"/>
                <w:szCs w:val="4"/>
                <w:color w:val="FFFFFF"/>
              </w:rPr>
              <w:t>operational</w:t>
            </w:r>
          </w:p>
        </w:tc>
        <w:tc>
          <w:tcPr>
            <w:tcW w:w="0" w:type="dxa"/>
            <w:vAlign w:val="bottom"/>
          </w:tcPr>
          <w:p>
            <w:pPr>
              <w:spacing w:after="0" w:line="20" w:lineRule="exact"/>
              <w:rPr>
                <w:sz w:val="1"/>
                <w:szCs w:val="1"/>
                <w:color w:val="auto"/>
              </w:rPr>
            </w:pPr>
          </w:p>
        </w:tc>
      </w:tr>
      <w:tr>
        <w:trPr>
          <w:trHeight w:val="36"/>
        </w:trPr>
        <w:tc>
          <w:tcPr>
            <w:tcW w:w="9740" w:type="dxa"/>
            <w:vAlign w:val="bottom"/>
            <w:gridSpan w:val="12"/>
          </w:tcPr>
          <w:p>
            <w:pPr>
              <w:spacing w:after="0" w:line="37" w:lineRule="exact"/>
              <w:rPr>
                <w:sz w:val="20"/>
                <w:szCs w:val="20"/>
                <w:color w:val="auto"/>
              </w:rPr>
            </w:pPr>
            <w:r>
              <w:rPr>
                <w:rFonts w:ascii="Arial" w:cs="Arial" w:eastAsia="Arial" w:hAnsi="Arial"/>
                <w:sz w:val="4"/>
                <w:szCs w:val="4"/>
                <w:color w:val="FFFFFF"/>
              </w:rPr>
              <w:t>event for DuPont N&amp;Bco or IFF. adversely impact demand or production; ability to discover, develop and protect new technologies and to protect and enforce DuPont’result.N&amp;Bco’significantorIFFs intellectual</w:t>
            </w:r>
          </w:p>
        </w:tc>
        <w:tc>
          <w:tcPr>
            <w:tcW w:w="0" w:type="dxa"/>
            <w:vAlign w:val="bottom"/>
          </w:tcPr>
          <w:p>
            <w:pPr>
              <w:spacing w:after="0" w:line="20" w:lineRule="exact"/>
              <w:rPr>
                <w:sz w:val="1"/>
                <w:szCs w:val="1"/>
                <w:color w:val="auto"/>
              </w:rPr>
            </w:pPr>
          </w:p>
        </w:tc>
      </w:tr>
      <w:tr>
        <w:trPr>
          <w:trHeight w:val="36"/>
        </w:trPr>
        <w:tc>
          <w:tcPr>
            <w:tcW w:w="4680" w:type="dxa"/>
            <w:vAlign w:val="bottom"/>
            <w:gridSpan w:val="5"/>
          </w:tcPr>
          <w:p>
            <w:pPr>
              <w:spacing w:after="0" w:line="37" w:lineRule="exact"/>
              <w:rPr>
                <w:sz w:val="20"/>
                <w:szCs w:val="20"/>
                <w:color w:val="auto"/>
              </w:rPr>
            </w:pPr>
            <w:r>
              <w:rPr>
                <w:rFonts w:ascii="Arial" w:cs="Arial" w:eastAsia="Arial" w:hAnsi="Arial"/>
                <w:sz w:val="4"/>
                <w:szCs w:val="4"/>
                <w:color w:val="FFFFFF"/>
              </w:rPr>
              <w:t>property rights; unpredictability and severity of catastrophic events, including, but not limited</w:t>
            </w:r>
          </w:p>
        </w:tc>
        <w:tc>
          <w:tcPr>
            <w:tcW w:w="5060" w:type="dxa"/>
            <w:vAlign w:val="bottom"/>
            <w:gridSpan w:val="7"/>
          </w:tcPr>
          <w:p>
            <w:pPr>
              <w:jc w:val="right"/>
              <w:ind w:right="360"/>
              <w:spacing w:after="0" w:line="37" w:lineRule="exact"/>
              <w:rPr>
                <w:sz w:val="20"/>
                <w:szCs w:val="20"/>
                <w:color w:val="auto"/>
              </w:rPr>
            </w:pPr>
            <w:r>
              <w:rPr>
                <w:rFonts w:ascii="Arial" w:cs="Arial" w:eastAsia="Arial" w:hAnsi="Arial"/>
                <w:sz w:val="4"/>
                <w:szCs w:val="4"/>
                <w:color w:val="FFFFFF"/>
              </w:rPr>
              <w:t>acts of terrorism or outbreak of war or hostilities, as well as management’s response to any of the</w:t>
            </w:r>
          </w:p>
        </w:tc>
        <w:tc>
          <w:tcPr>
            <w:tcW w:w="0" w:type="dxa"/>
            <w:vAlign w:val="bottom"/>
          </w:tcPr>
          <w:p>
            <w:pPr>
              <w:spacing w:after="0" w:line="20" w:lineRule="exact"/>
              <w:rPr>
                <w:sz w:val="1"/>
                <w:szCs w:val="1"/>
                <w:color w:val="auto"/>
              </w:rPr>
            </w:pPr>
          </w:p>
        </w:tc>
      </w:tr>
      <w:tr>
        <w:trPr>
          <w:trHeight w:val="36"/>
        </w:trPr>
        <w:tc>
          <w:tcPr>
            <w:tcW w:w="9740" w:type="dxa"/>
            <w:vAlign w:val="bottom"/>
            <w:gridSpan w:val="12"/>
          </w:tcPr>
          <w:p>
            <w:pPr>
              <w:ind w:left="40"/>
              <w:spacing w:after="0" w:line="37" w:lineRule="exact"/>
              <w:rPr>
                <w:sz w:val="20"/>
                <w:szCs w:val="20"/>
                <w:color w:val="auto"/>
              </w:rPr>
            </w:pPr>
            <w:r>
              <w:rPr>
                <w:rFonts w:ascii="Arial" w:cs="Arial" w:eastAsia="Arial" w:hAnsi="Arial"/>
                <w:sz w:val="4"/>
                <w:szCs w:val="4"/>
                <w:color w:val="FFFFFF"/>
              </w:rPr>
              <w:t>forementioned factors. These risks. as well as other risks associated with the proposed mergerto,will be more fully discussed in the registration statement and merger proxy on Form S- 4 to be filed by IFF</w:t>
            </w:r>
          </w:p>
        </w:tc>
        <w:tc>
          <w:tcPr>
            <w:tcW w:w="0" w:type="dxa"/>
            <w:vAlign w:val="bottom"/>
          </w:tcPr>
          <w:p>
            <w:pPr>
              <w:spacing w:after="0" w:line="20" w:lineRule="exact"/>
              <w:rPr>
                <w:sz w:val="1"/>
                <w:szCs w:val="1"/>
                <w:color w:val="auto"/>
              </w:rPr>
            </w:pPr>
          </w:p>
        </w:tc>
      </w:tr>
      <w:tr>
        <w:trPr>
          <w:trHeight w:val="36"/>
        </w:trPr>
        <w:tc>
          <w:tcPr>
            <w:tcW w:w="9740" w:type="dxa"/>
            <w:vAlign w:val="bottom"/>
            <w:gridSpan w:val="12"/>
          </w:tcPr>
          <w:p>
            <w:pPr>
              <w:spacing w:after="0" w:line="37" w:lineRule="exact"/>
              <w:rPr>
                <w:sz w:val="20"/>
                <w:szCs w:val="20"/>
                <w:color w:val="auto"/>
              </w:rPr>
            </w:pPr>
            <w:r>
              <w:rPr>
                <w:rFonts w:ascii="Arial" w:cs="Arial" w:eastAsia="Arial" w:hAnsi="Arial"/>
                <w:sz w:val="4"/>
                <w:szCs w:val="4"/>
                <w:color w:val="FFFFFF"/>
              </w:rPr>
              <w:t>and the registration statement on Form 10 to be filed by N&amp;Bco. White the list of factors presented here is. and the list of factors to be presented in any registration statement filed in connection with the</w:t>
            </w:r>
          </w:p>
        </w:tc>
        <w:tc>
          <w:tcPr>
            <w:tcW w:w="0" w:type="dxa"/>
            <w:vAlign w:val="bottom"/>
          </w:tcPr>
          <w:p>
            <w:pPr>
              <w:spacing w:after="0" w:line="20" w:lineRule="exact"/>
              <w:rPr>
                <w:sz w:val="1"/>
                <w:szCs w:val="1"/>
                <w:color w:val="auto"/>
              </w:rPr>
            </w:pPr>
          </w:p>
        </w:tc>
      </w:tr>
      <w:tr>
        <w:trPr>
          <w:trHeight w:val="36"/>
        </w:trPr>
        <w:tc>
          <w:tcPr>
            <w:tcW w:w="6980" w:type="dxa"/>
            <w:vAlign w:val="bottom"/>
            <w:gridSpan w:val="8"/>
          </w:tcPr>
          <w:p>
            <w:pPr>
              <w:ind w:left="20"/>
              <w:spacing w:after="0" w:line="37" w:lineRule="exact"/>
              <w:rPr>
                <w:sz w:val="20"/>
                <w:szCs w:val="20"/>
                <w:color w:val="auto"/>
              </w:rPr>
            </w:pPr>
            <w:r>
              <w:rPr>
                <w:rFonts w:ascii="Arial" w:cs="Arial" w:eastAsia="Arial" w:hAnsi="Arial"/>
                <w:sz w:val="4"/>
                <w:szCs w:val="4"/>
                <w:color w:val="FFFFFF"/>
              </w:rPr>
              <w:t>ransaction are, considered representative no such list should be considered to be a complete statement of all potential risks and uncertainties</w:t>
            </w:r>
          </w:p>
        </w:tc>
        <w:tc>
          <w:tcPr>
            <w:tcW w:w="2760" w:type="dxa"/>
            <w:vAlign w:val="bottom"/>
            <w:gridSpan w:val="4"/>
          </w:tcPr>
          <w:p>
            <w:pPr>
              <w:jc w:val="right"/>
              <w:ind w:right="40"/>
              <w:spacing w:after="0" w:line="37" w:lineRule="exact"/>
              <w:rPr>
                <w:sz w:val="20"/>
                <w:szCs w:val="20"/>
                <w:color w:val="auto"/>
              </w:rPr>
            </w:pPr>
            <w:r>
              <w:rPr>
                <w:rFonts w:ascii="Arial" w:cs="Arial" w:eastAsia="Arial" w:hAnsi="Arial"/>
                <w:sz w:val="4"/>
                <w:szCs w:val="4"/>
                <w:color w:val="FFFFFF"/>
              </w:rPr>
              <w:t>factors may present significant additional obstacles</w:t>
            </w:r>
          </w:p>
        </w:tc>
        <w:tc>
          <w:tcPr>
            <w:tcW w:w="0" w:type="dxa"/>
            <w:vAlign w:val="bottom"/>
          </w:tcPr>
          <w:p>
            <w:pPr>
              <w:spacing w:after="0" w:line="20" w:lineRule="exact"/>
              <w:rPr>
                <w:sz w:val="1"/>
                <w:szCs w:val="1"/>
                <w:color w:val="auto"/>
              </w:rPr>
            </w:pPr>
          </w:p>
        </w:tc>
      </w:tr>
      <w:tr>
        <w:trPr>
          <w:trHeight w:val="36"/>
        </w:trPr>
        <w:tc>
          <w:tcPr>
            <w:tcW w:w="9740" w:type="dxa"/>
            <w:vAlign w:val="bottom"/>
            <w:gridSpan w:val="12"/>
          </w:tcPr>
          <w:p>
            <w:pPr>
              <w:spacing w:after="0" w:line="37" w:lineRule="exact"/>
              <w:rPr>
                <w:sz w:val="20"/>
                <w:szCs w:val="20"/>
                <w:color w:val="auto"/>
              </w:rPr>
            </w:pPr>
            <w:r>
              <w:rPr>
                <w:rFonts w:ascii="Arial" w:cs="Arial" w:eastAsia="Arial" w:hAnsi="Arial"/>
                <w:sz w:val="4"/>
                <w:szCs w:val="4"/>
                <w:color w:val="FFFFFF"/>
              </w:rPr>
              <w:t>to the realization of forward look ng statements. Further lists and descriptions of risks and uncertainties can be found in each of IFFs and DuPont’UnlistedForm 10-Q for the period ended September 30, 2019</w:t>
            </w:r>
          </w:p>
        </w:tc>
        <w:tc>
          <w:tcPr>
            <w:tcW w:w="0" w:type="dxa"/>
            <w:vAlign w:val="bottom"/>
          </w:tcPr>
          <w:p>
            <w:pPr>
              <w:spacing w:after="0" w:line="20" w:lineRule="exact"/>
              <w:rPr>
                <w:sz w:val="1"/>
                <w:szCs w:val="1"/>
                <w:color w:val="auto"/>
              </w:rPr>
            </w:pPr>
          </w:p>
        </w:tc>
      </w:tr>
      <w:tr>
        <w:trPr>
          <w:trHeight w:val="36"/>
        </w:trPr>
        <w:tc>
          <w:tcPr>
            <w:tcW w:w="3060" w:type="dxa"/>
            <w:vAlign w:val="bottom"/>
            <w:gridSpan w:val="3"/>
          </w:tcPr>
          <w:p>
            <w:pPr>
              <w:ind w:left="100"/>
              <w:spacing w:after="0" w:line="37" w:lineRule="exact"/>
              <w:rPr>
                <w:sz w:val="20"/>
                <w:szCs w:val="20"/>
                <w:color w:val="auto"/>
              </w:rPr>
            </w:pPr>
            <w:r>
              <w:rPr>
                <w:rFonts w:ascii="Arial" w:cs="Arial" w:eastAsia="Arial" w:hAnsi="Arial"/>
                <w:sz w:val="4"/>
                <w:szCs w:val="4"/>
                <w:color w:val="FFFFFF"/>
              </w:rPr>
              <w:t>d each of IFFs and DuPont’s respective subsequent ‘reports</w:t>
            </w:r>
          </w:p>
        </w:tc>
        <w:tc>
          <w:tcPr>
            <w:tcW w:w="6680" w:type="dxa"/>
            <w:vAlign w:val="bottom"/>
            <w:gridSpan w:val="9"/>
          </w:tcPr>
          <w:p>
            <w:pPr>
              <w:jc w:val="right"/>
              <w:ind w:right="360"/>
              <w:spacing w:after="0" w:line="37" w:lineRule="exact"/>
              <w:rPr>
                <w:sz w:val="20"/>
                <w:szCs w:val="20"/>
                <w:color w:val="auto"/>
              </w:rPr>
            </w:pPr>
            <w:r>
              <w:rPr>
                <w:rFonts w:ascii="Arial" w:cs="Arial" w:eastAsia="Arial" w:hAnsi="Arial"/>
                <w:sz w:val="4"/>
                <w:szCs w:val="4"/>
                <w:color w:val="FFFFFF"/>
              </w:rPr>
              <w:t>~form 10-Q, Form 10-K and Form 8-&lt; the contents of which are not incorporated by reference into, nor do they form part of. this</w:t>
            </w:r>
          </w:p>
        </w:tc>
        <w:tc>
          <w:tcPr>
            <w:tcW w:w="0" w:type="dxa"/>
            <w:vAlign w:val="bottom"/>
          </w:tcPr>
          <w:p>
            <w:pPr>
              <w:spacing w:after="0" w:line="20" w:lineRule="exact"/>
              <w:rPr>
                <w:sz w:val="1"/>
                <w:szCs w:val="1"/>
                <w:color w:val="auto"/>
              </w:rPr>
            </w:pPr>
          </w:p>
        </w:tc>
      </w:tr>
      <w:tr>
        <w:trPr>
          <w:trHeight w:val="36"/>
        </w:trPr>
        <w:tc>
          <w:tcPr>
            <w:tcW w:w="1820" w:type="dxa"/>
            <w:vAlign w:val="bottom"/>
            <w:gridSpan w:val="2"/>
          </w:tcPr>
          <w:p>
            <w:pPr>
              <w:spacing w:after="0" w:line="37" w:lineRule="exact"/>
              <w:rPr>
                <w:sz w:val="20"/>
                <w:szCs w:val="20"/>
                <w:color w:val="auto"/>
              </w:rPr>
            </w:pPr>
            <w:r>
              <w:rPr>
                <w:rFonts w:ascii="Arial" w:cs="Arial" w:eastAsia="Arial" w:hAnsi="Arial"/>
                <w:sz w:val="4"/>
                <w:szCs w:val="4"/>
                <w:color w:val="FFFFFF"/>
              </w:rPr>
              <w:t>announcement Any other risks</w:t>
            </w:r>
          </w:p>
        </w:tc>
        <w:tc>
          <w:tcPr>
            <w:tcW w:w="7920" w:type="dxa"/>
            <w:vAlign w:val="bottom"/>
            <w:gridSpan w:val="10"/>
          </w:tcPr>
          <w:p>
            <w:pPr>
              <w:jc w:val="right"/>
              <w:ind w:right="20"/>
              <w:spacing w:after="0" w:line="37" w:lineRule="exact"/>
              <w:rPr>
                <w:sz w:val="20"/>
                <w:szCs w:val="20"/>
                <w:color w:val="auto"/>
              </w:rPr>
            </w:pPr>
            <w:r>
              <w:rPr>
                <w:rFonts w:ascii="Arial" w:cs="Arial" w:eastAsia="Arial" w:hAnsi="Arial"/>
                <w:sz w:val="4"/>
                <w:szCs w:val="4"/>
                <w:color w:val="FFFFFF"/>
              </w:rPr>
              <w:t>with the propose transaction will be more fully discussed in any registration statement filed with the SEC. White the list of factors presented here is. and the list</w:t>
            </w:r>
          </w:p>
        </w:tc>
        <w:tc>
          <w:tcPr>
            <w:tcW w:w="0" w:type="dxa"/>
            <w:vAlign w:val="bottom"/>
          </w:tcPr>
          <w:p>
            <w:pPr>
              <w:spacing w:after="0" w:line="20" w:lineRule="exact"/>
              <w:rPr>
                <w:sz w:val="1"/>
                <w:szCs w:val="1"/>
                <w:color w:val="auto"/>
              </w:rPr>
            </w:pPr>
          </w:p>
        </w:tc>
      </w:tr>
      <w:tr>
        <w:trPr>
          <w:trHeight w:val="36"/>
        </w:trPr>
        <w:tc>
          <w:tcPr>
            <w:tcW w:w="9740" w:type="dxa"/>
            <w:vAlign w:val="bottom"/>
            <w:gridSpan w:val="12"/>
          </w:tcPr>
          <w:p>
            <w:pPr>
              <w:spacing w:after="0" w:line="37" w:lineRule="exact"/>
              <w:rPr>
                <w:sz w:val="20"/>
                <w:szCs w:val="20"/>
                <w:color w:val="auto"/>
              </w:rPr>
            </w:pPr>
            <w:r>
              <w:rPr>
                <w:rFonts w:ascii="Arial" w:cs="Arial" w:eastAsia="Arial" w:hAnsi="Arial"/>
                <w:sz w:val="4"/>
                <w:szCs w:val="4"/>
                <w:color w:val="FFFFFF"/>
              </w:rPr>
              <w:t>of factors that may be presentedassociatedinregistration statement of IFF or N&amp;Bco would be, considered representative, no such list should be considered to be a complete statement of all potential risks and</w:t>
            </w:r>
          </w:p>
        </w:tc>
        <w:tc>
          <w:tcPr>
            <w:tcW w:w="0" w:type="dxa"/>
            <w:vAlign w:val="bottom"/>
          </w:tcPr>
          <w:p>
            <w:pPr>
              <w:spacing w:after="0" w:line="20" w:lineRule="exact"/>
              <w:rPr>
                <w:sz w:val="1"/>
                <w:szCs w:val="1"/>
                <w:color w:val="auto"/>
              </w:rPr>
            </w:pPr>
          </w:p>
        </w:tc>
      </w:tr>
      <w:tr>
        <w:trPr>
          <w:trHeight w:val="36"/>
        </w:trPr>
        <w:tc>
          <w:tcPr>
            <w:tcW w:w="9740" w:type="dxa"/>
            <w:vAlign w:val="bottom"/>
            <w:gridSpan w:val="12"/>
          </w:tcPr>
          <w:p>
            <w:pPr>
              <w:spacing w:after="0" w:line="37" w:lineRule="exact"/>
              <w:rPr>
                <w:sz w:val="20"/>
                <w:szCs w:val="20"/>
                <w:color w:val="auto"/>
              </w:rPr>
            </w:pPr>
            <w:r>
              <w:rPr>
                <w:rFonts w:ascii="Arial" w:cs="Arial" w:eastAsia="Arial" w:hAnsi="Arial"/>
                <w:sz w:val="4"/>
                <w:szCs w:val="4"/>
                <w:color w:val="FFFFFF"/>
              </w:rPr>
              <w:t>uncertainties Unlisted factors may present significant additional obstacles to the realization of forward looking statements. Consequences of material differences in results as compared with those</w:t>
            </w:r>
          </w:p>
        </w:tc>
        <w:tc>
          <w:tcPr>
            <w:tcW w:w="0" w:type="dxa"/>
            <w:vAlign w:val="bottom"/>
          </w:tcPr>
          <w:p>
            <w:pPr>
              <w:spacing w:after="0" w:line="20" w:lineRule="exact"/>
              <w:rPr>
                <w:sz w:val="1"/>
                <w:szCs w:val="1"/>
                <w:color w:val="auto"/>
              </w:rPr>
            </w:pPr>
          </w:p>
        </w:tc>
      </w:tr>
      <w:tr>
        <w:trPr>
          <w:trHeight w:val="36"/>
        </w:trPr>
        <w:tc>
          <w:tcPr>
            <w:tcW w:w="9740" w:type="dxa"/>
            <w:vAlign w:val="bottom"/>
            <w:gridSpan w:val="12"/>
          </w:tcPr>
          <w:p>
            <w:pPr>
              <w:spacing w:after="0" w:line="37" w:lineRule="exact"/>
              <w:rPr>
                <w:sz w:val="20"/>
                <w:szCs w:val="20"/>
                <w:color w:val="auto"/>
              </w:rPr>
            </w:pPr>
            <w:r>
              <w:rPr>
                <w:rFonts w:ascii="Arial" w:cs="Arial" w:eastAsia="Arial" w:hAnsi="Arial"/>
                <w:sz w:val="4"/>
                <w:szCs w:val="4"/>
                <w:color w:val="FFFFFF"/>
              </w:rPr>
              <w:t>anticipated in the forward-looking statements could include, among other things, business disruption, operational problems, financial loss, legal liability to third parties and similar risks, any of which</w:t>
            </w:r>
          </w:p>
        </w:tc>
        <w:tc>
          <w:tcPr>
            <w:tcW w:w="0" w:type="dxa"/>
            <w:vAlign w:val="bottom"/>
          </w:tcPr>
          <w:p>
            <w:pPr>
              <w:spacing w:after="0" w:line="20" w:lineRule="exact"/>
              <w:rPr>
                <w:sz w:val="1"/>
                <w:szCs w:val="1"/>
                <w:color w:val="auto"/>
              </w:rPr>
            </w:pPr>
          </w:p>
        </w:tc>
      </w:tr>
      <w:tr>
        <w:trPr>
          <w:trHeight w:val="36"/>
        </w:trPr>
        <w:tc>
          <w:tcPr>
            <w:tcW w:w="1820" w:type="dxa"/>
            <w:vAlign w:val="bottom"/>
            <w:gridSpan w:val="2"/>
          </w:tcPr>
          <w:p>
            <w:pPr>
              <w:spacing w:after="0" w:line="37" w:lineRule="exact"/>
              <w:rPr>
                <w:sz w:val="20"/>
                <w:szCs w:val="20"/>
                <w:color w:val="auto"/>
              </w:rPr>
            </w:pPr>
            <w:r>
              <w:rPr>
                <w:rFonts w:ascii="Arial" w:cs="Arial" w:eastAsia="Arial" w:hAnsi="Arial"/>
                <w:sz w:val="4"/>
                <w:szCs w:val="4"/>
                <w:color w:val="FFFFFF"/>
              </w:rPr>
              <w:t>could have a material adverse effect</w:t>
            </w:r>
          </w:p>
        </w:tc>
        <w:tc>
          <w:tcPr>
            <w:tcW w:w="7920" w:type="dxa"/>
            <w:vAlign w:val="bottom"/>
            <w:gridSpan w:val="10"/>
          </w:tcPr>
          <w:p>
            <w:pPr>
              <w:jc w:val="right"/>
              <w:ind w:right="360"/>
              <w:spacing w:after="0" w:line="37" w:lineRule="exact"/>
              <w:rPr>
                <w:sz w:val="20"/>
                <w:szCs w:val="20"/>
                <w:color w:val="auto"/>
              </w:rPr>
            </w:pPr>
            <w:r>
              <w:rPr>
                <w:rFonts w:ascii="Arial" w:cs="Arial" w:eastAsia="Arial" w:hAnsi="Arial"/>
                <w:sz w:val="4"/>
                <w:szCs w:val="4"/>
                <w:color w:val="FFFFFF"/>
              </w:rPr>
              <w:t>IFFs. DuPont’s or N&amp;Bco’s consolidated financial condition, results of operations, credit rating or liquidity. None of IFF. DuPont nor N&amp;Bco assumes any</w:t>
            </w:r>
          </w:p>
        </w:tc>
        <w:tc>
          <w:tcPr>
            <w:tcW w:w="0" w:type="dxa"/>
            <w:vAlign w:val="bottom"/>
          </w:tcPr>
          <w:p>
            <w:pPr>
              <w:spacing w:after="0" w:line="20" w:lineRule="exact"/>
              <w:rPr>
                <w:sz w:val="1"/>
                <w:szCs w:val="1"/>
                <w:color w:val="auto"/>
              </w:rPr>
            </w:pPr>
          </w:p>
        </w:tc>
      </w:tr>
      <w:tr>
        <w:trPr>
          <w:trHeight w:val="36"/>
        </w:trPr>
        <w:tc>
          <w:tcPr>
            <w:tcW w:w="3400" w:type="dxa"/>
            <w:vAlign w:val="bottom"/>
            <w:gridSpan w:val="4"/>
          </w:tcPr>
          <w:p>
            <w:pPr>
              <w:ind w:left="60"/>
              <w:spacing w:after="0" w:line="37" w:lineRule="exact"/>
              <w:rPr>
                <w:sz w:val="20"/>
                <w:szCs w:val="20"/>
                <w:color w:val="auto"/>
              </w:rPr>
            </w:pPr>
            <w:r>
              <w:rPr>
                <w:rFonts w:ascii="Arial" w:cs="Arial" w:eastAsia="Arial" w:hAnsi="Arial"/>
                <w:sz w:val="4"/>
                <w:szCs w:val="4"/>
                <w:color w:val="FFFFFF"/>
              </w:rPr>
              <w:t>bligat on to publicly provide revisions or updates to any forward-</w:t>
            </w:r>
          </w:p>
        </w:tc>
        <w:tc>
          <w:tcPr>
            <w:tcW w:w="1280" w:type="dxa"/>
            <w:vAlign w:val="bottom"/>
          </w:tcPr>
          <w:p>
            <w:pPr>
              <w:ind w:left="180"/>
              <w:spacing w:after="0" w:line="37" w:lineRule="exact"/>
              <w:rPr>
                <w:sz w:val="20"/>
                <w:szCs w:val="20"/>
                <w:color w:val="auto"/>
              </w:rPr>
            </w:pPr>
            <w:r>
              <w:rPr>
                <w:rFonts w:ascii="Arial" w:cs="Arial" w:eastAsia="Arial" w:hAnsi="Arial"/>
                <w:sz w:val="4"/>
                <w:szCs w:val="4"/>
                <w:color w:val="FFFFFF"/>
              </w:rPr>
              <w:t>statements, whether as</w:t>
            </w:r>
          </w:p>
        </w:tc>
        <w:tc>
          <w:tcPr>
            <w:tcW w:w="740" w:type="dxa"/>
            <w:vAlign w:val="bottom"/>
          </w:tcPr>
          <w:p>
            <w:pPr>
              <w:jc w:val="center"/>
              <w:ind w:left="80"/>
              <w:spacing w:after="0" w:line="37" w:lineRule="exact"/>
              <w:rPr>
                <w:sz w:val="20"/>
                <w:szCs w:val="20"/>
                <w:color w:val="auto"/>
              </w:rPr>
            </w:pPr>
            <w:r>
              <w:rPr>
                <w:rFonts w:ascii="Arial" w:cs="Arial" w:eastAsia="Arial" w:hAnsi="Arial"/>
                <w:sz w:val="4"/>
                <w:szCs w:val="4"/>
                <w:color w:val="FFFFFF"/>
              </w:rPr>
              <w:t>result of new</w:t>
            </w:r>
          </w:p>
        </w:tc>
        <w:tc>
          <w:tcPr>
            <w:tcW w:w="3460" w:type="dxa"/>
            <w:vAlign w:val="bottom"/>
            <w:gridSpan w:val="5"/>
          </w:tcPr>
          <w:p>
            <w:pPr>
              <w:ind w:left="660"/>
              <w:spacing w:after="0" w:line="37" w:lineRule="exact"/>
              <w:rPr>
                <w:sz w:val="20"/>
                <w:szCs w:val="20"/>
                <w:color w:val="auto"/>
              </w:rPr>
            </w:pPr>
            <w:r>
              <w:rPr>
                <w:rFonts w:ascii="Arial" w:cs="Arial" w:eastAsia="Arial" w:hAnsi="Arial"/>
                <w:sz w:val="4"/>
                <w:szCs w:val="4"/>
                <w:color w:val="FFFFFF"/>
              </w:rPr>
              <w:t>future developments or otherwise, should circumstances</w:t>
            </w:r>
          </w:p>
        </w:tc>
        <w:tc>
          <w:tcPr>
            <w:tcW w:w="860" w:type="dxa"/>
            <w:vAlign w:val="bottom"/>
          </w:tcPr>
          <w:p>
            <w:pPr>
              <w:jc w:val="right"/>
              <w:ind w:right="80"/>
              <w:spacing w:after="0" w:line="37" w:lineRule="exact"/>
              <w:rPr>
                <w:sz w:val="20"/>
                <w:szCs w:val="20"/>
                <w:color w:val="auto"/>
              </w:rPr>
            </w:pPr>
            <w:r>
              <w:rPr>
                <w:rFonts w:ascii="Arial" w:cs="Arial" w:eastAsia="Arial" w:hAnsi="Arial"/>
                <w:sz w:val="4"/>
                <w:szCs w:val="4"/>
                <w:color w:val="FFFFFF"/>
              </w:rPr>
              <w:t>except as</w:t>
            </w:r>
          </w:p>
        </w:tc>
        <w:tc>
          <w:tcPr>
            <w:tcW w:w="0" w:type="dxa"/>
            <w:vAlign w:val="bottom"/>
          </w:tcPr>
          <w:p>
            <w:pPr>
              <w:spacing w:after="0" w:line="20" w:lineRule="exact"/>
              <w:rPr>
                <w:sz w:val="1"/>
                <w:szCs w:val="1"/>
                <w:color w:val="auto"/>
              </w:rPr>
            </w:pPr>
          </w:p>
        </w:tc>
      </w:tr>
      <w:tr>
        <w:trPr>
          <w:trHeight w:val="36"/>
        </w:trPr>
        <w:tc>
          <w:tcPr>
            <w:tcW w:w="5420" w:type="dxa"/>
            <w:vAlign w:val="bottom"/>
            <w:gridSpan w:val="6"/>
          </w:tcPr>
          <w:p>
            <w:pPr>
              <w:spacing w:after="0" w:line="37" w:lineRule="exact"/>
              <w:rPr>
                <w:sz w:val="20"/>
                <w:szCs w:val="20"/>
                <w:color w:val="auto"/>
              </w:rPr>
            </w:pPr>
            <w:r>
              <w:rPr>
                <w:rFonts w:ascii="Arial" w:cs="Arial" w:eastAsia="Arial" w:hAnsi="Arial"/>
                <w:sz w:val="4"/>
                <w:szCs w:val="4"/>
                <w:color w:val="FFFFFF"/>
              </w:rPr>
              <w:t>otherwise requir d by securities and other applicable laws Participantslookingthe Solicitation This communication</w:t>
            </w:r>
          </w:p>
        </w:tc>
        <w:tc>
          <w:tcPr>
            <w:tcW w:w="4320" w:type="dxa"/>
            <w:vAlign w:val="bottom"/>
            <w:gridSpan w:val="6"/>
          </w:tcPr>
          <w:p>
            <w:pPr>
              <w:jc w:val="right"/>
              <w:ind w:right="60"/>
              <w:spacing w:after="0" w:line="37" w:lineRule="exact"/>
              <w:rPr>
                <w:sz w:val="20"/>
                <w:szCs w:val="20"/>
                <w:color w:val="auto"/>
              </w:rPr>
            </w:pPr>
            <w:r>
              <w:rPr>
                <w:rFonts w:ascii="Arial" w:cs="Arial" w:eastAsia="Arial" w:hAnsi="Arial"/>
                <w:sz w:val="4"/>
                <w:szCs w:val="4"/>
                <w:color w:val="FFFFFF"/>
              </w:rPr>
              <w:t>notinformation,solicitation of a proxy from any investor or security holder. Howeverchange,DuPont, IFF</w:t>
            </w:r>
          </w:p>
        </w:tc>
        <w:tc>
          <w:tcPr>
            <w:tcW w:w="0" w:type="dxa"/>
            <w:vAlign w:val="bottom"/>
          </w:tcPr>
          <w:p>
            <w:pPr>
              <w:spacing w:after="0" w:line="20" w:lineRule="exact"/>
              <w:rPr>
                <w:sz w:val="1"/>
                <w:szCs w:val="1"/>
                <w:color w:val="auto"/>
              </w:rPr>
            </w:pPr>
          </w:p>
        </w:tc>
      </w:tr>
      <w:tr>
        <w:trPr>
          <w:trHeight w:val="36"/>
        </w:trPr>
        <w:tc>
          <w:tcPr>
            <w:tcW w:w="6400" w:type="dxa"/>
            <w:vAlign w:val="bottom"/>
            <w:gridSpan w:val="7"/>
          </w:tcPr>
          <w:p>
            <w:pPr>
              <w:spacing w:after="0" w:line="37" w:lineRule="exact"/>
              <w:rPr>
                <w:sz w:val="20"/>
                <w:szCs w:val="20"/>
                <w:color w:val="auto"/>
              </w:rPr>
            </w:pPr>
            <w:r>
              <w:rPr>
                <w:rFonts w:ascii="Arial" w:cs="Arial" w:eastAsia="Arial" w:hAnsi="Arial"/>
                <w:sz w:val="4"/>
                <w:szCs w:val="4"/>
                <w:color w:val="FFFFFF"/>
              </w:rPr>
              <w:t>and certain of their respective directors and executive officers may be deemed to be participants in the solicitation of proxies in</w:t>
            </w:r>
          </w:p>
        </w:tc>
        <w:tc>
          <w:tcPr>
            <w:tcW w:w="3340" w:type="dxa"/>
            <w:vAlign w:val="bottom"/>
            <w:gridSpan w:val="5"/>
          </w:tcPr>
          <w:p>
            <w:pPr>
              <w:jc w:val="right"/>
              <w:ind w:right="300"/>
              <w:spacing w:after="0" w:line="37" w:lineRule="exact"/>
              <w:rPr>
                <w:sz w:val="20"/>
                <w:szCs w:val="20"/>
                <w:color w:val="auto"/>
              </w:rPr>
            </w:pPr>
            <w:r>
              <w:rPr>
                <w:rFonts w:ascii="Arial" w:cs="Arial" w:eastAsia="Arial" w:hAnsi="Arial"/>
                <w:sz w:val="4"/>
                <w:szCs w:val="4"/>
                <w:color w:val="FFFFFF"/>
              </w:rPr>
              <w:t>with the proposed transact or under’ the rules of the SEC</w:t>
            </w:r>
          </w:p>
        </w:tc>
        <w:tc>
          <w:tcPr>
            <w:tcW w:w="0" w:type="dxa"/>
            <w:vAlign w:val="bottom"/>
          </w:tcPr>
          <w:p>
            <w:pPr>
              <w:spacing w:after="0" w:line="20" w:lineRule="exact"/>
              <w:rPr>
                <w:sz w:val="1"/>
                <w:szCs w:val="1"/>
                <w:color w:val="auto"/>
              </w:rPr>
            </w:pPr>
          </w:p>
        </w:tc>
      </w:tr>
      <w:tr>
        <w:trPr>
          <w:trHeight w:val="36"/>
        </w:trPr>
        <w:tc>
          <w:tcPr>
            <w:tcW w:w="560" w:type="dxa"/>
            <w:vAlign w:val="bottom"/>
            <w:vMerge w:val="restart"/>
          </w:tcPr>
          <w:p>
            <w:pPr>
              <w:spacing w:after="0" w:line="35" w:lineRule="exact"/>
              <w:rPr>
                <w:sz w:val="20"/>
                <w:szCs w:val="20"/>
                <w:color w:val="auto"/>
              </w:rPr>
            </w:pPr>
            <w:r>
              <w:rPr>
                <w:rFonts w:ascii="Arial" w:cs="Arial" w:eastAsia="Arial" w:hAnsi="Arial"/>
                <w:sz w:val="4"/>
                <w:szCs w:val="4"/>
                <w:color w:val="FFFFFF"/>
              </w:rPr>
              <w:t>InformationSEC</w:t>
            </w:r>
          </w:p>
        </w:tc>
        <w:tc>
          <w:tcPr>
            <w:tcW w:w="9180" w:type="dxa"/>
            <w:vAlign w:val="bottom"/>
            <w:gridSpan w:val="11"/>
          </w:tcPr>
          <w:p>
            <w:pPr>
              <w:jc w:val="center"/>
              <w:ind w:right="60"/>
              <w:spacing w:after="0" w:line="37" w:lineRule="exact"/>
              <w:rPr>
                <w:sz w:val="20"/>
                <w:szCs w:val="20"/>
                <w:color w:val="auto"/>
              </w:rPr>
            </w:pPr>
            <w:r>
              <w:rPr>
                <w:rFonts w:ascii="Arial" w:cs="Arial" w:eastAsia="Arial" w:hAnsi="Arial"/>
                <w:sz w:val="4"/>
                <w:szCs w:val="4"/>
                <w:color w:val="FFFFFF"/>
              </w:rPr>
              <w:t>about the directors and executive officers of DuPont may be found in its Annual Report on Form 10-K filed with theconnectionSECFebruary 11, 2019 and its definitive proxy statement filed with</w:t>
            </w:r>
          </w:p>
        </w:tc>
        <w:tc>
          <w:tcPr>
            <w:tcW w:w="0" w:type="dxa"/>
            <w:vAlign w:val="bottom"/>
          </w:tcPr>
          <w:p>
            <w:pPr>
              <w:spacing w:after="0" w:line="20" w:lineRule="exact"/>
              <w:rPr>
                <w:sz w:val="1"/>
                <w:szCs w:val="1"/>
                <w:color w:val="auto"/>
              </w:rPr>
            </w:pPr>
          </w:p>
        </w:tc>
      </w:tr>
      <w:tr>
        <w:trPr>
          <w:trHeight w:val="0"/>
        </w:trPr>
        <w:tc>
          <w:tcPr>
            <w:tcW w:w="560" w:type="dxa"/>
            <w:vAlign w:val="bottom"/>
            <w:vMerge w:val="continue"/>
          </w:tcPr>
          <w:p>
            <w:pPr>
              <w:spacing w:after="0" w:line="20" w:lineRule="exact"/>
              <w:rPr>
                <w:sz w:val="1"/>
                <w:szCs w:val="1"/>
                <w:color w:val="auto"/>
              </w:rPr>
            </w:pPr>
          </w:p>
        </w:tc>
        <w:tc>
          <w:tcPr>
            <w:tcW w:w="6880" w:type="dxa"/>
            <w:vAlign w:val="bottom"/>
            <w:gridSpan w:val="8"/>
          </w:tcPr>
          <w:p>
            <w:pPr>
              <w:ind w:left="20"/>
              <w:spacing w:after="0" w:line="71" w:lineRule="exact"/>
              <w:rPr>
                <w:sz w:val="20"/>
                <w:szCs w:val="20"/>
                <w:color w:val="auto"/>
              </w:rPr>
            </w:pPr>
            <w:r>
              <w:rPr>
                <w:rFonts w:ascii="Arial" w:cs="Arial" w:eastAsia="Arial" w:hAnsi="Arial"/>
                <w:sz w:val="8"/>
                <w:szCs w:val="8"/>
                <w:color w:val="FFFFFF"/>
              </w:rPr>
              <w:t>May 1, 2019. Information about the directors and executive officers of IFF may be found in its definitive proxy statement filed with the SEC</w:t>
            </w:r>
          </w:p>
        </w:tc>
        <w:tc>
          <w:tcPr>
            <w:tcW w:w="2300" w:type="dxa"/>
            <w:vAlign w:val="bottom"/>
            <w:gridSpan w:val="3"/>
          </w:tcPr>
          <w:p>
            <w:pPr>
              <w:jc w:val="right"/>
              <w:ind w:right="20"/>
              <w:spacing w:after="0" w:line="71" w:lineRule="exact"/>
              <w:rPr>
                <w:sz w:val="20"/>
                <w:szCs w:val="20"/>
                <w:color w:val="auto"/>
              </w:rPr>
            </w:pPr>
            <w:r>
              <w:rPr>
                <w:rFonts w:ascii="Arial" w:cs="Arial" w:eastAsia="Arial" w:hAnsi="Arial"/>
                <w:sz w:val="8"/>
                <w:szCs w:val="8"/>
                <w:color w:val="FFFFFF"/>
              </w:rPr>
              <w:t>March 18, 2019. Other information regarding</w:t>
            </w:r>
          </w:p>
        </w:tc>
        <w:tc>
          <w:tcPr>
            <w:tcW w:w="0" w:type="dxa"/>
            <w:vAlign w:val="bottom"/>
          </w:tcPr>
          <w:p>
            <w:pPr>
              <w:spacing w:after="0" w:line="20" w:lineRule="exact"/>
              <w:rPr>
                <w:sz w:val="1"/>
                <w:szCs w:val="1"/>
                <w:color w:val="auto"/>
              </w:rPr>
            </w:pPr>
          </w:p>
        </w:tc>
      </w:tr>
    </w:tbl>
    <w:p>
      <w:pPr>
        <w:spacing w:after="0" w:line="22" w:lineRule="auto"/>
        <w:rPr>
          <w:sz w:val="20"/>
          <w:szCs w:val="20"/>
          <w:color w:val="auto"/>
        </w:rPr>
      </w:pPr>
      <w:r>
        <w:rPr>
          <w:rFonts w:ascii="Arial" w:cs="Arial" w:eastAsia="Arial" w:hAnsi="Arial"/>
          <w:sz w:val="1"/>
          <w:szCs w:val="1"/>
          <w:color w:val="FFFFFF"/>
        </w:rPr>
        <w:t>the participants in the proxy solicitation and a description of their direct and indirect interests. by security holdings or otherwise, will be contained</w:t>
      </w:r>
      <w:r>
        <w:rPr>
          <w:rFonts w:ascii="Arial" w:cs="Arial" w:eastAsia="Arial" w:hAnsi="Arial"/>
          <w:sz w:val="1"/>
          <w:szCs w:val="1"/>
          <w:color w:val="FFFFFF"/>
          <w:vertAlign w:val="superscript"/>
        </w:rPr>
        <w:t>and/or</w:t>
      </w:r>
      <w:r>
        <w:rPr>
          <w:rFonts w:ascii="Arial" w:cs="Arial" w:eastAsia="Arial" w:hAnsi="Arial"/>
          <w:sz w:val="1"/>
          <w:szCs w:val="1"/>
          <w:color w:val="FFFFFF"/>
        </w:rPr>
        <w:t>in the registration statements, prospectuses and proxy</w:t>
      </w:r>
    </w:p>
    <w:p>
      <w:pPr>
        <w:ind w:left="600" w:right="140" w:hanging="603"/>
        <w:spacing w:after="0" w:line="188" w:lineRule="auto"/>
        <w:rPr>
          <w:sz w:val="20"/>
          <w:szCs w:val="20"/>
          <w:color w:val="auto"/>
        </w:rPr>
      </w:pPr>
      <w:r>
        <w:rPr>
          <w:rFonts w:ascii="Arial" w:cs="Arial" w:eastAsia="Arial" w:hAnsi="Arial"/>
          <w:sz w:val="24"/>
          <w:szCs w:val="24"/>
          <w:color w:val="FFFFFF"/>
          <w:vertAlign w:val="subscript"/>
        </w:rPr>
        <w:t>copyrighted</w:t>
      </w:r>
      <w:r>
        <w:rPr>
          <w:rFonts w:ascii="Arial" w:cs="Arial" w:eastAsia="Arial" w:hAnsi="Arial"/>
          <w:sz w:val="12"/>
          <w:szCs w:val="12"/>
          <w:color w:val="FFFFFF"/>
        </w:rPr>
        <w:t>statementand other relevant materials to be filed with the SEC when they become available. This communication contains information of IFF</w:t>
      </w:r>
      <w:r>
        <w:rPr>
          <w:sz w:val="20"/>
          <w:szCs w:val="20"/>
          <w:color w:val="auto"/>
        </w:rPr>
        <w:t xml:space="preserve"> </w:t>
      </w:r>
      <w:r>
        <w:rPr>
          <w:rFonts w:ascii="Arial" w:cs="Arial" w:eastAsia="Arial" w:hAnsi="Arial"/>
          <w:sz w:val="7"/>
          <w:szCs w:val="7"/>
          <w:color w:val="FFFFFF"/>
        </w:rPr>
        <w:t>its affiliates that may be confidential, proprietary, and/or</w:t>
      </w:r>
      <w:r>
        <w:rPr>
          <w:rFonts w:ascii="Arial" w:cs="Arial" w:eastAsia="Arial" w:hAnsi="Arial"/>
          <w:sz w:val="8"/>
          <w:szCs w:val="8"/>
          <w:color w:val="FFFFFF"/>
          <w:vertAlign w:val="subscript"/>
        </w:rPr>
        <w:t>communication</w:t>
      </w:r>
      <w:r>
        <w:rPr>
          <w:rFonts w:ascii="Arial" w:cs="Arial" w:eastAsia="Arial" w:hAnsi="Arial"/>
          <w:sz w:val="7"/>
          <w:szCs w:val="7"/>
          <w:color w:val="FFFFFF"/>
        </w:rPr>
        <w:t>legallyprivleged and is intended only for the addressee. Any copying dissemination or other use of this information by anyone other than the intended recipient is prohibited If you</w:t>
      </w:r>
    </w:p>
    <w:p>
      <w:pPr>
        <w:spacing w:after="0"/>
        <w:tabs>
          <w:tab w:leader="none" w:pos="1640" w:val="left"/>
        </w:tabs>
        <w:rPr>
          <w:sz w:val="20"/>
          <w:szCs w:val="20"/>
          <w:color w:val="auto"/>
        </w:rPr>
      </w:pPr>
      <w:r>
        <w:rPr>
          <w:rFonts w:ascii="Arial" w:cs="Arial" w:eastAsia="Arial" w:hAnsi="Arial"/>
          <w:sz w:val="12"/>
          <w:szCs w:val="12"/>
          <w:color w:val="FFFFFF"/>
        </w:rPr>
        <w:t>have received this</w:t>
      </w:r>
      <w:r>
        <w:rPr>
          <w:sz w:val="20"/>
          <w:szCs w:val="20"/>
          <w:color w:val="auto"/>
        </w:rPr>
        <w:tab/>
      </w:r>
      <w:r>
        <w:rPr>
          <w:rFonts w:ascii="Arial" w:cs="Arial" w:eastAsia="Arial" w:hAnsi="Arial"/>
          <w:sz w:val="10"/>
          <w:szCs w:val="10"/>
          <w:color w:val="FFFFFF"/>
        </w:rPr>
        <w:t>in error please contact the sender and delete it from your system.</w:t>
      </w:r>
    </w:p>
    <w:sectPr>
      <w:pgSz w:w="11900" w:h="16838" w:orient="portrait"/>
      <w:cols w:equalWidth="0" w:num="1">
        <w:col w:w="9740"/>
      </w:cols>
      <w:pgMar w:left="1060" w:top="1440"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9"/>
    </w:lvl>
  </w:abstractNum>
  <w:abstractNum w:abstractNumId="3">
    <w:nsid w:val="12200854"/>
    <w:multiLevelType w:val="hybridMultilevel"/>
    <w:lvl w:ilvl="0">
      <w:lvlJc w:val="left"/>
      <w:lvlText w:val="(%1)"/>
      <w:numFmt w:val="lowerLetter"/>
      <w:start w:val="4"/>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bullet"/>
      <w:start w:val="1"/>
    </w:lvl>
  </w:abstractNum>
  <w:abstractNum w:abstractNumId="7">
    <w:nsid w:val="1190CDE7"/>
    <w:multiLevelType w:val="hybridMultilevel"/>
    <w:lvl w:ilvl="0">
      <w:lvlJc w:val="left"/>
      <w:lvlText w:val="(%1)"/>
      <w:numFmt w:val="decimal"/>
      <w:start w:val="21"/>
    </w:lvl>
  </w:abstractNum>
  <w:abstractNum w:abstractNumId="8">
    <w:nsid w:val="66EF438D"/>
    <w:multiLevelType w:val="hybridMultilevel"/>
    <w:lvl w:ilvl="0">
      <w:lvlJc w:val="left"/>
      <w:lvlText w:val="(%1)"/>
      <w:numFmt w:val="decimal"/>
      <w:start w:val="10"/>
    </w:lvl>
  </w:abstractNum>
  <w:abstractNum w:abstractNumId="9">
    <w:nsid w:val="140E0F76"/>
    <w:multiLevelType w:val="hybridMultilevel"/>
    <w:lvl w:ilvl="0">
      <w:lvlJc w:val="left"/>
      <w:lvlText w:val="(%1)"/>
      <w:numFmt w:val="decimal"/>
      <w:start w:val="13"/>
    </w:lvl>
  </w:abstractNum>
  <w:abstractNum w:abstractNumId="10">
    <w:nsid w:val="3352255A"/>
    <w:multiLevelType w:val="hybridMultilevel"/>
    <w:lvl w:ilvl="0">
      <w:lvlJc w:val="left"/>
      <w:lvlText w:val="(%1)"/>
      <w:numFmt w:val="decimal"/>
      <w:start w:val="20"/>
    </w:lvl>
  </w:abstractNum>
  <w:abstractNum w:abstractNumId="11">
    <w:nsid w:val="109CF92E"/>
    <w:multiLevelType w:val="hybridMultilevel"/>
    <w:lvl w:ilvl="0">
      <w:lvlJc w:val="left"/>
      <w:lvlText w:val="(%1)"/>
      <w:numFmt w:val="decimal"/>
      <w:start w:val="2"/>
    </w:lvl>
  </w:abstractNum>
  <w:abstractNum w:abstractNumId="12">
    <w:nsid w:val="DED7263"/>
    <w:multiLevelType w:val="hybridMultilevel"/>
    <w:lvl w:ilvl="0">
      <w:lvlJc w:val="left"/>
      <w:lvlText w:val="(%1)"/>
      <w:numFmt w:val="decimal"/>
      <w:start w:val="20"/>
    </w:lvl>
  </w:abstractNum>
  <w:abstractNum w:abstractNumId="13">
    <w:nsid w:val="7FDCC233"/>
    <w:multiLevelType w:val="hybridMultilevel"/>
    <w:lvl w:ilvl="0">
      <w:lvlJc w:val="left"/>
      <w:lvlText w:val="(%1)"/>
      <w:numFmt w:val="decimal"/>
      <w:start w:val="12"/>
    </w:lvl>
  </w:abstractNum>
  <w:abstractNum w:abstractNumId="14">
    <w:nsid w:val="1BEFD79F"/>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2019-12-17T06:55:39Z</dcterms:created>
  <dcterms:modified xsi:type="dcterms:W3CDTF">2019-12-17T06:55:39Z</dcterms:modified>
</cp:coreProperties>
</file>