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2328545</wp:posOffset>
            </wp:positionH>
            <wp:positionV relativeFrom="page">
              <wp:posOffset>0</wp:posOffset>
            </wp:positionV>
            <wp:extent cx="5215255" cy="7277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5255" cy="7277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2240"/>
        <w:spacing w:after="0"/>
        <w:rPr>
          <w:sz w:val="20"/>
          <w:szCs w:val="20"/>
          <w:color w:val="auto"/>
        </w:rPr>
      </w:pPr>
      <w:r>
        <w:rPr>
          <w:rFonts w:ascii="Arial" w:cs="Arial" w:eastAsia="Arial" w:hAnsi="Arial"/>
          <w:sz w:val="24"/>
          <w:szCs w:val="24"/>
          <w:b w:val="1"/>
          <w:bCs w:val="1"/>
          <w:color w:val="003C63"/>
        </w:rPr>
        <w:t>ANNUAL REPORT 2022</w:t>
      </w:r>
    </w:p>
    <w:p>
      <w:pPr>
        <w:sectPr>
          <w:pgSz w:w="11880" w:h="15480" w:orient="portrait"/>
          <w:cols w:equalWidth="0" w:num="1">
            <w:col w:w="9000"/>
          </w:cols>
          <w:pgMar w:left="144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line="270" w:lineRule="auto"/>
        <w:rPr>
          <w:sz w:val="20"/>
          <w:szCs w:val="20"/>
          <w:color w:val="auto"/>
        </w:rPr>
      </w:pPr>
      <w:r>
        <w:rPr>
          <w:rFonts w:ascii="Arial" w:cs="Arial" w:eastAsia="Arial" w:hAnsi="Arial"/>
          <w:sz w:val="17"/>
          <w:szCs w:val="17"/>
          <w:color w:val="FFFFFF"/>
        </w:rPr>
        <w:t xml:space="preserve">Announced the next phase of our </w:t>
      </w:r>
      <w:r>
        <w:rPr>
          <w:rFonts w:ascii="Arial" w:cs="Arial" w:eastAsia="Arial" w:hAnsi="Arial"/>
          <w:sz w:val="17"/>
          <w:szCs w:val="17"/>
          <w:b w:val="1"/>
          <w:bCs w:val="1"/>
          <w:color w:val="FFFFFF"/>
        </w:rPr>
        <w:t xml:space="preserve">strategic transformation </w:t>
      </w:r>
      <w:r>
        <w:rPr>
          <w:rFonts w:ascii="Arial" w:cs="Arial" w:eastAsia="Arial" w:hAnsi="Arial"/>
          <w:sz w:val="17"/>
          <w:szCs w:val="17"/>
          <w:color w:val="FFFFFF"/>
        </w:rPr>
        <w:t>by previewing</w:t>
      </w:r>
      <w:r>
        <w:rPr>
          <w:rFonts w:ascii="Arial" w:cs="Arial" w:eastAsia="Arial" w:hAnsi="Arial"/>
          <w:sz w:val="17"/>
          <w:szCs w:val="17"/>
          <w:b w:val="1"/>
          <w:bCs w:val="1"/>
          <w:color w:val="FFFFFF"/>
        </w:rPr>
        <w:t xml:space="preserve"> </w:t>
      </w:r>
      <w:r>
        <w:rPr>
          <w:rFonts w:ascii="Arial" w:cs="Arial" w:eastAsia="Arial" w:hAnsi="Arial"/>
          <w:sz w:val="17"/>
          <w:szCs w:val="17"/>
          <w:color w:val="FFFFFF"/>
        </w:rPr>
        <w:t>our refreshed strategic plan and new operating model, developed through an extensive assessment with</w:t>
      </w:r>
    </w:p>
    <w:p>
      <w:pPr>
        <w:ind w:left="40" w:right="100"/>
        <w:spacing w:after="0" w:line="272" w:lineRule="auto"/>
        <w:rPr>
          <w:sz w:val="20"/>
          <w:szCs w:val="20"/>
          <w:color w:val="auto"/>
        </w:rPr>
      </w:pPr>
      <w:r>
        <w:rPr>
          <w:rFonts w:ascii="Arial" w:cs="Arial" w:eastAsia="Arial" w:hAnsi="Arial"/>
          <w:sz w:val="17"/>
          <w:szCs w:val="17"/>
          <w:color w:val="FFFFFF"/>
        </w:rPr>
        <w:t>the Company’s senior leadership, customers, investors and key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line="270" w:lineRule="auto"/>
        <w:rPr>
          <w:sz w:val="20"/>
          <w:szCs w:val="20"/>
          <w:color w:val="auto"/>
        </w:rPr>
      </w:pPr>
      <w:r>
        <w:rPr>
          <w:rFonts w:ascii="Arial" w:cs="Arial" w:eastAsia="Arial" w:hAnsi="Arial"/>
          <w:sz w:val="17"/>
          <w:szCs w:val="17"/>
          <w:color w:val="FFFFFF"/>
        </w:rPr>
        <w:t xml:space="preserve">Externally recognized for achieving sustainability leadership as we were named to the </w:t>
      </w:r>
      <w:r>
        <w:rPr>
          <w:rFonts w:ascii="Arial" w:cs="Arial" w:eastAsia="Arial" w:hAnsi="Arial"/>
          <w:sz w:val="17"/>
          <w:szCs w:val="17"/>
          <w:b w:val="1"/>
          <w:bCs w:val="1"/>
          <w:color w:val="FFFFFF"/>
        </w:rPr>
        <w:t>Dow Jones Sustainability</w:t>
      </w:r>
      <w:r>
        <w:rPr>
          <w:rFonts w:ascii="Arial" w:cs="Arial" w:eastAsia="Arial" w:hAnsi="Arial"/>
          <w:sz w:val="17"/>
          <w:szCs w:val="17"/>
          <w:color w:val="FFFFFF"/>
        </w:rPr>
        <w:t xml:space="preserve"> </w:t>
      </w:r>
      <w:r>
        <w:rPr>
          <w:rFonts w:ascii="Arial" w:cs="Arial" w:eastAsia="Arial" w:hAnsi="Arial"/>
          <w:sz w:val="17"/>
          <w:szCs w:val="17"/>
          <w:b w:val="1"/>
          <w:bCs w:val="1"/>
          <w:color w:val="FFFFFF"/>
        </w:rPr>
        <w:t xml:space="preserve">Index </w:t>
      </w:r>
      <w:r>
        <w:rPr>
          <w:rFonts w:ascii="Arial" w:cs="Arial" w:eastAsia="Arial" w:hAnsi="Arial"/>
          <w:sz w:val="17"/>
          <w:szCs w:val="17"/>
          <w:color w:val="FFFFFF"/>
        </w:rPr>
        <w:t>for the third time and recognized</w:t>
      </w:r>
      <w:r>
        <w:rPr>
          <w:rFonts w:ascii="Arial" w:cs="Arial" w:eastAsia="Arial" w:hAnsi="Arial"/>
          <w:sz w:val="17"/>
          <w:szCs w:val="17"/>
          <w:b w:val="1"/>
          <w:bCs w:val="1"/>
          <w:color w:val="FFFFFF"/>
        </w:rPr>
        <w:t xml:space="preserve"> </w:t>
      </w:r>
      <w:r>
        <w:rPr>
          <w:rFonts w:ascii="Arial" w:cs="Arial" w:eastAsia="Arial" w:hAnsi="Arial"/>
          <w:sz w:val="17"/>
          <w:szCs w:val="17"/>
          <w:color w:val="FFFFFF"/>
        </w:rPr>
        <w:t xml:space="preserve">with </w:t>
      </w:r>
      <w:r>
        <w:rPr>
          <w:rFonts w:ascii="Arial" w:cs="Arial" w:eastAsia="Arial" w:hAnsi="Arial"/>
          <w:sz w:val="17"/>
          <w:szCs w:val="17"/>
          <w:b w:val="1"/>
          <w:bCs w:val="1"/>
          <w:color w:val="FFFFFF"/>
        </w:rPr>
        <w:t>CDP “A”</w:t>
      </w:r>
      <w:r>
        <w:rPr>
          <w:rFonts w:ascii="Arial" w:cs="Arial" w:eastAsia="Arial" w:hAnsi="Arial"/>
          <w:sz w:val="17"/>
          <w:szCs w:val="17"/>
          <w:color w:val="FFFFFF"/>
        </w:rPr>
        <w:t xml:space="preserve"> score on climate change for the eighth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right="260"/>
        <w:spacing w:after="0" w:line="270" w:lineRule="auto"/>
        <w:rPr>
          <w:sz w:val="20"/>
          <w:szCs w:val="20"/>
          <w:color w:val="auto"/>
        </w:rPr>
      </w:pPr>
      <w:r>
        <w:rPr>
          <w:rFonts w:ascii="Arial" w:cs="Arial" w:eastAsia="Arial" w:hAnsi="Arial"/>
          <w:sz w:val="17"/>
          <w:szCs w:val="17"/>
          <w:color w:val="FFFFFF"/>
        </w:rPr>
        <w:t xml:space="preserve">Named for the first time to the </w:t>
      </w:r>
      <w:r>
        <w:rPr>
          <w:rFonts w:ascii="Arial" w:cs="Arial" w:eastAsia="Arial" w:hAnsi="Arial"/>
          <w:sz w:val="17"/>
          <w:szCs w:val="17"/>
          <w:b w:val="1"/>
          <w:bCs w:val="1"/>
          <w:color w:val="FFFFFF"/>
        </w:rPr>
        <w:t>2022</w:t>
      </w:r>
      <w:r>
        <w:rPr>
          <w:rFonts w:ascii="Arial" w:cs="Arial" w:eastAsia="Arial" w:hAnsi="Arial"/>
          <w:sz w:val="17"/>
          <w:szCs w:val="17"/>
          <w:color w:val="FFFFFF"/>
        </w:rPr>
        <w:t xml:space="preserve"> </w:t>
      </w:r>
      <w:r>
        <w:rPr>
          <w:rFonts w:ascii="Arial" w:cs="Arial" w:eastAsia="Arial" w:hAnsi="Arial"/>
          <w:sz w:val="17"/>
          <w:szCs w:val="17"/>
          <w:b w:val="1"/>
          <w:bCs w:val="1"/>
          <w:color w:val="FFFFFF"/>
        </w:rPr>
        <w:t xml:space="preserve">Bloomberg Gender Equality Index </w:t>
      </w:r>
      <w:r>
        <w:rPr>
          <w:rFonts w:ascii="Arial" w:cs="Arial" w:eastAsia="Arial" w:hAnsi="Arial"/>
          <w:sz w:val="17"/>
          <w:szCs w:val="17"/>
          <w:color w:val="FFFFFF"/>
        </w:rPr>
        <w:t>for our commitment to transparency and setting a new standard in gender-related data reporting.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83"/>
        <w:spacing w:after="0" w:line="270" w:lineRule="auto"/>
        <w:rPr>
          <w:sz w:val="20"/>
          <w:szCs w:val="20"/>
          <w:color w:val="auto"/>
        </w:rPr>
      </w:pPr>
      <w:r>
        <w:rPr>
          <w:rFonts w:ascii="Arial" w:cs="Arial" w:eastAsia="Arial" w:hAnsi="Arial"/>
          <w:sz w:val="17"/>
          <w:szCs w:val="17"/>
          <w:color w:val="FFFFFF"/>
        </w:rPr>
        <w:t xml:space="preserve">Successfully completed the divestiture of our </w:t>
      </w:r>
      <w:r>
        <w:rPr>
          <w:rFonts w:ascii="Arial" w:cs="Arial" w:eastAsia="Arial" w:hAnsi="Arial"/>
          <w:sz w:val="17"/>
          <w:szCs w:val="17"/>
          <w:b w:val="1"/>
          <w:bCs w:val="1"/>
          <w:color w:val="FFFFFF"/>
        </w:rPr>
        <w:t>Microbial Control business unit</w:t>
      </w:r>
      <w:r>
        <w:rPr>
          <w:rFonts w:ascii="Arial" w:cs="Arial" w:eastAsia="Arial" w:hAnsi="Arial"/>
          <w:sz w:val="17"/>
          <w:szCs w:val="17"/>
          <w:color w:val="FFFFFF"/>
        </w:rPr>
        <w:t xml:space="preserve"> and announced we have entered into an agreement to sell our </w:t>
      </w:r>
      <w:r>
        <w:rPr>
          <w:rFonts w:ascii="Arial" w:cs="Arial" w:eastAsia="Arial" w:hAnsi="Arial"/>
          <w:sz w:val="17"/>
          <w:szCs w:val="17"/>
          <w:b w:val="1"/>
          <w:bCs w:val="1"/>
          <w:color w:val="FFFFFF"/>
        </w:rPr>
        <w:t>Savory Solutions</w:t>
      </w:r>
      <w:r>
        <w:rPr>
          <w:rFonts w:ascii="Arial" w:cs="Arial" w:eastAsia="Arial" w:hAnsi="Arial"/>
          <w:sz w:val="17"/>
          <w:szCs w:val="17"/>
          <w:color w:val="FFFFFF"/>
        </w:rPr>
        <w:t xml:space="preserve"> </w:t>
      </w:r>
      <w:r>
        <w:rPr>
          <w:rFonts w:ascii="Arial" w:cs="Arial" w:eastAsia="Arial" w:hAnsi="Arial"/>
          <w:sz w:val="17"/>
          <w:szCs w:val="17"/>
          <w:b w:val="1"/>
          <w:bCs w:val="1"/>
          <w:color w:val="FFFFFF"/>
        </w:rPr>
        <w:t xml:space="preserve">Group </w:t>
      </w:r>
      <w:r>
        <w:rPr>
          <w:rFonts w:ascii="Arial" w:cs="Arial" w:eastAsia="Arial" w:hAnsi="Arial"/>
          <w:sz w:val="17"/>
          <w:szCs w:val="17"/>
          <w:color w:val="FFFFFF"/>
        </w:rPr>
        <w:t>as we continuously evaluate our</w:t>
      </w:r>
      <w:r>
        <w:rPr>
          <w:rFonts w:ascii="Arial" w:cs="Arial" w:eastAsia="Arial" w:hAnsi="Arial"/>
          <w:sz w:val="17"/>
          <w:szCs w:val="17"/>
          <w:b w:val="1"/>
          <w:bCs w:val="1"/>
          <w:color w:val="FFFFFF"/>
        </w:rPr>
        <w:t xml:space="preserve"> </w:t>
      </w:r>
      <w:r>
        <w:rPr>
          <w:rFonts w:ascii="Arial" w:cs="Arial" w:eastAsia="Arial" w:hAnsi="Arial"/>
          <w:sz w:val="17"/>
          <w:szCs w:val="17"/>
          <w:color w:val="FFFFFF"/>
        </w:rPr>
        <w:t>portfolio to identify opportunities to maximize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-2216785</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63"/>
        <w:spacing w:after="0" w:line="1185" w:lineRule="auto"/>
        <w:rPr>
          <w:sz w:val="20"/>
          <w:szCs w:val="20"/>
          <w:color w:val="auto"/>
        </w:rPr>
      </w:pPr>
      <w:r>
        <w:rPr>
          <w:rFonts w:ascii="Arial" w:cs="Arial" w:eastAsia="Arial" w:hAnsi="Arial"/>
          <w:sz w:val="17"/>
          <w:szCs w:val="17"/>
          <w:color w:val="FFFFFF"/>
        </w:rPr>
        <w:t xml:space="preserve">Awarded the </w:t>
      </w:r>
      <w:r>
        <w:rPr>
          <w:rFonts w:ascii="Arial" w:cs="Arial" w:eastAsia="Arial" w:hAnsi="Arial"/>
          <w:sz w:val="17"/>
          <w:szCs w:val="17"/>
          <w:b w:val="1"/>
          <w:bCs w:val="1"/>
          <w:color w:val="FFFFFF"/>
        </w:rPr>
        <w:t>2022 EcoVadis Platinum</w:t>
      </w:r>
      <w:r>
        <w:rPr>
          <w:rFonts w:ascii="Arial" w:cs="Arial" w:eastAsia="Arial" w:hAnsi="Arial"/>
          <w:sz w:val="17"/>
          <w:szCs w:val="17"/>
          <w:color w:val="FFFFFF"/>
        </w:rPr>
        <w:t xml:space="preserve"> sustainability rating for the second time, placing IFF among the top 1% of companies assessed.</w:t>
      </w:r>
    </w:p>
    <w:tbl>
      <w:tblPr>
        <w:tblLayout w:type="fixed"/>
        <w:tblInd w:w="2480" w:type="dxa"/>
        <w:tblCellMar>
          <w:top w:w="0" w:type="dxa"/>
          <w:left w:w="0" w:type="dxa"/>
          <w:bottom w:w="0" w:type="dxa"/>
          <w:right w:w="0" w:type="dxa"/>
        </w:tblCellMar>
      </w:tblPr>
      <w:tr>
        <w:trPr>
          <w:trHeight w:val="6080"/>
        </w:trPr>
        <w:tc>
          <w:tcPr>
            <w:tcW w:w="2944" w:type="dxa"/>
            <w:vAlign w:val="bottom"/>
            <w:textDirection w:val="btLr"/>
          </w:tcPr>
          <w:p>
            <w:pPr>
              <w:spacing w:after="0"/>
              <w:rPr>
                <w:sz w:val="20"/>
                <w:szCs w:val="20"/>
                <w:color w:val="auto"/>
              </w:rPr>
            </w:pPr>
            <w:r>
              <w:rPr>
                <w:rFonts w:ascii="Arial" w:cs="Arial" w:eastAsia="Arial" w:hAnsi="Arial"/>
                <w:sz w:val="256"/>
                <w:szCs w:val="256"/>
                <w:b w:val="1"/>
                <w:bCs w:val="1"/>
                <w:color w:val="003C63"/>
              </w:rPr>
              <w:t>2022</w:t>
            </w:r>
          </w:p>
        </w:tc>
      </w:tr>
    </w:tbl>
    <w:p>
      <w:pPr>
        <w:spacing w:after="0" w:line="282" w:lineRule="exact"/>
        <w:rPr>
          <w:sz w:val="20"/>
          <w:szCs w:val="20"/>
          <w:color w:val="auto"/>
        </w:rPr>
      </w:pPr>
    </w:p>
    <w:p>
      <w:pPr>
        <w:ind w:right="2443"/>
        <w:spacing w:after="0" w:line="270" w:lineRule="auto"/>
        <w:rPr>
          <w:sz w:val="20"/>
          <w:szCs w:val="20"/>
          <w:color w:val="auto"/>
        </w:rPr>
      </w:pPr>
      <w:r>
        <w:rPr>
          <w:rFonts w:ascii="Arial" w:cs="Arial" w:eastAsia="Arial" w:hAnsi="Arial"/>
          <w:sz w:val="17"/>
          <w:szCs w:val="17"/>
          <w:color w:val="FFFFFF"/>
        </w:rPr>
        <w:t xml:space="preserve">Continued to strengthen our commitment to diversity, equity &amp; inclusion as we are the first company to receive </w:t>
      </w:r>
      <w:r>
        <w:rPr>
          <w:rFonts w:ascii="Arial" w:cs="Arial" w:eastAsia="Arial" w:hAnsi="Arial"/>
          <w:sz w:val="17"/>
          <w:szCs w:val="17"/>
          <w:b w:val="1"/>
          <w:bCs w:val="1"/>
          <w:color w:val="FFFFFF"/>
        </w:rPr>
        <w:t>Move-level certification</w:t>
      </w:r>
      <w:r>
        <w:rPr>
          <w:rFonts w:ascii="Arial" w:cs="Arial" w:eastAsia="Arial" w:hAnsi="Arial"/>
          <w:sz w:val="17"/>
          <w:szCs w:val="17"/>
          <w:color w:val="FFFFFF"/>
        </w:rPr>
        <w:t xml:space="preserve"> </w:t>
      </w:r>
      <w:r>
        <w:rPr>
          <w:rFonts w:ascii="Arial" w:cs="Arial" w:eastAsia="Arial" w:hAnsi="Arial"/>
          <w:sz w:val="17"/>
          <w:szCs w:val="17"/>
          <w:b w:val="1"/>
          <w:bCs w:val="1"/>
          <w:color w:val="FFFFFF"/>
        </w:rPr>
        <w:t xml:space="preserve">twice from EDGE, </w:t>
      </w:r>
      <w:r>
        <w:rPr>
          <w:rFonts w:ascii="Arial" w:cs="Arial" w:eastAsia="Arial" w:hAnsi="Arial"/>
          <w:sz w:val="17"/>
          <w:szCs w:val="17"/>
          <w:color w:val="FFFFFF"/>
        </w:rPr>
        <w:t>the leading global</w:t>
      </w:r>
      <w:r>
        <w:rPr>
          <w:rFonts w:ascii="Arial" w:cs="Arial" w:eastAsia="Arial" w:hAnsi="Arial"/>
          <w:sz w:val="17"/>
          <w:szCs w:val="17"/>
          <w:b w:val="1"/>
          <w:bCs w:val="1"/>
          <w:color w:val="FFFFFF"/>
        </w:rPr>
        <w:t xml:space="preserve"> </w:t>
      </w:r>
      <w:r>
        <w:rPr>
          <w:rFonts w:ascii="Arial" w:cs="Arial" w:eastAsia="Arial" w:hAnsi="Arial"/>
          <w:sz w:val="17"/>
          <w:szCs w:val="17"/>
          <w:color w:val="FFFFFF"/>
        </w:rPr>
        <w:t>assessment and business certification for gender and intersectional equity.</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20"/>
        </w:trPr>
        <w:tc>
          <w:tcPr>
            <w:tcW w:w="322" w:type="dxa"/>
            <w:vAlign w:val="bottom"/>
            <w:textDirection w:val="btLr"/>
          </w:tcPr>
          <w:p>
            <w:pPr>
              <w:spacing w:after="0"/>
              <w:rPr>
                <w:sz w:val="20"/>
                <w:szCs w:val="20"/>
                <w:color w:val="auto"/>
              </w:rPr>
            </w:pPr>
            <w:r>
              <w:rPr>
                <w:rFonts w:ascii="Arial" w:cs="Arial" w:eastAsia="Arial" w:hAnsi="Arial"/>
                <w:sz w:val="28"/>
                <w:szCs w:val="28"/>
                <w:b w:val="1"/>
                <w:bCs w:val="1"/>
                <w:color w:val="003C63"/>
              </w:rPr>
              <w:t>YEAR IN REVIEW</w:t>
            </w:r>
          </w:p>
        </w:tc>
      </w:tr>
    </w:tbl>
    <w:p>
      <w:pPr>
        <w:spacing w:after="0" w:line="5261" w:lineRule="exact"/>
        <w:rPr>
          <w:sz w:val="20"/>
          <w:szCs w:val="20"/>
          <w:color w:val="auto"/>
        </w:rPr>
      </w:pPr>
    </w:p>
    <w:p>
      <w:pPr>
        <w:sectPr>
          <w:pgSz w:w="11880" w:h="15480" w:orient="portrait"/>
          <w:cols w:equalWidth="0" w:num="3">
            <w:col w:w="3160" w:space="440"/>
            <w:col w:w="5423" w:space="14"/>
            <w:col w:w="783"/>
          </w:cols>
          <w:pgMar w:left="1320" w:top="920" w:right="740" w:bottom="102" w:gutter="0" w:footer="0" w:header="0"/>
        </w:sectPr>
      </w:pPr>
    </w:p>
    <w:p>
      <w:pPr>
        <w:spacing w:after="0" w:line="200" w:lineRule="exact"/>
        <w:rPr>
          <w:sz w:val="20"/>
          <w:szCs w:val="20"/>
          <w:color w:val="auto"/>
        </w:rPr>
      </w:pPr>
    </w:p>
    <w:p>
      <w:pPr>
        <w:spacing w:after="0" w:line="389" w:lineRule="exact"/>
        <w:rPr>
          <w:sz w:val="20"/>
          <w:szCs w:val="20"/>
          <w:color w:val="auto"/>
        </w:rPr>
      </w:pPr>
    </w:p>
    <w:p>
      <w:pPr>
        <w:ind w:left="40"/>
        <w:spacing w:after="0" w:line="271" w:lineRule="auto"/>
        <w:rPr>
          <w:sz w:val="20"/>
          <w:szCs w:val="20"/>
          <w:color w:val="auto"/>
        </w:rPr>
      </w:pPr>
      <w:r>
        <w:rPr>
          <w:rFonts w:ascii="Arial" w:cs="Arial" w:eastAsia="Arial" w:hAnsi="Arial"/>
          <w:sz w:val="17"/>
          <w:szCs w:val="17"/>
          <w:b w:val="1"/>
          <w:bCs w:val="1"/>
          <w:color w:val="FFFFFF"/>
        </w:rPr>
        <w:t xml:space="preserve">Opened our new Singapore Innovation Center, </w:t>
      </w:r>
      <w:r>
        <w:rPr>
          <w:rFonts w:ascii="Arial" w:cs="Arial" w:eastAsia="Arial" w:hAnsi="Arial"/>
          <w:sz w:val="17"/>
          <w:szCs w:val="17"/>
          <w:color w:val="FFFFFF"/>
        </w:rPr>
        <w:t>our largest in the region and the</w:t>
      </w:r>
      <w:r>
        <w:rPr>
          <w:rFonts w:ascii="Arial" w:cs="Arial" w:eastAsia="Arial" w:hAnsi="Arial"/>
          <w:sz w:val="17"/>
          <w:szCs w:val="17"/>
          <w:b w:val="1"/>
          <w:bCs w:val="1"/>
          <w:color w:val="FFFFFF"/>
        </w:rPr>
        <w:t xml:space="preserve"> </w:t>
      </w:r>
      <w:r>
        <w:rPr>
          <w:rFonts w:ascii="Arial" w:cs="Arial" w:eastAsia="Arial" w:hAnsi="Arial"/>
          <w:sz w:val="17"/>
          <w:szCs w:val="17"/>
          <w:color w:val="FFFFFF"/>
        </w:rPr>
        <w:t>first in our global network of research, creative and application centers to integrate the technologies, capabilities and expertise of all four business divisions.</w:t>
      </w: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24"/>
          <w:szCs w:val="24"/>
          <w:b w:val="1"/>
          <w:bCs w:val="1"/>
          <w:color w:val="FFFFFF"/>
        </w:rPr>
        <w:t>FULL-YEAR 2022 RESULTS</w:t>
      </w:r>
    </w:p>
    <w:p>
      <w:pPr>
        <w:ind w:left="40"/>
        <w:spacing w:after="0"/>
        <w:rPr>
          <w:sz w:val="20"/>
          <w:szCs w:val="20"/>
          <w:color w:val="auto"/>
        </w:rPr>
      </w:pPr>
      <w:r>
        <w:rPr>
          <w:rFonts w:ascii="Arial" w:cs="Arial" w:eastAsia="Arial" w:hAnsi="Arial"/>
          <w:sz w:val="48"/>
          <w:szCs w:val="48"/>
          <w:b w:val="1"/>
          <w:bCs w:val="1"/>
          <w:color w:val="FFFFFF"/>
        </w:rPr>
        <w:t>Company Financials</w:t>
      </w:r>
    </w:p>
    <w:p>
      <w:pPr>
        <w:spacing w:after="0" w:line="205" w:lineRule="exact"/>
        <w:rPr>
          <w:sz w:val="20"/>
          <w:szCs w:val="20"/>
          <w:color w:val="auto"/>
        </w:rPr>
      </w:pPr>
    </w:p>
    <w:p>
      <w:pPr>
        <w:ind w:left="3620"/>
        <w:spacing w:after="0"/>
        <w:rPr>
          <w:sz w:val="20"/>
          <w:szCs w:val="20"/>
          <w:color w:val="auto"/>
        </w:rPr>
      </w:pPr>
      <w:r>
        <w:rPr>
          <w:rFonts w:ascii="Arial" w:cs="Arial" w:eastAsia="Arial" w:hAnsi="Arial"/>
          <w:sz w:val="24"/>
          <w:szCs w:val="24"/>
          <w:b w:val="1"/>
          <w:bCs w:val="1"/>
          <w:color w:val="003C63"/>
        </w:rPr>
        <w:t>ADJUSTED</w:t>
      </w:r>
    </w:p>
    <w:p>
      <w:pPr>
        <w:ind w:left="40"/>
        <w:spacing w:after="0" w:line="181" w:lineRule="auto"/>
        <w:tabs>
          <w:tab w:leader="none" w:pos="3600" w:val="left"/>
        </w:tabs>
        <w:rPr>
          <w:sz w:val="20"/>
          <w:szCs w:val="20"/>
          <w:color w:val="auto"/>
        </w:rPr>
      </w:pPr>
      <w:r>
        <w:rPr>
          <w:rFonts w:ascii="Arial" w:cs="Arial" w:eastAsia="Arial" w:hAnsi="Arial"/>
          <w:sz w:val="24"/>
          <w:szCs w:val="24"/>
          <w:b w:val="1"/>
          <w:bCs w:val="1"/>
          <w:color w:val="003C63"/>
        </w:rPr>
        <w:t>SALES</w:t>
      </w:r>
      <w:r>
        <w:rPr>
          <w:sz w:val="20"/>
          <w:szCs w:val="20"/>
          <w:color w:val="auto"/>
        </w:rPr>
        <w:tab/>
      </w:r>
      <w:r>
        <w:rPr>
          <w:rFonts w:ascii="Arial" w:cs="Arial" w:eastAsia="Arial" w:hAnsi="Arial"/>
          <w:sz w:val="24"/>
          <w:szCs w:val="24"/>
          <w:b w:val="1"/>
          <w:bCs w:val="1"/>
          <w:color w:val="003C63"/>
        </w:rPr>
        <w:t>OPERATING EBITDA*</w:t>
      </w:r>
    </w:p>
    <w:p>
      <w:pPr>
        <w:spacing w:after="0" w:line="1" w:lineRule="exact"/>
        <w:rPr>
          <w:sz w:val="20"/>
          <w:szCs w:val="20"/>
          <w:color w:val="auto"/>
        </w:rPr>
      </w:pPr>
    </w:p>
    <w:p>
      <w:pPr>
        <w:spacing w:after="0"/>
        <w:rPr>
          <w:sz w:val="20"/>
          <w:szCs w:val="20"/>
          <w:color w:val="auto"/>
        </w:rPr>
      </w:pPr>
      <w:r>
        <w:rPr>
          <w:rFonts w:ascii="Arial" w:cs="Arial" w:eastAsia="Arial" w:hAnsi="Arial"/>
          <w:sz w:val="76"/>
          <w:szCs w:val="76"/>
          <w:b w:val="1"/>
          <w:bCs w:val="1"/>
          <w:color w:val="FFFFFF"/>
        </w:rPr>
        <w:t>$12.4</w:t>
      </w:r>
      <w:r>
        <w:rPr>
          <w:rFonts w:ascii="Arial" w:cs="Arial" w:eastAsia="Arial" w:hAnsi="Arial"/>
          <w:sz w:val="32"/>
          <w:szCs w:val="32"/>
          <w:b w:val="1"/>
          <w:bCs w:val="1"/>
          <w:color w:val="FFFFFF"/>
        </w:rPr>
        <w:t>Billion</w:t>
      </w:r>
      <w:r>
        <w:rPr>
          <w:rFonts w:ascii="Arial" w:cs="Arial" w:eastAsia="Arial" w:hAnsi="Arial"/>
          <w:sz w:val="76"/>
          <w:szCs w:val="76"/>
          <w:b w:val="1"/>
          <w:bCs w:val="1"/>
          <w:color w:val="FFFFFF"/>
        </w:rPr>
        <w:t xml:space="preserve">   $2.5</w:t>
      </w:r>
      <w:r>
        <w:rPr>
          <w:rFonts w:ascii="Arial" w:cs="Arial" w:eastAsia="Arial" w:hAnsi="Arial"/>
          <w:sz w:val="32"/>
          <w:szCs w:val="32"/>
          <w:b w:val="1"/>
          <w:bCs w:val="1"/>
          <w:color w:val="FFFFFF"/>
        </w:rPr>
        <w:t>Billion</w:t>
      </w:r>
    </w:p>
    <w:p>
      <w:pPr>
        <w:spacing w:after="0" w:line="201" w:lineRule="exact"/>
        <w:rPr>
          <w:sz w:val="20"/>
          <w:szCs w:val="20"/>
          <w:color w:val="auto"/>
        </w:rPr>
      </w:pPr>
    </w:p>
    <w:p>
      <w:pPr>
        <w:ind w:left="3620"/>
        <w:spacing w:after="0"/>
        <w:rPr>
          <w:sz w:val="20"/>
          <w:szCs w:val="20"/>
          <w:color w:val="auto"/>
        </w:rPr>
      </w:pPr>
      <w:r>
        <w:rPr>
          <w:rFonts w:ascii="Arial" w:cs="Arial" w:eastAsia="Arial" w:hAnsi="Arial"/>
          <w:sz w:val="24"/>
          <w:szCs w:val="24"/>
          <w:b w:val="1"/>
          <w:bCs w:val="1"/>
          <w:color w:val="003C63"/>
        </w:rPr>
        <w:t>ADJUSTED EPS</w:t>
      </w:r>
    </w:p>
    <w:p>
      <w:pPr>
        <w:ind w:left="40"/>
        <w:spacing w:after="0" w:line="181" w:lineRule="auto"/>
        <w:tabs>
          <w:tab w:leader="none" w:pos="3600" w:val="left"/>
        </w:tabs>
        <w:rPr>
          <w:sz w:val="20"/>
          <w:szCs w:val="20"/>
          <w:color w:val="auto"/>
        </w:rPr>
      </w:pPr>
      <w:r>
        <w:rPr>
          <w:rFonts w:ascii="Arial" w:cs="Arial" w:eastAsia="Arial" w:hAnsi="Arial"/>
          <w:sz w:val="24"/>
          <w:szCs w:val="24"/>
          <w:b w:val="1"/>
          <w:bCs w:val="1"/>
          <w:color w:val="003C63"/>
        </w:rPr>
        <w:t>ADJUSTED EPS*</w:t>
      </w:r>
      <w:r>
        <w:rPr>
          <w:sz w:val="20"/>
          <w:szCs w:val="20"/>
          <w:color w:val="auto"/>
        </w:rPr>
        <w:tab/>
      </w:r>
      <w:r>
        <w:rPr>
          <w:rFonts w:ascii="Arial" w:cs="Arial" w:eastAsia="Arial" w:hAnsi="Arial"/>
          <w:sz w:val="24"/>
          <w:szCs w:val="24"/>
          <w:b w:val="1"/>
          <w:bCs w:val="1"/>
          <w:color w:val="003C63"/>
        </w:rPr>
        <w:t>EX AMORTIZATION*</w:t>
      </w:r>
    </w:p>
    <w:p>
      <w:pPr>
        <w:spacing w:after="0" w:line="1" w:lineRule="exact"/>
        <w:rPr>
          <w:sz w:val="20"/>
          <w:szCs w:val="20"/>
          <w:color w:val="auto"/>
        </w:rPr>
      </w:pPr>
    </w:p>
    <w:p>
      <w:pPr>
        <w:spacing w:after="0"/>
        <w:tabs>
          <w:tab w:leader="none" w:pos="3540" w:val="left"/>
        </w:tabs>
        <w:rPr>
          <w:sz w:val="20"/>
          <w:szCs w:val="20"/>
          <w:color w:val="auto"/>
        </w:rPr>
      </w:pPr>
      <w:r>
        <w:rPr>
          <w:rFonts w:ascii="Arial" w:cs="Arial" w:eastAsia="Arial" w:hAnsi="Arial"/>
          <w:sz w:val="76"/>
          <w:szCs w:val="76"/>
          <w:b w:val="1"/>
          <w:bCs w:val="1"/>
          <w:color w:val="FFFFFF"/>
        </w:rPr>
        <w:t>$3.24</w:t>
      </w:r>
      <w:r>
        <w:rPr>
          <w:sz w:val="20"/>
          <w:szCs w:val="20"/>
          <w:color w:val="auto"/>
        </w:rPr>
        <w:tab/>
      </w:r>
      <w:r>
        <w:rPr>
          <w:rFonts w:ascii="Arial" w:cs="Arial" w:eastAsia="Arial" w:hAnsi="Arial"/>
          <w:sz w:val="76"/>
          <w:szCs w:val="76"/>
          <w:b w:val="1"/>
          <w:bCs w:val="1"/>
          <w:color w:val="FFFFFF"/>
        </w:rPr>
        <w:t>$5.42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0" w:right="620" w:hanging="90"/>
        <w:spacing w:after="0" w:line="268" w:lineRule="auto"/>
        <w:tabs>
          <w:tab w:leader="none" w:pos="90" w:val="left"/>
        </w:tabs>
        <w:numPr>
          <w:ilvl w:val="0"/>
          <w:numId w:val="1"/>
        </w:numPr>
        <w:rPr>
          <w:rFonts w:ascii="Arial" w:cs="Arial" w:eastAsia="Arial" w:hAnsi="Arial"/>
          <w:sz w:val="14"/>
          <w:szCs w:val="14"/>
          <w:color w:val="003C63"/>
        </w:rPr>
      </w:pPr>
      <w:r>
        <w:rPr>
          <w:rFonts w:ascii="Arial" w:cs="Arial" w:eastAsia="Arial" w:hAnsi="Arial"/>
          <w:sz w:val="14"/>
          <w:szCs w:val="14"/>
          <w:color w:val="003C63"/>
        </w:rPr>
        <w:t>Adjusted Operating EBITDA, Adjusted EPS &amp; Adjusted EPS</w:t>
      </w:r>
    </w:p>
    <w:p>
      <w:pPr>
        <w:ind w:left="90"/>
        <w:spacing w:after="0"/>
        <w:rPr>
          <w:rFonts w:ascii="Arial" w:cs="Arial" w:eastAsia="Arial" w:hAnsi="Arial"/>
          <w:sz w:val="14"/>
          <w:szCs w:val="14"/>
          <w:color w:val="003C63"/>
        </w:rPr>
      </w:pPr>
      <w:r>
        <w:rPr>
          <w:rFonts w:ascii="Arial" w:cs="Arial" w:eastAsia="Arial" w:hAnsi="Arial"/>
          <w:sz w:val="14"/>
          <w:szCs w:val="14"/>
          <w:color w:val="003C63"/>
        </w:rPr>
        <w:t>ex Amortization are Non-GAAP metrics.</w:t>
      </w:r>
    </w:p>
    <w:p>
      <w:pPr>
        <w:spacing w:after="0" w:line="199" w:lineRule="exact"/>
        <w:rPr>
          <w:sz w:val="20"/>
          <w:szCs w:val="20"/>
          <w:color w:val="auto"/>
        </w:rPr>
      </w:pPr>
    </w:p>
    <w:p>
      <w:pPr>
        <w:ind w:left="10" w:right="280"/>
        <w:spacing w:after="0" w:line="273" w:lineRule="auto"/>
        <w:rPr>
          <w:sz w:val="20"/>
          <w:szCs w:val="20"/>
          <w:color w:val="auto"/>
        </w:rPr>
      </w:pPr>
      <w:r>
        <w:rPr>
          <w:rFonts w:ascii="Arial" w:cs="Arial" w:eastAsia="Arial" w:hAnsi="Arial"/>
          <w:sz w:val="14"/>
          <w:szCs w:val="14"/>
          <w:color w:val="003C63"/>
        </w:rPr>
        <w:t>Please see our GAAP to Non-GAAP reconciliation in Exhibit A at the end of this report.</w:t>
      </w:r>
    </w:p>
    <w:p>
      <w:pPr>
        <w:sectPr>
          <w:pgSz w:w="11880" w:h="15480" w:orient="portrait"/>
          <w:cols w:equalWidth="0" w:num="2">
            <w:col w:w="6560" w:space="550"/>
            <w:col w:w="2710"/>
          </w:cols>
          <w:pgMar w:left="1320" w:top="920" w:right="740" w:bottom="102"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7315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543800" cy="7315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3C63"/>
        </w:rPr>
        <w:t xml:space="preserve">Frank Clyburn </w:t>
      </w:r>
      <w:r>
        <w:rPr>
          <w:rFonts w:ascii="Arial" w:cs="Arial" w:eastAsia="Arial" w:hAnsi="Arial"/>
          <w:sz w:val="16"/>
          <w:szCs w:val="16"/>
          <w:color w:val="003C63"/>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80C7"/>
        </w:rPr>
        <w:t>DEAR FELLOW SHAREHOLDERS,</w:t>
      </w:r>
    </w:p>
    <w:p>
      <w:pPr>
        <w:ind w:left="540"/>
        <w:spacing w:after="0"/>
        <w:rPr>
          <w:sz w:val="20"/>
          <w:szCs w:val="20"/>
          <w:color w:val="auto"/>
        </w:rPr>
      </w:pPr>
      <w:r>
        <w:rPr>
          <w:rFonts w:ascii="Arial" w:cs="Arial" w:eastAsia="Arial" w:hAnsi="Arial"/>
          <w:sz w:val="22"/>
          <w:szCs w:val="22"/>
          <w:b w:val="1"/>
          <w:bCs w:val="1"/>
          <w:color w:val="0080C7"/>
        </w:rPr>
        <w:t>CUSTOMERS &amp; EMPLOYEES</w:t>
      </w:r>
    </w:p>
    <w:p>
      <w:pPr>
        <w:spacing w:after="0" w:line="243" w:lineRule="exact"/>
        <w:rPr>
          <w:sz w:val="20"/>
          <w:szCs w:val="20"/>
          <w:color w:val="auto"/>
        </w:rPr>
      </w:pPr>
    </w:p>
    <w:p>
      <w:pPr>
        <w:jc w:val="both"/>
        <w:ind w:left="540"/>
        <w:spacing w:after="0" w:line="270" w:lineRule="auto"/>
        <w:rPr>
          <w:sz w:val="20"/>
          <w:szCs w:val="20"/>
          <w:color w:val="auto"/>
        </w:rPr>
      </w:pPr>
      <w:r>
        <w:rPr>
          <w:rFonts w:ascii="Arial" w:cs="Arial" w:eastAsia="Arial" w:hAnsi="Arial"/>
          <w:sz w:val="22"/>
          <w:szCs w:val="22"/>
          <w:b w:val="1"/>
          <w:bCs w:val="1"/>
          <w:color w:val="939598"/>
        </w:rPr>
        <w:t>As I reflect on a year that was once again shaped by global uncertainty, I am constantly reminded of the many instances in which IFFers around the world have risen above these challenges to drive positive change, deliver results for our customers and create exceptional experiences for the end-consumer.</w:t>
      </w:r>
    </w:p>
    <w:p>
      <w:pPr>
        <w:sectPr>
          <w:pgSz w:w="11880" w:h="15480" w:orient="portrait"/>
          <w:cols w:equalWidth="0" w:num="1">
            <w:col w:w="9540"/>
          </w:cols>
          <w:pgMar w:left="1440" w:top="1440" w:right="900" w:bottom="199" w:gutter="0" w:footer="0" w:header="0"/>
        </w:sectPr>
      </w:pPr>
    </w:p>
    <w:bookmarkStart w:id="3" w:name="page4"/>
    <w:bookmarkEnd w:id="3"/>
    <w:p>
      <w:pPr>
        <w:spacing w:after="0" w:line="7" w:lineRule="exact"/>
        <w:rPr>
          <w:sz w:val="20"/>
          <w:szCs w:val="20"/>
          <w:color w:val="auto"/>
        </w:rPr>
      </w:pPr>
    </w:p>
    <w:p>
      <w:pPr>
        <w:ind w:left="480" w:right="60"/>
        <w:spacing w:after="0" w:line="290" w:lineRule="auto"/>
        <w:rPr>
          <w:sz w:val="20"/>
          <w:szCs w:val="20"/>
          <w:color w:val="auto"/>
        </w:rPr>
      </w:pPr>
      <w:r>
        <w:rPr>
          <w:rFonts w:ascii="Arial" w:cs="Arial" w:eastAsia="Arial" w:hAnsi="Arial"/>
          <w:sz w:val="18"/>
          <w:szCs w:val="18"/>
          <w:color w:val="FFFFFF"/>
        </w:rPr>
        <w:t>IFF continues to play an essential role in the daily lives of so many people around the world. For instance, when a consumer grabs a yogurt from the refrigerator, there’s a one-in-three chance it was made with an IFF probiotic. If someone is doing laundry at home, there’s a 50% likelihood their cold-water laundry detergent was developed with an IFF cleaning enzyme. Each day, I watch our purpose unfold through the solutions, products and experiences we create.</w:t>
      </w:r>
    </w:p>
    <w:p>
      <w:pPr>
        <w:spacing w:after="0" w:line="249" w:lineRule="exact"/>
        <w:rPr>
          <w:sz w:val="20"/>
          <w:szCs w:val="20"/>
          <w:color w:val="auto"/>
        </w:rPr>
      </w:pPr>
    </w:p>
    <w:p>
      <w:pPr>
        <w:ind w:left="480" w:right="320"/>
        <w:spacing w:after="0" w:line="289" w:lineRule="auto"/>
        <w:rPr>
          <w:sz w:val="20"/>
          <w:szCs w:val="20"/>
          <w:color w:val="auto"/>
        </w:rPr>
      </w:pPr>
      <w:r>
        <w:rPr>
          <w:rFonts w:ascii="Arial" w:cs="Arial" w:eastAsia="Arial" w:hAnsi="Arial"/>
          <w:sz w:val="18"/>
          <w:szCs w:val="18"/>
          <w:color w:val="FFFFFF"/>
        </w:rPr>
        <w:t>In 2022, our 24,000-strong global team continued to push industry boundaries and drive innovative breakthroughs that deepen</w:t>
      </w:r>
    </w:p>
    <w:p>
      <w:pPr>
        <w:spacing w:after="0" w:line="3" w:lineRule="exact"/>
        <w:rPr>
          <w:sz w:val="20"/>
          <w:szCs w:val="20"/>
          <w:color w:val="auto"/>
        </w:rPr>
      </w:pPr>
    </w:p>
    <w:p>
      <w:pPr>
        <w:ind w:left="480" w:right="560"/>
        <w:spacing w:after="0" w:line="293" w:lineRule="auto"/>
        <w:rPr>
          <w:sz w:val="20"/>
          <w:szCs w:val="20"/>
          <w:color w:val="auto"/>
        </w:rPr>
      </w:pPr>
      <w:r>
        <w:rPr>
          <w:rFonts w:ascii="Arial" w:cs="Arial" w:eastAsia="Arial" w:hAnsi="Arial"/>
          <w:sz w:val="18"/>
          <w:szCs w:val="18"/>
          <w:color w:val="FFFFFF"/>
        </w:rPr>
        <w:t xml:space="preserve">our customer relationships and </w:t>
      </w:r>
      <w:r>
        <w:rPr>
          <w:rFonts w:ascii="Arial" w:cs="Arial" w:eastAsia="Arial" w:hAnsi="Arial"/>
          <w:sz w:val="18"/>
          <w:szCs w:val="18"/>
          <w:b w:val="1"/>
          <w:bCs w:val="1"/>
          <w:color w:val="FFFFFF"/>
        </w:rPr>
        <w:t xml:space="preserve">Do More Good </w:t>
      </w:r>
      <w:r>
        <w:rPr>
          <w:rFonts w:ascii="Arial" w:cs="Arial" w:eastAsia="Arial" w:hAnsi="Arial"/>
          <w:sz w:val="18"/>
          <w:szCs w:val="18"/>
          <w:color w:val="FFFFFF"/>
        </w:rPr>
        <w:t>for our people</w:t>
      </w:r>
      <w:r>
        <w:rPr>
          <w:rFonts w:ascii="Arial" w:cs="Arial" w:eastAsia="Arial" w:hAnsi="Arial"/>
          <w:sz w:val="18"/>
          <w:szCs w:val="18"/>
          <w:b w:val="1"/>
          <w:bCs w:val="1"/>
          <w:color w:val="FFFFFF"/>
        </w:rPr>
        <w:t xml:space="preserve"> </w:t>
      </w:r>
      <w:r>
        <w:rPr>
          <w:rFonts w:ascii="Arial" w:cs="Arial" w:eastAsia="Arial" w:hAnsi="Arial"/>
          <w:sz w:val="18"/>
          <w:szCs w:val="18"/>
          <w:color w:val="FFFFFF"/>
        </w:rPr>
        <w:t>and planet.</w:t>
      </w:r>
    </w:p>
    <w:p>
      <w:pPr>
        <w:spacing w:after="0" w:line="242" w:lineRule="exact"/>
        <w:rPr>
          <w:sz w:val="20"/>
          <w:szCs w:val="20"/>
          <w:color w:val="auto"/>
        </w:rPr>
      </w:pPr>
    </w:p>
    <w:p>
      <w:pPr>
        <w:ind w:left="480"/>
        <w:spacing w:after="0" w:line="292" w:lineRule="auto"/>
        <w:rPr>
          <w:sz w:val="20"/>
          <w:szCs w:val="20"/>
          <w:color w:val="auto"/>
        </w:rPr>
      </w:pPr>
      <w:r>
        <w:rPr>
          <w:rFonts w:ascii="Arial" w:cs="Arial" w:eastAsia="Arial" w:hAnsi="Arial"/>
          <w:sz w:val="18"/>
          <w:szCs w:val="18"/>
          <w:color w:val="FFFFFF"/>
        </w:rPr>
        <w:t>I feel extremely fortunate to be part of such a purpose-driven organization that not only touches, but enriches the lives of consumers across the globe.</w:t>
      </w:r>
    </w:p>
    <w:p>
      <w:pPr>
        <w:spacing w:after="0" w:line="243" w:lineRule="exact"/>
        <w:rPr>
          <w:sz w:val="20"/>
          <w:szCs w:val="20"/>
          <w:color w:val="auto"/>
        </w:rPr>
      </w:pPr>
    </w:p>
    <w:p>
      <w:pPr>
        <w:ind w:left="480" w:right="60"/>
        <w:spacing w:after="0" w:line="290" w:lineRule="auto"/>
        <w:rPr>
          <w:sz w:val="20"/>
          <w:szCs w:val="20"/>
          <w:color w:val="auto"/>
        </w:rPr>
      </w:pPr>
      <w:r>
        <w:rPr>
          <w:rFonts w:ascii="Arial" w:cs="Arial" w:eastAsia="Arial" w:hAnsi="Arial"/>
          <w:sz w:val="18"/>
          <w:szCs w:val="18"/>
          <w:color w:val="FFFFFF"/>
        </w:rPr>
        <w:t>At the same time, we also evaluated who we are and who we want to become as we continue to deepen our role as an indispensable partner in the consumer value chain. As many of you know, I have spent much of the last year engaging with customers, partners and leaders across our business to better understand what we’re doing well and where we can improve. From these important conversations, I learned that—first</w:t>
      </w:r>
    </w:p>
    <w:p>
      <w:pPr>
        <w:spacing w:after="0" w:line="20" w:lineRule="exact"/>
        <w:rPr>
          <w:sz w:val="20"/>
          <w:szCs w:val="20"/>
          <w:color w:val="auto"/>
        </w:rPr>
      </w:pPr>
      <w:r>
        <w:rPr>
          <w:sz w:val="20"/>
          <w:szCs w:val="20"/>
          <w:color w:val="auto"/>
        </w:rPr>
        <w:br w:type="column"/>
      </w:r>
    </w:p>
    <w:p>
      <w:pPr>
        <w:ind w:right="200"/>
        <w:spacing w:after="0" w:line="290" w:lineRule="auto"/>
        <w:rPr>
          <w:sz w:val="20"/>
          <w:szCs w:val="20"/>
          <w:color w:val="auto"/>
        </w:rPr>
      </w:pPr>
      <w:r>
        <w:rPr>
          <w:rFonts w:ascii="Arial" w:cs="Arial" w:eastAsia="Arial" w:hAnsi="Arial"/>
          <w:sz w:val="18"/>
          <w:szCs w:val="18"/>
          <w:color w:val="FFFFFF"/>
        </w:rPr>
        <w:t>and foremost—IFF has an incredible foundation to build on our industry leadership. But, to remain successful and achieve our long-term vision, it’s important that we continuously evaluate both our strengths and weaknesses, while considering opportunities to improve our performance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-3225165</wp:posOffset>
            </wp:positionH>
            <wp:positionV relativeFrom="paragraph">
              <wp:posOffset>-2094865</wp:posOffset>
            </wp:positionV>
            <wp:extent cx="7543800" cy="9829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8"/>
          <w:szCs w:val="18"/>
          <w:color w:val="FFFFFF"/>
        </w:rPr>
        <w:t>As I outlined at our December 2022 Investor Day, we introduced “Do What Matters Most,” our refreshed strategic plan and operating model that will position our company for long-term success. We are doubling down on customer excellence, accelerating productivity initiatives and undertaking a portfolio optimization strategy, while centering our business around the highest-value opportunities. These efforts will ensure IFF’s continued ability to drive sustained, profitable growth, meet and exceed customer demand and continue fulfilling our purpose of applying science and creativity for a better world.</w:t>
      </w:r>
    </w:p>
    <w:p>
      <w:pPr>
        <w:spacing w:after="0" w:line="200" w:lineRule="exact"/>
        <w:rPr>
          <w:sz w:val="20"/>
          <w:szCs w:val="20"/>
          <w:color w:val="auto"/>
        </w:rPr>
      </w:pPr>
    </w:p>
    <w:p>
      <w:pPr>
        <w:spacing w:after="0" w:line="299" w:lineRule="exact"/>
        <w:rPr>
          <w:sz w:val="20"/>
          <w:szCs w:val="20"/>
          <w:color w:val="auto"/>
        </w:rPr>
      </w:pPr>
    </w:p>
    <w:p>
      <w:pPr>
        <w:ind w:right="120"/>
        <w:spacing w:after="0" w:line="289" w:lineRule="auto"/>
        <w:rPr>
          <w:sz w:val="20"/>
          <w:szCs w:val="20"/>
          <w:color w:val="auto"/>
        </w:rPr>
      </w:pPr>
      <w:r>
        <w:rPr>
          <w:rFonts w:ascii="Arial" w:cs="Arial" w:eastAsia="Arial" w:hAnsi="Arial"/>
          <w:sz w:val="18"/>
          <w:szCs w:val="18"/>
          <w:color w:val="FFFFFF"/>
        </w:rPr>
        <w:t>Our updated operating framework will be guided by three key objectives designed to support greater innova-tion, efficiency and discipline in this next chapter:</w:t>
      </w:r>
    </w:p>
    <w:p>
      <w:pPr>
        <w:spacing w:after="0" w:line="4" w:lineRule="exact"/>
        <w:rPr>
          <w:sz w:val="20"/>
          <w:szCs w:val="20"/>
          <w:color w:val="auto"/>
        </w:rPr>
      </w:pPr>
    </w:p>
    <w:p>
      <w:pPr>
        <w:ind w:left="160" w:hanging="155"/>
        <w:spacing w:after="0"/>
        <w:tabs>
          <w:tab w:leader="none" w:pos="160" w:val="left"/>
        </w:tabs>
        <w:numPr>
          <w:ilvl w:val="0"/>
          <w:numId w:val="2"/>
        </w:numPr>
        <w:rPr>
          <w:rFonts w:ascii="Arial" w:cs="Arial" w:eastAsia="Arial" w:hAnsi="Arial"/>
          <w:sz w:val="18"/>
          <w:szCs w:val="18"/>
          <w:color w:val="FFFFFF"/>
        </w:rPr>
      </w:pPr>
      <w:r>
        <w:rPr>
          <w:rFonts w:ascii="Arial" w:cs="Arial" w:eastAsia="Arial" w:hAnsi="Arial"/>
          <w:sz w:val="18"/>
          <w:szCs w:val="18"/>
          <w:color w:val="FFFFFF"/>
        </w:rPr>
        <w:t>Be The Premier Partner.</w:t>
      </w:r>
    </w:p>
    <w:p>
      <w:pPr>
        <w:spacing w:after="0" w:line="43" w:lineRule="exact"/>
        <w:rPr>
          <w:rFonts w:ascii="Arial" w:cs="Arial" w:eastAsia="Arial" w:hAnsi="Arial"/>
          <w:sz w:val="18"/>
          <w:szCs w:val="18"/>
          <w:color w:val="FFFFFF"/>
        </w:rPr>
      </w:pPr>
    </w:p>
    <w:p>
      <w:pPr>
        <w:ind w:left="160" w:hanging="155"/>
        <w:spacing w:after="0"/>
        <w:tabs>
          <w:tab w:leader="none" w:pos="160" w:val="left"/>
        </w:tabs>
        <w:numPr>
          <w:ilvl w:val="0"/>
          <w:numId w:val="2"/>
        </w:numPr>
        <w:rPr>
          <w:rFonts w:ascii="Arial" w:cs="Arial" w:eastAsia="Arial" w:hAnsi="Arial"/>
          <w:sz w:val="18"/>
          <w:szCs w:val="18"/>
          <w:color w:val="FFFFFF"/>
        </w:rPr>
      </w:pPr>
      <w:r>
        <w:rPr>
          <w:rFonts w:ascii="Arial" w:cs="Arial" w:eastAsia="Arial" w:hAnsi="Arial"/>
          <w:sz w:val="18"/>
          <w:szCs w:val="18"/>
          <w:color w:val="FFFFFF"/>
        </w:rPr>
        <w:t>Build Our Future.</w:t>
      </w:r>
    </w:p>
    <w:p>
      <w:pPr>
        <w:spacing w:after="0" w:line="43" w:lineRule="exact"/>
        <w:rPr>
          <w:rFonts w:ascii="Arial" w:cs="Arial" w:eastAsia="Arial" w:hAnsi="Arial"/>
          <w:sz w:val="18"/>
          <w:szCs w:val="18"/>
          <w:color w:val="FFFFFF"/>
        </w:rPr>
      </w:pPr>
    </w:p>
    <w:p>
      <w:pPr>
        <w:ind w:left="160" w:hanging="155"/>
        <w:spacing w:after="0"/>
        <w:tabs>
          <w:tab w:leader="none" w:pos="160" w:val="left"/>
        </w:tabs>
        <w:numPr>
          <w:ilvl w:val="0"/>
          <w:numId w:val="2"/>
        </w:numPr>
        <w:rPr>
          <w:rFonts w:ascii="Arial" w:cs="Arial" w:eastAsia="Arial" w:hAnsi="Arial"/>
          <w:sz w:val="18"/>
          <w:szCs w:val="18"/>
          <w:color w:val="FFFFFF"/>
        </w:rPr>
      </w:pPr>
      <w:r>
        <w:rPr>
          <w:rFonts w:ascii="Arial" w:cs="Arial" w:eastAsia="Arial" w:hAnsi="Arial"/>
          <w:sz w:val="18"/>
          <w:szCs w:val="18"/>
          <w:color w:val="FFFFFF"/>
        </w:rPr>
        <w:t>Become One IFF.</w:t>
      </w:r>
    </w:p>
    <w:p>
      <w:pPr>
        <w:spacing w:after="0" w:line="293" w:lineRule="exact"/>
        <w:rPr>
          <w:sz w:val="20"/>
          <w:szCs w:val="20"/>
          <w:color w:val="auto"/>
        </w:rPr>
      </w:pPr>
    </w:p>
    <w:p>
      <w:pPr>
        <w:ind w:right="240"/>
        <w:spacing w:after="0" w:line="297" w:lineRule="auto"/>
        <w:rPr>
          <w:sz w:val="20"/>
          <w:szCs w:val="20"/>
          <w:color w:val="auto"/>
        </w:rPr>
      </w:pPr>
      <w:r>
        <w:rPr>
          <w:rFonts w:ascii="Arial" w:cs="Arial" w:eastAsia="Arial" w:hAnsi="Arial"/>
          <w:sz w:val="18"/>
          <w:szCs w:val="18"/>
          <w:color w:val="FFFFFF"/>
        </w:rPr>
        <w:t>To become a more unified organiza-tion and be “One IFF,” we are also</w:t>
      </w:r>
    </w:p>
    <w:p>
      <w:pPr>
        <w:spacing w:after="0" w:line="20" w:lineRule="exact"/>
        <w:rPr>
          <w:sz w:val="20"/>
          <w:szCs w:val="20"/>
          <w:color w:val="auto"/>
        </w:rPr>
      </w:pPr>
      <w:r>
        <w:rPr>
          <w:sz w:val="20"/>
          <w:szCs w:val="20"/>
          <w:color w:val="auto"/>
        </w:rPr>
        <w:br w:type="column"/>
      </w:r>
    </w:p>
    <w:p>
      <w:pPr>
        <w:spacing w:after="0" w:line="267" w:lineRule="auto"/>
        <w:rPr>
          <w:sz w:val="20"/>
          <w:szCs w:val="20"/>
          <w:color w:val="auto"/>
        </w:rPr>
      </w:pPr>
      <w:r>
        <w:rPr>
          <w:rFonts w:ascii="Arial" w:cs="Arial" w:eastAsia="Arial" w:hAnsi="Arial"/>
          <w:sz w:val="22"/>
          <w:szCs w:val="22"/>
          <w:b w:val="1"/>
          <w:bCs w:val="1"/>
          <w:color w:val="0080C7"/>
        </w:rPr>
        <w:t>We introduced our plan to transition from our current divisional structure to focus our business around three core end markets: Food and Beverage, Home and Personal Care and Health.</w:t>
      </w:r>
    </w:p>
    <w:p>
      <w:pPr>
        <w:spacing w:after="0" w:line="7719" w:lineRule="exact"/>
        <w:rPr>
          <w:sz w:val="20"/>
          <w:szCs w:val="20"/>
          <w:color w:val="auto"/>
        </w:rPr>
      </w:pPr>
    </w:p>
    <w:p>
      <w:pPr>
        <w:sectPr>
          <w:pgSz w:w="11880" w:h="15480" w:orient="portrait"/>
          <w:cols w:equalWidth="0" w:num="3">
            <w:col w:w="3720" w:space="480"/>
            <w:col w:w="3300" w:space="240"/>
            <w:col w:w="2760"/>
          </w:cols>
          <w:pgMar w:left="880" w:top="104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FFFFFF"/>
        </w:rPr>
        <w:t>2</w:t>
      </w:r>
    </w:p>
    <w:p>
      <w:pPr>
        <w:sectPr>
          <w:pgSz w:w="11880" w:h="15480" w:orient="portrait"/>
          <w:cols w:equalWidth="0" w:num="1">
            <w:col w:w="10500"/>
          </w:cols>
          <w:pgMar w:left="880" w:top="1040" w:right="500" w:bottom="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1339215</wp:posOffset>
            </wp:positionH>
            <wp:positionV relativeFrom="page">
              <wp:posOffset>5591810</wp:posOffset>
            </wp:positionV>
            <wp:extent cx="190500" cy="160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500"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8" w:lineRule="auto"/>
        <w:rPr>
          <w:sz w:val="20"/>
          <w:szCs w:val="20"/>
          <w:color w:val="auto"/>
        </w:rPr>
      </w:pPr>
      <w:r>
        <w:rPr>
          <w:rFonts w:ascii="Arial" w:cs="Arial" w:eastAsia="Arial" w:hAnsi="Arial"/>
          <w:sz w:val="22"/>
          <w:szCs w:val="22"/>
          <w:b w:val="1"/>
          <w:bCs w:val="1"/>
          <w:color w:val="0080C7"/>
        </w:rPr>
        <w:t>R&amp;D has long been central to our progress and operations, and our renewed focus in this area will only make our offerings stronger.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26035</wp:posOffset>
            </wp:positionV>
            <wp:extent cx="190500" cy="160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50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8"/>
          <w:szCs w:val="18"/>
          <w:color w:val="auto"/>
        </w:rPr>
        <w:t>simplifying our operations. We introduced our plan to transition from our current divisional structure to focus our business around three core end markets: Food and Beverage, Home and Personal Care and Health. As a leaner organization, IFF will</w:t>
      </w:r>
    </w:p>
    <w:p>
      <w:pPr>
        <w:spacing w:after="0" w:line="5"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be better positioned to innovate, streamline delivery and serve the highest-value and highest-demand markets. This is consistent with IFF’s goal to Become the Premier Partner: meeting customers where they are, with innovative solutions that enhance the consumer experience.</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In line with this customer-first approach, we also established a Center of Commercial Excellence, backed by a team intensely focused on enhancing our sales capabilities and providing a more holistic customer experience. This group is focused on leveraging IFF’s full product portfolio while enhancing our sales execution to unleash greater opportunities for our customers.</w:t>
      </w:r>
    </w:p>
    <w:p>
      <w:pPr>
        <w:spacing w:after="0" w:line="200" w:lineRule="exact"/>
        <w:rPr>
          <w:sz w:val="20"/>
          <w:szCs w:val="20"/>
          <w:color w:val="auto"/>
        </w:rPr>
      </w:pPr>
    </w:p>
    <w:p>
      <w:pPr>
        <w:spacing w:after="0" w:line="291"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Our robust R&amp;D capabilities continued to prove a strong advantage in 2022, with significant new technologies introduced across the portfolio. Our cutting-edge probiotics research is driving improvements in gut health, while we harness the power of scent modulation for applications that increase cognition, memory and sleep. R&amp;D has long been central to our progress and operations,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-2666365</wp:posOffset>
            </wp:positionH>
            <wp:positionV relativeFrom="paragraph">
              <wp:posOffset>367030</wp:posOffset>
            </wp:positionV>
            <wp:extent cx="7543800" cy="2604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43800" cy="2604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80"/>
        <w:spacing w:after="0" w:line="290" w:lineRule="auto"/>
        <w:rPr>
          <w:sz w:val="20"/>
          <w:szCs w:val="20"/>
          <w:color w:val="auto"/>
        </w:rPr>
      </w:pPr>
      <w:r>
        <w:rPr>
          <w:rFonts w:ascii="Arial" w:cs="Arial" w:eastAsia="Arial" w:hAnsi="Arial"/>
          <w:sz w:val="18"/>
          <w:szCs w:val="18"/>
          <w:color w:val="auto"/>
        </w:rPr>
        <w:t>renewed focus in this area will only make our offerings stronger. Alongside these key strategic initiatives, we are evolving our Board of Directors in line with best-in-class corporate governance standards to ensure that IFF has the optimal support and oversight to advance our growth and transformation, while upholding our commitment to being a force for good. As part of our Board refresh, we will continue to add additional outside senior executives with specific management, strategy and operations expertise relevant to IFF’s current profile.</w:t>
      </w:r>
    </w:p>
    <w:p>
      <w:pPr>
        <w:spacing w:after="0" w:line="200" w:lineRule="exact"/>
        <w:rPr>
          <w:sz w:val="20"/>
          <w:szCs w:val="20"/>
          <w:color w:val="auto"/>
        </w:rPr>
      </w:pPr>
    </w:p>
    <w:p>
      <w:pPr>
        <w:spacing w:after="0" w:line="299" w:lineRule="exact"/>
        <w:rPr>
          <w:sz w:val="20"/>
          <w:szCs w:val="20"/>
          <w:color w:val="auto"/>
        </w:rPr>
      </w:pPr>
    </w:p>
    <w:p>
      <w:pPr>
        <w:ind w:right="280"/>
        <w:spacing w:after="0" w:line="289" w:lineRule="auto"/>
        <w:rPr>
          <w:sz w:val="20"/>
          <w:szCs w:val="20"/>
          <w:color w:val="auto"/>
        </w:rPr>
      </w:pPr>
      <w:r>
        <w:rPr>
          <w:rFonts w:ascii="Arial" w:cs="Arial" w:eastAsia="Arial" w:hAnsi="Arial"/>
          <w:sz w:val="18"/>
          <w:szCs w:val="18"/>
          <w:color w:val="auto"/>
        </w:rPr>
        <w:t>We are on a mission to not only be the premier partner for our customers, but also the most responsible partner for our communities and the planet. That is why we have taken steps</w:t>
      </w:r>
    </w:p>
    <w:p>
      <w:pPr>
        <w:spacing w:after="0" w:line="4" w:lineRule="exact"/>
        <w:rPr>
          <w:sz w:val="20"/>
          <w:szCs w:val="20"/>
          <w:color w:val="auto"/>
        </w:rPr>
      </w:pPr>
    </w:p>
    <w:p>
      <w:pPr>
        <w:ind w:right="320"/>
        <w:spacing w:after="0" w:line="291" w:lineRule="auto"/>
        <w:rPr>
          <w:sz w:val="20"/>
          <w:szCs w:val="20"/>
          <w:color w:val="auto"/>
        </w:rPr>
      </w:pPr>
      <w:r>
        <w:rPr>
          <w:rFonts w:ascii="Arial" w:cs="Arial" w:eastAsia="Arial" w:hAnsi="Arial"/>
          <w:sz w:val="18"/>
          <w:szCs w:val="18"/>
          <w:color w:val="auto"/>
        </w:rPr>
        <w:t>to embed ESG+ priorities across our entire enterprise to reaffirm and strengthen our commitment to managing our environmental footprint and making a positive impact on the communities in which we operate.</w:t>
      </w:r>
    </w:p>
    <w:p>
      <w:pPr>
        <w:spacing w:after="0" w:line="244" w:lineRule="exact"/>
        <w:rPr>
          <w:sz w:val="20"/>
          <w:szCs w:val="20"/>
          <w:color w:val="auto"/>
        </w:rPr>
      </w:pPr>
    </w:p>
    <w:p>
      <w:pPr>
        <w:ind w:right="320"/>
        <w:spacing w:after="0" w:line="290" w:lineRule="auto"/>
        <w:rPr>
          <w:sz w:val="20"/>
          <w:szCs w:val="20"/>
          <w:color w:val="auto"/>
        </w:rPr>
      </w:pPr>
      <w:r>
        <w:rPr>
          <w:rFonts w:ascii="Arial" w:cs="Arial" w:eastAsia="Arial" w:hAnsi="Arial"/>
          <w:sz w:val="18"/>
          <w:szCs w:val="18"/>
          <w:color w:val="auto"/>
        </w:rPr>
        <w:t>Since we launched our Do More Good Plan in December of 2021, we have made incredible progress. Over the last year, we continued to execute on our climate and planetary health, equity and well-being, transparency and accountability, and sustainable solutions objectives to ensure we remain positioned to win in the sustainability market. In December of</w:t>
      </w:r>
    </w:p>
    <w:p>
      <w:pPr>
        <w:spacing w:after="0" w:line="216" w:lineRule="exact"/>
        <w:rPr>
          <w:sz w:val="20"/>
          <w:szCs w:val="20"/>
          <w:color w:val="auto"/>
        </w:rPr>
      </w:pPr>
    </w:p>
    <w:p>
      <w:pPr>
        <w:sectPr>
          <w:pgSz w:w="11880" w:h="15480" w:orient="portrait"/>
          <w:cols w:equalWidth="0" w:num="3">
            <w:col w:w="2500" w:space="520"/>
            <w:col w:w="3260" w:space="480"/>
            <w:col w:w="3520"/>
          </w:cols>
          <w:pgMar w:left="1180" w:top="1048"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0180"/>
        <w:spacing w:after="0"/>
        <w:rPr>
          <w:sz w:val="20"/>
          <w:szCs w:val="20"/>
          <w:color w:val="auto"/>
        </w:rPr>
      </w:pPr>
      <w:r>
        <w:rPr>
          <w:rFonts w:ascii="Arial" w:cs="Arial" w:eastAsia="Arial" w:hAnsi="Arial"/>
          <w:sz w:val="16"/>
          <w:szCs w:val="16"/>
          <w:color w:val="FFFFFF"/>
        </w:rPr>
        <w:t>3</w:t>
      </w:r>
    </w:p>
    <w:p>
      <w:pPr>
        <w:sectPr>
          <w:pgSz w:w="11880" w:h="15480" w:orient="portrait"/>
          <w:cols w:equalWidth="0" w:num="1">
            <w:col w:w="10280"/>
          </w:cols>
          <w:pgMar w:left="1180" w:top="1048" w:right="420" w:bottom="0" w:gutter="0" w:footer="0" w:header="0"/>
          <w:type w:val="continuous"/>
        </w:sectPr>
      </w:pPr>
    </w:p>
    <w:bookmarkStart w:id="5" w:name="page6"/>
    <w:bookmarkEnd w:id="5"/>
    <w:p>
      <w:pPr>
        <w:spacing w:after="0" w:line="7" w:lineRule="exact"/>
        <w:rPr>
          <w:sz w:val="20"/>
          <w:szCs w:val="20"/>
          <w:color w:val="auto"/>
        </w:rPr>
      </w:pPr>
    </w:p>
    <w:p>
      <w:pPr>
        <w:ind w:left="480" w:right="20"/>
        <w:spacing w:after="0" w:line="290" w:lineRule="auto"/>
        <w:rPr>
          <w:sz w:val="20"/>
          <w:szCs w:val="20"/>
          <w:color w:val="auto"/>
        </w:rPr>
      </w:pPr>
      <w:r>
        <w:rPr>
          <w:rFonts w:ascii="Arial" w:cs="Arial" w:eastAsia="Arial" w:hAnsi="Arial"/>
          <w:sz w:val="18"/>
          <w:szCs w:val="18"/>
          <w:color w:val="auto"/>
        </w:rPr>
        <w:t>this year, IFF received P&amp;G’s inaugural Supplier Sustainability Award, which honors business partners who champion environmental sustainability and commit to protecting the planet. Our people are our power at IFF, and we work hard to create an environment where every IFFer can thrive. In 2022, IFF also received Move-level certification from Economic Dividend for Gender Equality (EDGE), the leading global assessment and business certification for gender and intersectional equality. The assessment encompassed 27 countries, giving IFF the added distinction of having the largest number of EDGE-certified countries at one time. In addition, our achievement marks the first – and currently only time – a company has earned this level of recognition twice.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80" w:right="60"/>
        <w:spacing w:after="0" w:line="289" w:lineRule="auto"/>
        <w:rPr>
          <w:sz w:val="20"/>
          <w:szCs w:val="20"/>
          <w:color w:val="auto"/>
        </w:rPr>
      </w:pPr>
      <w:r>
        <w:rPr>
          <w:rFonts w:ascii="Arial" w:cs="Arial" w:eastAsia="Arial" w:hAnsi="Arial"/>
          <w:sz w:val="18"/>
          <w:szCs w:val="18"/>
          <w:color w:val="auto"/>
        </w:rPr>
        <w:t>Finally, IFF continued to deliver strong financial results, including top and bottom-line growth in 2022, despite the volatile market environment.</w:t>
      </w:r>
    </w:p>
    <w:p>
      <w:pPr>
        <w:spacing w:after="0" w:line="3" w:lineRule="exact"/>
        <w:rPr>
          <w:sz w:val="20"/>
          <w:szCs w:val="20"/>
          <w:color w:val="auto"/>
        </w:rPr>
      </w:pPr>
    </w:p>
    <w:p>
      <w:pPr>
        <w:ind w:left="480"/>
        <w:spacing w:after="0" w:line="290" w:lineRule="auto"/>
        <w:rPr>
          <w:sz w:val="20"/>
          <w:szCs w:val="20"/>
          <w:color w:val="auto"/>
        </w:rPr>
      </w:pPr>
      <w:r>
        <w:rPr>
          <w:rFonts w:ascii="Arial" w:cs="Arial" w:eastAsia="Arial" w:hAnsi="Arial"/>
          <w:sz w:val="18"/>
          <w:szCs w:val="18"/>
          <w:color w:val="auto"/>
        </w:rPr>
        <w:t>For the full year, IFF delivered $12.4 billion in sales and adjusted operating EBITDA* of $2.5 billion. Looking ahead, as was previewed at our Investor Day, we expect annual sales to grow 4% to 6% on average and adjusted operating EBITDA* growth of 8% to 10% on a comparable currency neutral basis** in 2024—2026.***</w:t>
      </w:r>
    </w:p>
    <w:p>
      <w:pPr>
        <w:spacing w:after="0" w:line="249" w:lineRule="exact"/>
        <w:rPr>
          <w:sz w:val="20"/>
          <w:szCs w:val="20"/>
          <w:color w:val="auto"/>
        </w:rPr>
      </w:pPr>
    </w:p>
    <w:p>
      <w:pPr>
        <w:ind w:left="480" w:right="200"/>
        <w:spacing w:after="0" w:line="297" w:lineRule="auto"/>
        <w:rPr>
          <w:sz w:val="20"/>
          <w:szCs w:val="20"/>
          <w:color w:val="auto"/>
        </w:rPr>
      </w:pPr>
      <w:r>
        <w:rPr>
          <w:rFonts w:ascii="Arial" w:cs="Arial" w:eastAsia="Arial" w:hAnsi="Arial"/>
          <w:sz w:val="18"/>
          <w:szCs w:val="18"/>
          <w:color w:val="auto"/>
        </w:rPr>
        <w:t>As the global supply chain remains challenged, we introduced enhanced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443230</wp:posOffset>
            </wp:positionV>
            <wp:extent cx="2514600" cy="2517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14600" cy="2517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9" w:lineRule="auto"/>
        <w:rPr>
          <w:sz w:val="20"/>
          <w:szCs w:val="20"/>
          <w:color w:val="auto"/>
        </w:rPr>
      </w:pPr>
      <w:r>
        <w:rPr>
          <w:rFonts w:ascii="Arial" w:cs="Arial" w:eastAsia="Arial" w:hAnsi="Arial"/>
          <w:sz w:val="18"/>
          <w:szCs w:val="18"/>
          <w:color w:val="auto"/>
        </w:rPr>
        <w:t>productivity initiatives in the second half of the year to strengthen our business and improve our profitability. With these initiatives, IFF is targeting approximately $350-400 million in net annualized savings from 2023-2025. These necessary actions will allow</w:t>
      </w:r>
    </w:p>
    <w:p>
      <w:pPr>
        <w:spacing w:after="0" w:line="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us to maintain our financial strength and reinvest in our highest-value opportunities to accelerate long-term profitable growth.</w:t>
      </w:r>
    </w:p>
    <w:p>
      <w:pPr>
        <w:spacing w:after="0" w:line="243"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Looking ahead to the next phase of our transformation, I am energized by the unique opportunity in front of us. IFF has built an incredible foundation as a trusted partner with world-class talent, a robust R&amp;D pipeline and broad portfolio. I am confident that our refreshed strategic framework and new operating model will allow IFF to increase our customer centricity, more closely align with today’s marketplace and deliver most efficiently for our customers around the world.</w:t>
      </w:r>
    </w:p>
    <w:p>
      <w:pPr>
        <w:spacing w:after="0" w:line="249"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 xml:space="preserve">All of us at IFF are more committed than ever to challenging expectations and redefining the possibilities of our industry. I am confident that together, we have everything we need to achieve this as we commit to </w:t>
      </w:r>
      <w:r>
        <w:rPr>
          <w:rFonts w:ascii="Arial" w:cs="Arial" w:eastAsia="Arial" w:hAnsi="Arial"/>
          <w:sz w:val="18"/>
          <w:szCs w:val="18"/>
          <w:b w:val="1"/>
          <w:bCs w:val="1"/>
          <w:color w:val="auto"/>
        </w:rPr>
        <w:t>Do What Matters Most.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21590</wp:posOffset>
            </wp:positionV>
            <wp:extent cx="1743075" cy="312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3075" cy="31242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Frank Clyburn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480060</wp:posOffset>
            </wp:positionV>
            <wp:extent cx="5029200" cy="2514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29200" cy="2514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90" w:right="340"/>
        <w:spacing w:after="0" w:line="268" w:lineRule="auto"/>
        <w:rPr>
          <w:sz w:val="20"/>
          <w:szCs w:val="20"/>
          <w:color w:val="auto"/>
        </w:rPr>
      </w:pPr>
      <w:r>
        <w:rPr>
          <w:rFonts w:ascii="Arial" w:cs="Arial" w:eastAsia="Arial" w:hAnsi="Arial"/>
          <w:sz w:val="22"/>
          <w:szCs w:val="22"/>
          <w:b w:val="1"/>
          <w:bCs w:val="1"/>
          <w:color w:val="0080C7"/>
        </w:rPr>
        <w:t>IFF has built an incredible foundation as a trusted partner with world-class talent, a robust R&amp;D pipeline and broad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wp:posOffset>
            </wp:positionH>
            <wp:positionV relativeFrom="paragraph">
              <wp:posOffset>41275</wp:posOffset>
            </wp:positionV>
            <wp:extent cx="190500" cy="16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0500" cy="160020"/>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-1261110</wp:posOffset>
            </wp:positionV>
            <wp:extent cx="190500" cy="16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500"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30" w:right="200" w:hanging="128"/>
        <w:spacing w:after="0" w:line="275" w:lineRule="auto"/>
        <w:tabs>
          <w:tab w:leader="none" w:pos="230" w:val="left"/>
        </w:tabs>
        <w:numPr>
          <w:ilvl w:val="0"/>
          <w:numId w:val="3"/>
        </w:numPr>
        <w:rPr>
          <w:rFonts w:ascii="Arial" w:cs="Arial" w:eastAsia="Arial" w:hAnsi="Arial"/>
          <w:sz w:val="13"/>
          <w:szCs w:val="13"/>
          <w:color w:val="auto"/>
        </w:rPr>
      </w:pPr>
      <w:r>
        <w:rPr>
          <w:rFonts w:ascii="Arial" w:cs="Arial" w:eastAsia="Arial" w:hAnsi="Arial"/>
          <w:sz w:val="13"/>
          <w:szCs w:val="13"/>
          <w:color w:val="auto"/>
        </w:rPr>
        <w:t>Adjusted Operating EBITDA is a Non-GAAP metric. Please see our GAAP to Non-GAAP reconciliation in Exhibit A at the end of this report.</w:t>
      </w:r>
    </w:p>
    <w:p>
      <w:pPr>
        <w:spacing w:after="0" w:line="164" w:lineRule="exact"/>
        <w:rPr>
          <w:rFonts w:ascii="Arial" w:cs="Arial" w:eastAsia="Arial" w:hAnsi="Arial"/>
          <w:sz w:val="13"/>
          <w:szCs w:val="13"/>
          <w:color w:val="auto"/>
        </w:rPr>
      </w:pPr>
    </w:p>
    <w:p>
      <w:pPr>
        <w:ind w:left="230" w:hanging="186"/>
        <w:spacing w:after="0" w:line="274" w:lineRule="auto"/>
        <w:tabs>
          <w:tab w:leader="none" w:pos="230" w:val="left"/>
        </w:tabs>
        <w:numPr>
          <w:ilvl w:val="0"/>
          <w:numId w:val="4"/>
        </w:numPr>
        <w:rPr>
          <w:rFonts w:ascii="Arial" w:cs="Arial" w:eastAsia="Arial" w:hAnsi="Arial"/>
          <w:sz w:val="13"/>
          <w:szCs w:val="13"/>
          <w:color w:val="auto"/>
        </w:rPr>
      </w:pPr>
      <w:r>
        <w:rPr>
          <w:rFonts w:ascii="Arial" w:cs="Arial" w:eastAsia="Arial" w:hAnsi="Arial"/>
          <w:sz w:val="13"/>
          <w:szCs w:val="13"/>
          <w:color w:val="auto"/>
        </w:rPr>
        <w:t>Currency Neutral metrics eliminate the effects that result from translating non-U.S. currencies to U.S. dollars. We calculate currency neutral numbers by translating current year invoiced sale amounts at the exchange rates used for the corresponding prior year period.</w:t>
      </w:r>
    </w:p>
    <w:p>
      <w:pPr>
        <w:spacing w:after="0" w:line="166" w:lineRule="exact"/>
        <w:rPr>
          <w:rFonts w:ascii="Arial" w:cs="Arial" w:eastAsia="Arial" w:hAnsi="Arial"/>
          <w:sz w:val="13"/>
          <w:szCs w:val="13"/>
          <w:color w:val="auto"/>
        </w:rPr>
      </w:pPr>
    </w:p>
    <w:p>
      <w:pPr>
        <w:ind w:left="230" w:right="40" w:hanging="230"/>
        <w:spacing w:after="0" w:line="273" w:lineRule="auto"/>
        <w:tabs>
          <w:tab w:leader="none" w:pos="230" w:val="left"/>
        </w:tabs>
        <w:numPr>
          <w:ilvl w:val="1"/>
          <w:numId w:val="4"/>
        </w:numPr>
        <w:rPr>
          <w:rFonts w:ascii="Arial" w:cs="Arial" w:eastAsia="Arial" w:hAnsi="Arial"/>
          <w:sz w:val="13"/>
          <w:szCs w:val="13"/>
          <w:color w:val="auto"/>
        </w:rPr>
      </w:pPr>
      <w:r>
        <w:rPr>
          <w:rFonts w:ascii="Arial" w:cs="Arial" w:eastAsia="Arial" w:hAnsi="Arial"/>
          <w:sz w:val="13"/>
          <w:szCs w:val="13"/>
          <w:color w:val="auto"/>
        </w:rPr>
        <w:t>The Company cannot reconcile its forward-looking comparable currency neutral Adjusted Operating EBITDA without unreasonable effort because certain items that impact net income and other reconciling metrics are out of the Company’s control and/or cannot be reasonably predicted at this time. These items include but are not limited to gains (losses) on sale of fixed assets, shareholder activism related costs, business divestiture costs (including the anticipated Savory Solutions divestiture), employee separation costs, N&amp;B inventory step-up costs, N&amp;B transaction related costs, integration related costs and the impact of the merger with N&amp;B.</w:t>
      </w:r>
    </w:p>
    <w:p>
      <w:pPr>
        <w:spacing w:after="0" w:line="239" w:lineRule="exact"/>
        <w:rPr>
          <w:sz w:val="20"/>
          <w:szCs w:val="20"/>
          <w:color w:val="auto"/>
        </w:rPr>
      </w:pPr>
    </w:p>
    <w:p>
      <w:pPr>
        <w:sectPr>
          <w:pgSz w:w="11880" w:h="15480" w:orient="portrait"/>
          <w:cols w:equalWidth="0" w:num="3">
            <w:col w:w="3760" w:space="440"/>
            <w:col w:w="3260" w:space="130"/>
            <w:col w:w="2990"/>
          </w:cols>
          <w:pgMar w:left="880" w:top="1048"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FFFFFF"/>
        </w:rPr>
        <w:t>4</w:t>
      </w:r>
    </w:p>
    <w:p>
      <w:pPr>
        <w:sectPr>
          <w:pgSz w:w="11880" w:h="15480" w:orient="portrait"/>
          <w:cols w:equalWidth="0" w:num="1">
            <w:col w:w="10580"/>
          </w:cols>
          <w:pgMar w:left="880" w:top="1048" w:right="420"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100"/>
        <w:spacing w:after="0" w:line="262" w:lineRule="auto"/>
        <w:rPr>
          <w:sz w:val="20"/>
          <w:szCs w:val="20"/>
          <w:color w:val="auto"/>
        </w:rPr>
      </w:pPr>
      <w:r>
        <w:rPr>
          <w:rFonts w:ascii="Arial" w:cs="Arial" w:eastAsia="Arial" w:hAnsi="Arial"/>
          <w:sz w:val="15"/>
          <w:szCs w:val="15"/>
          <w:b w:val="1"/>
          <w:bCs w:val="1"/>
          <w:color w:val="58595B"/>
        </w:rPr>
        <w:t>Cautionary Statement Under The Private Securities Litigation Reform Act of 1995</w:t>
      </w:r>
    </w:p>
    <w:p>
      <w:pPr>
        <w:spacing w:after="0" w:line="164" w:lineRule="exact"/>
        <w:rPr>
          <w:sz w:val="20"/>
          <w:szCs w:val="20"/>
          <w:color w:val="auto"/>
        </w:rPr>
      </w:pPr>
    </w:p>
    <w:p>
      <w:pPr>
        <w:jc w:val="both"/>
        <w:ind w:right="600"/>
        <w:spacing w:after="0" w:line="251" w:lineRule="auto"/>
        <w:rPr>
          <w:sz w:val="20"/>
          <w:szCs w:val="20"/>
          <w:color w:val="auto"/>
        </w:rPr>
      </w:pPr>
      <w:r>
        <w:rPr>
          <w:rFonts w:ascii="Arial" w:cs="Arial" w:eastAsia="Arial" w:hAnsi="Arial"/>
          <w:sz w:val="15"/>
          <w:szCs w:val="15"/>
          <w:color w:val="58595B"/>
        </w:rPr>
        <w:t>This letter includes “forward-looking statements” under the Federal Private Securities Litigation Reform Act of 1995. These forward-looking statements are qualified in their entirety by cautionary statements and risk factor disclosures contained in the Company’s Securities and Exchange Commission (“SEC”) filings, including the Company’s Annual Report on Form 10-K filed with the SEC on February 27, 2023 and subsequent filings with the SEC. The Company wishes to caution readers that certain important factors may have affected and could in the future affect the Company’s actual results and could cause the Company’s actual results for subsequent periods to differ materially from those expressed in any forward-looking statements made by or on behalf of the Company. New risks emerge from time to time and it is not possible for management to predict all such risk factors or to assess the impact of such risks on the Company’s business. Accordingly, the Company undertakes no obligation to publicly revise any forward-looking statements, whether as a result of new information, future events, or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4"/>
          <w:szCs w:val="154"/>
          <w:color w:val="808285"/>
        </w:rPr>
        <w:t>10-K</w:t>
      </w:r>
    </w:p>
    <w:p>
      <w:pPr>
        <w:ind w:left="60"/>
        <w:spacing w:after="0"/>
        <w:rPr>
          <w:sz w:val="20"/>
          <w:szCs w:val="20"/>
          <w:color w:val="auto"/>
        </w:rPr>
      </w:pPr>
      <w:r>
        <w:rPr>
          <w:rFonts w:ascii="Arial" w:cs="Arial" w:eastAsia="Arial" w:hAnsi="Arial"/>
          <w:sz w:val="20"/>
          <w:szCs w:val="20"/>
          <w:color w:val="808285"/>
        </w:rPr>
        <w:t>International Flavors &amp; Fragrances</w:t>
      </w:r>
    </w:p>
    <w:p>
      <w:pPr>
        <w:sectPr>
          <w:pgSz w:w="11880" w:h="15480" w:orient="portrait"/>
          <w:cols w:equalWidth="0" w:num="2">
            <w:col w:w="5800" w:space="720"/>
            <w:col w:w="3260"/>
          </w:cols>
          <w:pgMar w:left="1200" w:top="1440" w:right="900" w:bottom="176"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25"/>
          <w:szCs w:val="25"/>
          <w:b w:val="1"/>
          <w:bCs w:val="1"/>
          <w:color w:val="auto"/>
        </w:rPr>
        <mc:AlternateContent>
          <mc:Choice Requires="wps">
            <w:drawing>
              <wp:anchor simplePos="0" relativeHeight="251657728" behindDoc="1" locked="0" layoutInCell="0" allowOverlap="1">
                <wp:simplePos x="0" y="0"/>
                <wp:positionH relativeFrom="page">
                  <wp:posOffset>682625</wp:posOffset>
                </wp:positionH>
                <wp:positionV relativeFrom="page">
                  <wp:posOffset>825500</wp:posOffset>
                </wp:positionV>
                <wp:extent cx="617537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5375" cy="4763"/>
                        </a:xfrm>
                        <a:prstGeom prst="line">
                          <a:avLst/>
                        </a:prstGeom>
                        <a:solidFill>
                          <a:srgbClr val="FFFFFF"/>
                        </a:solidFill>
                        <a:ln w="10782">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75pt,65pt" to="540pt,65pt" o:allowincell="f" strokecolor="#000000" strokeweight="0.849pt">
                <w10:wrap anchorx="page" anchory="page"/>
              </v:line>
            </w:pict>
          </mc:Fallback>
        </mc:AlternateContent>
        <w:t>UNITED STATES SECURITIES AND EXCHANGE COMMISSION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wp:posOffset>
                </wp:positionH>
                <wp:positionV relativeFrom="paragraph">
                  <wp:posOffset>-149225</wp:posOffset>
                </wp:positionV>
                <wp:extent cx="617537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5375" cy="4763"/>
                        </a:xfrm>
                        <a:prstGeom prst="line">
                          <a:avLst/>
                        </a:prstGeom>
                        <a:solidFill>
                          <a:srgbClr val="FFFFFF"/>
                        </a:solidFill>
                        <a:ln w="10782">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1.7499pt" to="488pt,-11.7499pt" o:allowincell="f" strokecolor="#000000" strokeweight="0.849pt"/>
            </w:pict>
          </mc:Fallback>
        </mc:AlternateContent>
      </w:r>
    </w:p>
    <w:p>
      <w:pPr>
        <w:jc w:val="center"/>
        <w:ind w:right="-99"/>
        <w:spacing w:after="0" w:line="185" w:lineRule="auto"/>
        <w:rPr>
          <w:sz w:val="20"/>
          <w:szCs w:val="20"/>
          <w:color w:val="auto"/>
        </w:rPr>
      </w:pPr>
      <w:r>
        <w:rPr>
          <w:rFonts w:ascii="Times New Roman" w:cs="Times New Roman" w:eastAsia="Times New Roman" w:hAnsi="Times New Roman"/>
          <w:sz w:val="20"/>
          <w:szCs w:val="20"/>
          <w:b w:val="1"/>
          <w:bCs w:val="1"/>
          <w:color w:val="auto"/>
        </w:rPr>
        <w:t>Washington, D.C. 20549</w:t>
      </w: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36" w:lineRule="exact"/>
        <w:rPr>
          <w:sz w:val="20"/>
          <w:szCs w:val="20"/>
          <w:color w:val="auto"/>
        </w:rPr>
      </w:pPr>
    </w:p>
    <w:p>
      <w:pPr>
        <w:ind w:left="3240" w:right="260" w:hanging="2891"/>
        <w:spacing w:after="0" w:line="203" w:lineRule="auto"/>
        <w:tabs>
          <w:tab w:leader="none" w:pos="874" w:val="left"/>
        </w:tabs>
        <w:numPr>
          <w:ilvl w:val="0"/>
          <w:numId w:val="5"/>
        </w:numPr>
        <w:rPr>
          <w:rFonts w:ascii="Segoe UI Symbol" w:cs="Segoe UI Symbol" w:eastAsia="Segoe UI Symbol" w:hAnsi="Segoe UI Symbol"/>
          <w:sz w:val="21"/>
          <w:szCs w:val="2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ind w:left="4780"/>
        <w:spacing w:after="0"/>
        <w:rPr>
          <w:rFonts w:ascii="Segoe UI Symbol" w:cs="Segoe UI Symbol" w:eastAsia="Segoe UI Symbol" w:hAnsi="Segoe UI Symbol"/>
          <w:sz w:val="21"/>
          <w:szCs w:val="21"/>
          <w:color w:val="auto"/>
        </w:rPr>
      </w:pPr>
      <w:r>
        <w:rPr>
          <w:rFonts w:ascii="Times New Roman" w:cs="Times New Roman" w:eastAsia="Times New Roman" w:hAnsi="Times New Roman"/>
          <w:sz w:val="18"/>
          <w:szCs w:val="18"/>
          <w:b w:val="1"/>
          <w:bCs w:val="1"/>
          <w:color w:val="auto"/>
        </w:rPr>
        <w:t>OR</w:t>
      </w:r>
    </w:p>
    <w:p>
      <w:pPr>
        <w:ind w:left="680" w:hanging="331"/>
        <w:spacing w:after="0" w:line="238" w:lineRule="auto"/>
        <w:tabs>
          <w:tab w:leader="none" w:pos="680" w:val="left"/>
        </w:tabs>
        <w:numPr>
          <w:ilvl w:val="0"/>
          <w:numId w:val="6"/>
        </w:numPr>
        <w:rPr>
          <w:rFonts w:ascii="Segoe UI Symbol" w:cs="Segoe UI Symbol" w:eastAsia="Segoe UI Symbol" w:hAnsi="Segoe UI Symbol"/>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w:t>
      </w:r>
    </w:p>
    <w:p>
      <w:pPr>
        <w:jc w:val="center"/>
        <w:ind w:right="-99"/>
        <w:spacing w:after="0" w:line="232" w:lineRule="auto"/>
        <w:rPr>
          <w:sz w:val="20"/>
          <w:szCs w:val="20"/>
          <w:color w:val="auto"/>
        </w:rPr>
      </w:pPr>
      <w:r>
        <w:rPr>
          <w:rFonts w:ascii="Times New Roman" w:cs="Times New Roman" w:eastAsia="Times New Roman" w:hAnsi="Times New Roman"/>
          <w:sz w:val="18"/>
          <w:szCs w:val="18"/>
          <w:b w:val="1"/>
          <w:bCs w:val="1"/>
          <w:u w:val="single" w:color="auto"/>
          <w:color w:val="auto"/>
        </w:rPr>
        <w:t>Commission File Number 1-4858</w:t>
      </w:r>
    </w:p>
    <w:p>
      <w:pPr>
        <w:jc w:val="center"/>
        <w:ind w:right="-99"/>
        <w:spacing w:after="0"/>
        <w:rPr>
          <w:sz w:val="20"/>
          <w:szCs w:val="20"/>
          <w:color w:val="auto"/>
        </w:rPr>
      </w:pPr>
      <w:r>
        <w:rPr>
          <w:rFonts w:ascii="Times New Roman" w:cs="Times New Roman" w:eastAsia="Times New Roman" w:hAnsi="Times New Roman"/>
          <w:sz w:val="38"/>
          <w:szCs w:val="38"/>
          <w:b w:val="1"/>
          <w:bCs w:val="1"/>
          <w:color w:val="auto"/>
        </w:rPr>
        <w:t>INTERNATIONAL FLAVORS &amp; FRAGRANCES INC.</w:t>
      </w:r>
    </w:p>
    <w:p>
      <w:pPr>
        <w:spacing w:after="0" w:line="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ectPr>
          <w:pgSz w:w="11880" w:h="15480" w:orient="portrait"/>
          <w:cols w:equalWidth="0" w:num="1">
            <w:col w:w="9720"/>
          </w:cols>
          <w:pgMar w:left="1040" w:top="1281" w:right="1120" w:bottom="670" w:gutter="0" w:footer="0" w:header="0"/>
        </w:sectPr>
      </w:pPr>
    </w:p>
    <w:p>
      <w:pPr>
        <w:spacing w:after="0" w:line="2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13-1432060</w:t>
      </w:r>
    </w:p>
    <w:p>
      <w:pPr>
        <w:spacing w:after="0" w:line="31" w:lineRule="exact"/>
        <w:rPr>
          <w:sz w:val="20"/>
          <w:szCs w:val="20"/>
          <w:color w:val="auto"/>
        </w:rPr>
      </w:pPr>
    </w:p>
    <w:p>
      <w:pPr>
        <w:sectPr>
          <w:pgSz w:w="11880" w:h="15480" w:orient="portrait"/>
          <w:cols w:equalWidth="0" w:num="2">
            <w:col w:w="6160" w:space="720"/>
            <w:col w:w="2840"/>
          </w:cols>
          <w:pgMar w:left="1040" w:top="1281" w:right="1120" w:bottom="670" w:gutter="0" w:footer="0" w:header="0"/>
          <w:type w:val="continuous"/>
        </w:sectPr>
      </w:pPr>
    </w:p>
    <w:p>
      <w:pPr>
        <w:jc w:val="center"/>
        <w:ind w:right="700"/>
        <w:spacing w:after="0"/>
        <w:rPr>
          <w:sz w:val="20"/>
          <w:szCs w:val="20"/>
          <w:color w:val="auto"/>
        </w:rPr>
      </w:pPr>
      <w:r>
        <w:rPr>
          <w:rFonts w:ascii="Times New Roman" w:cs="Times New Roman" w:eastAsia="Times New Roman" w:hAnsi="Times New Roman"/>
          <w:sz w:val="14"/>
          <w:szCs w:val="14"/>
          <w:i w:val="1"/>
          <w:iCs w:val="1"/>
          <w:color w:val="auto"/>
        </w:rPr>
        <w:t>(State or other jurisdiction</w:t>
      </w:r>
    </w:p>
    <w:p>
      <w:pPr>
        <w:jc w:val="center"/>
        <w:ind w:right="700"/>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231" w:lineRule="exact"/>
        <w:rPr>
          <w:sz w:val="20"/>
          <w:szCs w:val="20"/>
          <w:color w:val="auto"/>
        </w:rPr>
      </w:pPr>
    </w:p>
    <w:p>
      <w:pPr>
        <w:sectPr>
          <w:pgSz w:w="11880" w:h="15480" w:orient="portrait"/>
          <w:cols w:equalWidth="0" w:num="2">
            <w:col w:w="5580" w:space="720"/>
            <w:col w:w="3420"/>
          </w:cols>
          <w:pgMar w:left="1040" w:top="1281" w:right="1120" w:bottom="67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521 West 57th Street, New York, NY 10019-2960</w:t>
      </w:r>
    </w:p>
    <w:p>
      <w:pPr>
        <w:spacing w:after="0" w:line="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200 Powder Mill Road, Wilmington, DE 19803-2907</w:t>
      </w: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(Zip Code</w:t>
      </w:r>
      <w:r>
        <w:rPr>
          <w:rFonts w:ascii="Times New Roman" w:cs="Times New Roman" w:eastAsia="Times New Roman" w:hAnsi="Times New Roman"/>
          <w:sz w:val="17"/>
          <w:szCs w:val="17"/>
          <w:b w:val="1"/>
          <w:bCs w:val="1"/>
          <w:color w:val="auto"/>
        </w:rPr>
        <w:t>)</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765-5500</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18"/>
                <w:szCs w:val="18"/>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36"/>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 Stock, par value 12 1/2¢ per share</w:t>
            </w:r>
          </w:p>
        </w:tc>
        <w:tc>
          <w:tcPr>
            <w:tcW w:w="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IFF</w:t>
            </w:r>
          </w:p>
        </w:tc>
        <w:tc>
          <w:tcPr>
            <w:tcW w:w="8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r>
        <w:trPr>
          <w:trHeight w:val="248"/>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1.750% Senior Notes due 2024</w:t>
            </w:r>
          </w:p>
        </w:tc>
        <w:tc>
          <w:tcPr>
            <w:tcW w:w="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IFF 24</w:t>
            </w:r>
          </w:p>
        </w:tc>
        <w:tc>
          <w:tcPr>
            <w:tcW w:w="80" w:type="dxa"/>
            <w:vAlign w:val="bottom"/>
          </w:tcPr>
          <w:p>
            <w:pPr>
              <w:spacing w:after="0"/>
              <w:rPr>
                <w:sz w:val="21"/>
                <w:szCs w:val="21"/>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r>
        <w:trPr>
          <w:trHeight w:val="250"/>
        </w:trPr>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1.800% Senior Notes due 2026</w:t>
            </w:r>
          </w:p>
        </w:tc>
        <w:tc>
          <w:tcPr>
            <w:tcW w:w="6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IFF 26</w:t>
            </w:r>
          </w:p>
        </w:tc>
        <w:tc>
          <w:tcPr>
            <w:tcW w:w="80" w:type="dxa"/>
            <w:vAlign w:val="bottom"/>
          </w:tcPr>
          <w:p>
            <w:pPr>
              <w:spacing w:after="0"/>
              <w:rPr>
                <w:sz w:val="21"/>
                <w:szCs w:val="21"/>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New York Stock Exchange</w:t>
            </w:r>
          </w:p>
        </w:tc>
      </w:tr>
    </w:tbl>
    <w:p>
      <w:pPr>
        <w:spacing w:after="0" w:line="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SECURITIES REGISTERED PURSUANT TO SECTION 12(g) OF THE ACT: </w:t>
      </w:r>
      <w:r>
        <w:rPr>
          <w:rFonts w:ascii="Times New Roman" w:cs="Times New Roman" w:eastAsia="Times New Roman" w:hAnsi="Times New Roman"/>
          <w:sz w:val="18"/>
          <w:szCs w:val="18"/>
          <w:color w:val="auto"/>
        </w:rPr>
        <w:t>None</w:t>
      </w:r>
    </w:p>
    <w:p>
      <w:pPr>
        <w:spacing w:after="0" w:line="3" w:lineRule="exact"/>
        <w:rPr>
          <w:sz w:val="20"/>
          <w:szCs w:val="20"/>
          <w:color w:val="auto"/>
        </w:rPr>
      </w:pPr>
    </w:p>
    <w:p>
      <w:pPr>
        <w:ind w:left="60" w:right="40"/>
        <w:spacing w:after="0" w:line="323"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p>
      <w:pPr>
        <w:spacing w:after="0" w:line="2" w:lineRule="exact"/>
        <w:rPr>
          <w:sz w:val="20"/>
          <w:szCs w:val="20"/>
          <w:color w:val="auto"/>
        </w:rPr>
      </w:pPr>
    </w:p>
    <w:p>
      <w:pPr>
        <w:ind w:left="60" w:right="200"/>
        <w:spacing w:after="0" w:line="23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p>
      <w:pPr>
        <w:spacing w:after="0" w:line="2" w:lineRule="exact"/>
        <w:rPr>
          <w:sz w:val="20"/>
          <w:szCs w:val="20"/>
          <w:color w:val="auto"/>
        </w:rPr>
      </w:pPr>
    </w:p>
    <w:p>
      <w:pPr>
        <w:ind w:left="60" w:right="40"/>
        <w:spacing w:after="0" w:line="23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Symbol" w:cs="Segoe UI Symbol" w:eastAsia="Segoe UI Symbol" w:hAnsi="Segoe UI Symbol"/>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tbl>
      <w:tblPr>
        <w:tblLayout w:type="fixed"/>
        <w:tblInd w:w="60" w:type="dxa"/>
        <w:tblCellMar>
          <w:top w:w="0" w:type="dxa"/>
          <w:left w:w="0" w:type="dxa"/>
          <w:bottom w:w="0" w:type="dxa"/>
          <w:right w:w="0" w:type="dxa"/>
        </w:tblCellMar>
      </w:tblPr>
      <w:tr>
        <w:trPr>
          <w:trHeight w:val="188"/>
        </w:trPr>
        <w:tc>
          <w:tcPr>
            <w:tcW w:w="966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w w:val="97"/>
              </w:rPr>
              <w:t>Indicate by check mark whether the Registrant is a large accelerated filer, an accelerated filer, a non-accelerated filer, a smaller reporting</w:t>
            </w:r>
          </w:p>
        </w:tc>
        <w:tc>
          <w:tcPr>
            <w:tcW w:w="0" w:type="dxa"/>
            <w:vAlign w:val="bottom"/>
          </w:tcPr>
          <w:p>
            <w:pPr>
              <w:spacing w:after="0"/>
              <w:rPr>
                <w:sz w:val="1"/>
                <w:szCs w:val="1"/>
                <w:color w:val="auto"/>
              </w:rPr>
            </w:pPr>
          </w:p>
        </w:tc>
      </w:tr>
      <w:tr>
        <w:trPr>
          <w:trHeight w:val="178"/>
        </w:trPr>
        <w:tc>
          <w:tcPr>
            <w:tcW w:w="9660" w:type="dxa"/>
            <w:vAlign w:val="bottom"/>
            <w:gridSpan w:val="4"/>
          </w:tcPr>
          <w:p>
            <w:pPr>
              <w:spacing w:after="0" w:line="178" w:lineRule="exact"/>
              <w:rPr>
                <w:sz w:val="20"/>
                <w:szCs w:val="20"/>
                <w:color w:val="auto"/>
              </w:rPr>
            </w:pPr>
            <w:r>
              <w:rPr>
                <w:rFonts w:ascii="Times New Roman" w:cs="Times New Roman" w:eastAsia="Times New Roman" w:hAnsi="Times New Roman"/>
                <w:sz w:val="18"/>
                <w:szCs w:val="18"/>
                <w:color w:val="auto"/>
              </w:rPr>
              <w:t>company, or an emerging growth company. See the definitions of “large accelerated filer,” “accelerated filer,” “smaller reporting</w:t>
            </w:r>
          </w:p>
        </w:tc>
        <w:tc>
          <w:tcPr>
            <w:tcW w:w="0" w:type="dxa"/>
            <w:vAlign w:val="bottom"/>
          </w:tcPr>
          <w:p>
            <w:pPr>
              <w:spacing w:after="0"/>
              <w:rPr>
                <w:sz w:val="1"/>
                <w:szCs w:val="1"/>
                <w:color w:val="auto"/>
              </w:rPr>
            </w:pPr>
          </w:p>
        </w:tc>
      </w:tr>
      <w:tr>
        <w:trPr>
          <w:trHeight w:val="178"/>
        </w:trPr>
        <w:tc>
          <w:tcPr>
            <w:tcW w:w="792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auto"/>
              </w:rPr>
              <w:t>company,” and “emerging growth company” in Rule 12b-2 of the Exchange Act.</w:t>
            </w:r>
          </w:p>
        </w:tc>
        <w:tc>
          <w:tcPr>
            <w:tcW w:w="1740" w:type="dxa"/>
            <w:vAlign w:val="bottom"/>
            <w:vMerge w:val="restart"/>
          </w:tcPr>
          <w:p>
            <w:pPr>
              <w:ind w:left="1100"/>
              <w:spacing w:after="0"/>
              <w:rPr>
                <w:sz w:val="20"/>
                <w:szCs w:val="20"/>
                <w:color w:val="auto"/>
              </w:rPr>
            </w:pPr>
            <w:r>
              <w:rPr>
                <w:rFonts w:ascii="Segoe UI Symbol" w:cs="Segoe UI Symbol" w:eastAsia="Segoe UI Symbol" w:hAnsi="Segoe UI Symbol"/>
                <w:sz w:val="18"/>
                <w:szCs w:val="18"/>
                <w:color w:val="auto"/>
              </w:rPr>
              <w:t>☐</w:t>
            </w:r>
          </w:p>
        </w:tc>
        <w:tc>
          <w:tcPr>
            <w:tcW w:w="0" w:type="dxa"/>
            <w:vAlign w:val="bottom"/>
          </w:tcPr>
          <w:p>
            <w:pPr>
              <w:spacing w:after="0"/>
              <w:rPr>
                <w:sz w:val="1"/>
                <w:szCs w:val="1"/>
                <w:color w:val="auto"/>
              </w:rPr>
            </w:pPr>
          </w:p>
        </w:tc>
      </w:tr>
      <w:tr>
        <w:trPr>
          <w:trHeight w:val="246"/>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20" w:type="dxa"/>
            <w:vAlign w:val="bottom"/>
          </w:tcPr>
          <w:p>
            <w:pPr>
              <w:ind w:left="1280"/>
              <w:spacing w:after="0"/>
              <w:rPr>
                <w:sz w:val="20"/>
                <w:szCs w:val="20"/>
                <w:color w:val="auto"/>
              </w:rPr>
            </w:pPr>
            <w:r>
              <w:rPr>
                <w:rFonts w:ascii="Segoe UI Symbol" w:cs="Segoe UI Symbol" w:eastAsia="Segoe UI Symbol" w:hAnsi="Segoe UI Symbol"/>
                <w:sz w:val="18"/>
                <w:szCs w:val="18"/>
                <w:color w:val="auto"/>
              </w:rPr>
              <w:t>☑</w:t>
            </w: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Non-accelerated filer</w:t>
            </w:r>
          </w:p>
        </w:tc>
        <w:tc>
          <w:tcPr>
            <w:tcW w:w="1620" w:type="dxa"/>
            <w:vAlign w:val="bottom"/>
          </w:tcPr>
          <w:p>
            <w:pPr>
              <w:ind w:left="1280"/>
              <w:spacing w:after="0"/>
              <w:rPr>
                <w:sz w:val="20"/>
                <w:szCs w:val="20"/>
                <w:color w:val="auto"/>
              </w:rPr>
            </w:pPr>
            <w:r>
              <w:rPr>
                <w:rFonts w:ascii="Segoe UI Symbol" w:cs="Segoe UI Symbol" w:eastAsia="Segoe UI Symbol" w:hAnsi="Segoe UI Symbol"/>
                <w:sz w:val="18"/>
                <w:szCs w:val="18"/>
                <w:color w:val="auto"/>
              </w:rPr>
              <w:t>☐</w:t>
            </w: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40" w:type="dxa"/>
            <w:vAlign w:val="bottom"/>
          </w:tcPr>
          <w:p>
            <w:pPr>
              <w:ind w:left="1100"/>
              <w:spacing w:after="0"/>
              <w:rPr>
                <w:sz w:val="20"/>
                <w:szCs w:val="20"/>
                <w:color w:val="auto"/>
              </w:rPr>
            </w:pPr>
            <w:r>
              <w:rPr>
                <w:rFonts w:ascii="Segoe UI Symbol" w:cs="Segoe UI Symbol" w:eastAsia="Segoe UI Symbol" w:hAnsi="Segoe UI Symbol"/>
                <w:sz w:val="18"/>
                <w:szCs w:val="18"/>
                <w:color w:val="auto"/>
              </w:rPr>
              <w:t>☐</w:t>
            </w:r>
          </w:p>
        </w:tc>
        <w:tc>
          <w:tcPr>
            <w:tcW w:w="0" w:type="dxa"/>
            <w:vAlign w:val="bottom"/>
          </w:tcPr>
          <w:p>
            <w:pPr>
              <w:spacing w:after="0"/>
              <w:rPr>
                <w:sz w:val="1"/>
                <w:szCs w:val="1"/>
                <w:color w:val="auto"/>
              </w:rPr>
            </w:pPr>
          </w:p>
        </w:tc>
      </w:tr>
      <w:tr>
        <w:trPr>
          <w:trHeight w:val="383"/>
        </w:trPr>
        <w:tc>
          <w:tcPr>
            <w:tcW w:w="3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40" w:type="dxa"/>
            <w:vAlign w:val="bottom"/>
          </w:tcPr>
          <w:p>
            <w:pPr>
              <w:ind w:left="1100"/>
              <w:spacing w:after="0"/>
              <w:rPr>
                <w:sz w:val="20"/>
                <w:szCs w:val="20"/>
                <w:color w:val="auto"/>
              </w:rPr>
            </w:pPr>
            <w:r>
              <w:rPr>
                <w:rFonts w:ascii="Segoe UI Symbol" w:cs="Segoe UI Symbol" w:eastAsia="Segoe UI Symbol" w:hAnsi="Segoe UI Symbol"/>
                <w:sz w:val="18"/>
                <w:szCs w:val="18"/>
                <w:color w:val="auto"/>
              </w:rPr>
              <w:t>☐</w:t>
            </w:r>
          </w:p>
        </w:tc>
        <w:tc>
          <w:tcPr>
            <w:tcW w:w="0" w:type="dxa"/>
            <w:vAlign w:val="bottom"/>
          </w:tcPr>
          <w:p>
            <w:pPr>
              <w:spacing w:after="0"/>
              <w:rPr>
                <w:sz w:val="1"/>
                <w:szCs w:val="1"/>
                <w:color w:val="auto"/>
              </w:rPr>
            </w:pPr>
          </w:p>
        </w:tc>
      </w:tr>
    </w:tbl>
    <w:p>
      <w:pPr>
        <w:ind w:left="60" w:right="640"/>
        <w:spacing w:after="0" w:line="260"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7"/>
          <w:szCs w:val="17"/>
          <w:color w:val="auto"/>
        </w:rPr>
        <w:t>☐</w:t>
      </w:r>
    </w:p>
    <w:p>
      <w:pPr>
        <w:spacing w:after="0" w:line="2" w:lineRule="exact"/>
        <w:rPr>
          <w:sz w:val="20"/>
          <w:szCs w:val="20"/>
          <w:color w:val="auto"/>
        </w:rPr>
      </w:pPr>
    </w:p>
    <w:p>
      <w:pPr>
        <w:jc w:val="both"/>
        <w:ind w:left="60" w:right="20"/>
        <w:spacing w:after="0" w:line="233"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8"/>
          <w:szCs w:val="18"/>
          <w:color w:val="auto"/>
        </w:rPr>
        <w:t>☑</w:t>
      </w:r>
    </w:p>
    <w:p>
      <w:pPr>
        <w:spacing w:after="0" w:line="2" w:lineRule="exact"/>
        <w:rPr>
          <w:sz w:val="20"/>
          <w:szCs w:val="20"/>
          <w:color w:val="auto"/>
        </w:rPr>
      </w:pPr>
    </w:p>
    <w:p>
      <w:pPr>
        <w:jc w:val="both"/>
        <w:ind w:left="60" w:right="40"/>
        <w:spacing w:after="0" w:line="246"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8"/>
          <w:szCs w:val="18"/>
          <w:color w:val="auto"/>
        </w:rPr>
        <w:t>☐</w:t>
      </w:r>
    </w:p>
    <w:p>
      <w:pPr>
        <w:spacing w:after="0" w:line="1" w:lineRule="exact"/>
        <w:rPr>
          <w:sz w:val="20"/>
          <w:szCs w:val="20"/>
          <w:color w:val="auto"/>
        </w:rPr>
      </w:pPr>
    </w:p>
    <w:p>
      <w:pPr>
        <w:ind w:left="60" w:right="140"/>
        <w:spacing w:after="0" w:line="216" w:lineRule="auto"/>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Segoe UI Symbol" w:cs="Segoe UI Symbol" w:eastAsia="Segoe UI Symbol" w:hAnsi="Segoe UI Symbol"/>
          <w:sz w:val="17"/>
          <w:szCs w:val="17"/>
          <w:color w:val="auto"/>
        </w:rPr>
        <w:t>☐</w:t>
      </w:r>
    </w:p>
    <w:p>
      <w:pPr>
        <w:spacing w:after="0" w:line="1" w:lineRule="exact"/>
        <w:rPr>
          <w:sz w:val="20"/>
          <w:szCs w:val="20"/>
          <w:color w:val="auto"/>
        </w:rPr>
      </w:pPr>
    </w:p>
    <w:p>
      <w:pPr>
        <w:ind w:left="60"/>
        <w:spacing w:after="0" w:line="24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Segoe UI Symbol" w:cs="Segoe UI Symbol" w:eastAsia="Segoe UI Symbol" w:hAnsi="Segoe UI Symbol"/>
          <w:sz w:val="18"/>
          <w:szCs w:val="18"/>
          <w:color w:val="auto"/>
        </w:rPr>
        <w:t>☑</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was $30,369,016,357 as of June 30, 2022.</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As of February 21, 2023, there were 255,061,711 shares of the registrant’s common stock, par value 12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 per share, outstanding.</w:t>
      </w:r>
    </w:p>
    <w:p>
      <w:pPr>
        <w:spacing w:after="0" w:line="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76" w:lineRule="exact"/>
        <w:rPr>
          <w:sz w:val="20"/>
          <w:szCs w:val="20"/>
          <w:color w:val="auto"/>
        </w:rPr>
      </w:pPr>
    </w:p>
    <w:p>
      <w:pPr>
        <w:ind w:left="60" w:right="640"/>
        <w:spacing w:after="0" w:line="244" w:lineRule="auto"/>
        <w:rPr>
          <w:sz w:val="20"/>
          <w:szCs w:val="20"/>
          <w:color w:val="auto"/>
        </w:rPr>
      </w:pPr>
      <w:r>
        <w:rPr>
          <w:rFonts w:ascii="Times New Roman" w:cs="Times New Roman" w:eastAsia="Times New Roman" w:hAnsi="Times New Roman"/>
          <w:sz w:val="18"/>
          <w:szCs w:val="18"/>
          <w:color w:val="auto"/>
        </w:rPr>
        <w:t>Portions of the registrant’s proxy statement for the 2023 Annual Meeting of Shareholders (the “IFF 2023 Proxy Statement”) are incorporated by reference in Part III of this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wp:posOffset>
                </wp:positionH>
                <wp:positionV relativeFrom="paragraph">
                  <wp:posOffset>55245</wp:posOffset>
                </wp:positionV>
                <wp:extent cx="61753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5375" cy="4763"/>
                        </a:xfrm>
                        <a:prstGeom prst="line">
                          <a:avLst/>
                        </a:prstGeom>
                        <a:solidFill>
                          <a:srgbClr val="FFFFFF"/>
                        </a:solidFill>
                        <a:ln w="107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4.35pt" to="488pt,4.35pt" o:allowincell="f" strokecolor="#000000" strokeweight="0.85pt"/>
            </w:pict>
          </mc:Fallback>
        </mc:AlternateContent>
        <mc:AlternateContent>
          <mc:Choice Requires="wps">
            <w:drawing>
              <wp:anchor simplePos="0" relativeHeight="251657728" behindDoc="1" locked="0" layoutInCell="0" allowOverlap="1">
                <wp:simplePos x="0" y="0"/>
                <wp:positionH relativeFrom="column">
                  <wp:posOffset>22225</wp:posOffset>
                </wp:positionH>
                <wp:positionV relativeFrom="paragraph">
                  <wp:posOffset>33655</wp:posOffset>
                </wp:positionV>
                <wp:extent cx="617537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5375" cy="4763"/>
                        </a:xfrm>
                        <a:prstGeom prst="line">
                          <a:avLst/>
                        </a:prstGeom>
                        <a:solidFill>
                          <a:srgbClr val="FFFFFF"/>
                        </a:solidFill>
                        <a:ln w="10782">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2.65pt" to="488pt,2.65pt" o:allowincell="f" strokecolor="#000000" strokeweight="0.849pt"/>
            </w:pict>
          </mc:Fallback>
        </mc:AlternateContent>
      </w:r>
    </w:p>
    <w:p>
      <w:pPr>
        <w:sectPr>
          <w:pgSz w:w="11880" w:h="15480" w:orient="portrait"/>
          <w:cols w:equalWidth="0" w:num="1">
            <w:col w:w="9720"/>
          </w:cols>
          <w:pgMar w:left="1040" w:top="1281" w:right="1120" w:bottom="670" w:gutter="0" w:footer="0" w:header="0"/>
          <w:type w:val="continuous"/>
        </w:sectPr>
      </w:pPr>
    </w:p>
    <w:bookmarkStart w:id="8" w:name="page9"/>
    <w:bookmarkEnd w:id="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2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7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2"/>
        </w:trPr>
        <w:tc>
          <w:tcPr>
            <w:tcW w:w="820" w:type="dxa"/>
            <w:vAlign w:val="bottom"/>
          </w:tcPr>
          <w:p>
            <w:pPr>
              <w:spacing w:after="0"/>
              <w:rPr>
                <w:sz w:val="21"/>
                <w:szCs w:val="21"/>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55"/>
        </w:trPr>
        <w:tc>
          <w:tcPr>
            <w:tcW w:w="820" w:type="dxa"/>
            <w:vAlign w:val="bottom"/>
          </w:tcPr>
          <w:p>
            <w:pPr>
              <w:spacing w:after="0"/>
              <w:rPr>
                <w:sz w:val="24"/>
                <w:szCs w:val="24"/>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7"/>
        </w:trPr>
        <w:tc>
          <w:tcPr>
            <w:tcW w:w="820" w:type="dxa"/>
            <w:vAlign w:val="bottom"/>
          </w:tcPr>
          <w:p>
            <w:pPr>
              <w:spacing w:after="0"/>
              <w:rPr>
                <w:sz w:val="21"/>
                <w:szCs w:val="21"/>
                <w:color w:val="auto"/>
              </w:rPr>
            </w:pP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Securities</w:t>
            </w: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5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55"/>
        </w:trPr>
        <w:tc>
          <w:tcPr>
            <w:tcW w:w="820" w:type="dxa"/>
            <w:vAlign w:val="bottom"/>
          </w:tcPr>
          <w:p>
            <w:pPr>
              <w:spacing w:after="0"/>
              <w:rPr>
                <w:sz w:val="24"/>
                <w:szCs w:val="24"/>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55"/>
        </w:trPr>
        <w:tc>
          <w:tcPr>
            <w:tcW w:w="820" w:type="dxa"/>
            <w:vAlign w:val="bottom"/>
          </w:tcPr>
          <w:p>
            <w:pPr>
              <w:spacing w:after="0"/>
              <w:rPr>
                <w:sz w:val="24"/>
                <w:szCs w:val="24"/>
                <w:color w:val="auto"/>
              </w:rPr>
            </w:pPr>
          </w:p>
        </w:tc>
        <w:tc>
          <w:tcPr>
            <w:tcW w:w="7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7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 Summary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451"/>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280"/>
          </w:cols>
          <w:pgMar w:left="1260" w:top="1252" w:right="1340" w:bottom="254"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880" w:h="15480" w:orient="portrait"/>
          <w:cols w:equalWidth="0" w:num="1">
            <w:col w:w="9280"/>
          </w:cols>
          <w:pgMar w:left="1260" w:top="1252" w:right="1340" w:bottom="254"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8"/>
          <w:szCs w:val="18"/>
          <w:i w:val="1"/>
          <w:iCs w:val="1"/>
          <w:color w:val="auto"/>
        </w:rPr>
        <w:t>In this report, we use the terms “IFF,” “the Company,” “we,” “us” and “our” to refer to International Flavors &amp; Fragrances Inc. and its subsidiaries.</w:t>
      </w:r>
    </w:p>
    <w:p>
      <w:pPr>
        <w:spacing w:after="0" w:line="200" w:lineRule="exact"/>
        <w:rPr>
          <w:sz w:val="20"/>
          <w:szCs w:val="20"/>
          <w:color w:val="auto"/>
        </w:rPr>
      </w:pPr>
    </w:p>
    <w:p>
      <w:pPr>
        <w:spacing w:after="0" w:line="2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45"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101010"/>
        </w:rPr>
        <w:t>We are a leading creator and manufacturer of food, beverage, health &amp; biosciences, scent and pharma solutions and complementary adjacent products, including cosmetic active and natural health ingredients, which are used in a wide variety of consumer products. Our products are sold principally to manufacturers of dairy, meat, beverages, snacks, savory, sweet, baked goods and other foods, personal care products, soaps and detergents, cleaning products, perfumes and cosmetics, dietary supplements, food protection, infant and elderly nutrition, functional food, pharmaceutical and oral care products. As a result, we hold global leadership positions in the Food &amp; Beverage, Home &amp; Personal Care and Health &amp; Wellness markets, and across key Tastes, Textures, Scents, Nutrition, Enzymes, Cultures, Soy Proteins, Pharmaceutical Excipients and Probiotics categories.</w:t>
      </w:r>
    </w:p>
    <w:p>
      <w:pPr>
        <w:spacing w:after="0" w:line="29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 xml:space="preserve">Sales in 2022 were approximately $12.440 billion. Based on 2022 sales, approximately </w:t>
      </w:r>
      <w:r>
        <w:rPr>
          <w:rFonts w:ascii="Times New Roman" w:cs="Times New Roman" w:eastAsia="Times New Roman" w:hAnsi="Times New Roman"/>
          <w:sz w:val="18"/>
          <w:szCs w:val="18"/>
          <w:color w:val="101010"/>
        </w:rPr>
        <w:t>42%</w:t>
      </w:r>
      <w:r>
        <w:rPr>
          <w:rFonts w:ascii="Times New Roman" w:cs="Times New Roman" w:eastAsia="Times New Roman" w:hAnsi="Times New Roman"/>
          <w:sz w:val="18"/>
          <w:szCs w:val="18"/>
          <w:color w:val="auto"/>
        </w:rPr>
        <w:t xml:space="preserve"> of sales were to global consumer products companies and approximately </w:t>
      </w:r>
      <w:r>
        <w:rPr>
          <w:rFonts w:ascii="Times New Roman" w:cs="Times New Roman" w:eastAsia="Times New Roman" w:hAnsi="Times New Roman"/>
          <w:sz w:val="18"/>
          <w:szCs w:val="18"/>
          <w:color w:val="101010"/>
        </w:rPr>
        <w:t>58%</w:t>
      </w:r>
      <w:r>
        <w:rPr>
          <w:rFonts w:ascii="Times New Roman" w:cs="Times New Roman" w:eastAsia="Times New Roman" w:hAnsi="Times New Roman"/>
          <w:sz w:val="18"/>
          <w:szCs w:val="18"/>
          <w:color w:val="auto"/>
        </w:rPr>
        <w:t xml:space="preserve"> of sales were to small and mid-sized companies. During 2022, our 25 largest customers accounted for 28% of sales. In 2022, no customer accounted for more than 10% of sales.</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 xml:space="preserve">Our business is geographically diverse, with sales in the U.S. representing approximately </w:t>
      </w:r>
      <w:r>
        <w:rPr>
          <w:rFonts w:ascii="Times New Roman" w:cs="Times New Roman" w:eastAsia="Times New Roman" w:hAnsi="Times New Roman"/>
          <w:sz w:val="18"/>
          <w:szCs w:val="18"/>
          <w:color w:val="101010"/>
        </w:rPr>
        <w:t>29%</w:t>
      </w:r>
      <w:r>
        <w:rPr>
          <w:rFonts w:ascii="Times New Roman" w:cs="Times New Roman" w:eastAsia="Times New Roman" w:hAnsi="Times New Roman"/>
          <w:sz w:val="18"/>
          <w:szCs w:val="18"/>
          <w:color w:val="auto"/>
        </w:rPr>
        <w:t xml:space="preserve"> of sales in 2022. No other country represented more than 6% of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Offerings</w:t>
      </w:r>
    </w:p>
    <w:p>
      <w:pPr>
        <w:spacing w:after="0" w:line="124" w:lineRule="exact"/>
        <w:rPr>
          <w:sz w:val="20"/>
          <w:szCs w:val="20"/>
          <w:color w:val="auto"/>
        </w:rPr>
      </w:pPr>
    </w:p>
    <w:p>
      <w:pPr>
        <w:ind w:right="160" w:firstLine="328"/>
        <w:spacing w:after="0" w:line="276" w:lineRule="auto"/>
        <w:rPr>
          <w:sz w:val="20"/>
          <w:szCs w:val="20"/>
          <w:color w:val="auto"/>
        </w:rPr>
      </w:pPr>
      <w:r>
        <w:rPr>
          <w:rFonts w:ascii="Times New Roman" w:cs="Times New Roman" w:eastAsia="Times New Roman" w:hAnsi="Times New Roman"/>
          <w:sz w:val="18"/>
          <w:szCs w:val="18"/>
          <w:color w:val="auto"/>
        </w:rPr>
        <w:t>Our business currently consists of four segments: Nourish, Health &amp; Biosciences, Scent and Pharma Solutions. As part of our ongoing transformation and business initiatives, we intend to reorganize our segments around end markets: Food &amp; Beverage, Household &amp; Personal Care and Health.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Nourish</w:t>
      </w:r>
    </w:p>
    <w:p>
      <w:pPr>
        <w:spacing w:after="0" w:line="120"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As a leading creator of ingredients and solutions, we help our customers deliver on the promise of healthy and delicious foods and drinks that appeal to consumers. We create products in our regional creative centers which allows us to satisfy local customer preferences, while also helping to ensure regulatory compliance and production standards. We develop thousands of different Nourish offerings, most of which are tailor-made, and we continually develop new ingredients and solutions to meet changing consumer preferences and customer needs.</w:t>
      </w:r>
    </w:p>
    <w:p>
      <w:pPr>
        <w:spacing w:after="0" w:line="61" w:lineRule="exact"/>
        <w:rPr>
          <w:sz w:val="20"/>
          <w:szCs w:val="20"/>
          <w:color w:val="auto"/>
        </w:rPr>
      </w:pPr>
    </w:p>
    <w:p>
      <w:pPr>
        <w:jc w:val="both"/>
        <w:ind w:firstLine="329"/>
        <w:spacing w:after="0" w:line="276" w:lineRule="auto"/>
        <w:rPr>
          <w:sz w:val="20"/>
          <w:szCs w:val="20"/>
          <w:color w:val="auto"/>
        </w:rPr>
      </w:pPr>
      <w:r>
        <w:rPr>
          <w:rFonts w:ascii="Times New Roman" w:cs="Times New Roman" w:eastAsia="Times New Roman" w:hAnsi="Times New Roman"/>
          <w:sz w:val="18"/>
          <w:szCs w:val="18"/>
          <w:color w:val="auto"/>
        </w:rPr>
        <w:t>Our Nourish segment consists of an innovative and broad portfolio of natural-based ingredients to enhance nutritional value, texture and functionality in a wide range of beverage, dairy, bakery, confectionery and culinary applications and consists of three business units: Ingredients, Flavors and Food Designs.</w:t>
      </w:r>
    </w:p>
    <w:p>
      <w:pPr>
        <w:spacing w:after="0" w:line="52"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Ingredients </w:t>
      </w:r>
      <w:r>
        <w:rPr>
          <w:rFonts w:ascii="Times New Roman" w:cs="Times New Roman" w:eastAsia="Times New Roman" w:hAnsi="Times New Roman"/>
          <w:sz w:val="18"/>
          <w:szCs w:val="18"/>
          <w:color w:val="auto"/>
        </w:rPr>
        <w:t>include a diversified portfolio across natural and plant-based specialty food ingredients derived from herbs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plants that provide texturizing solutions used in the food industry, food protection solutions used in food and beverage products, as well as specialty soy and pea protein with value-added formulations, emulsifiers and sweeteners. Natural food protection ingredients consist of natural antioxidants and anti-microbials used for natural food preservation and shelf-life extension for beverages, cosmetic and healthcare products, pet food and feed additives.</w:t>
      </w:r>
    </w:p>
    <w:p>
      <w:pPr>
        <w:spacing w:after="0" w:line="6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Flavors </w:t>
      </w:r>
      <w:r>
        <w:rPr>
          <w:rFonts w:ascii="Times New Roman" w:cs="Times New Roman" w:eastAsia="Times New Roman" w:hAnsi="Times New Roman"/>
          <w:sz w:val="18"/>
          <w:szCs w:val="18"/>
          <w:color w:val="auto"/>
        </w:rPr>
        <w:t>include a range of flavor compounds and natural taste solutions that are ultimately used by our customers in savory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(soups, sauces, meat, fish, poultry, snacks, etc.), beverages (juice drinks, carbonated or flavored beverages, spirits, etc.), sweets (bakery products, candy, cereal, chewing gum, etc.), and dairy products (yogurt, ice cream, cheese, etc.). Flavors also include value-added spices and seasoning ingredients for meat, food service, convenience, alternative protein and culinary products.</w:t>
      </w:r>
    </w:p>
    <w:p>
      <w:pPr>
        <w:spacing w:after="0" w:line="61" w:lineRule="exact"/>
        <w:rPr>
          <w:sz w:val="20"/>
          <w:szCs w:val="20"/>
          <w:color w:val="auto"/>
        </w:rPr>
      </w:pPr>
    </w:p>
    <w:p>
      <w:pPr>
        <w:jc w:val="both"/>
        <w:ind w:firstLine="328"/>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Food Designs </w:t>
      </w:r>
      <w:r>
        <w:rPr>
          <w:rFonts w:ascii="Times New Roman" w:cs="Times New Roman" w:eastAsia="Times New Roman" w:hAnsi="Times New Roman"/>
          <w:sz w:val="18"/>
          <w:szCs w:val="18"/>
          <w:color w:val="auto"/>
        </w:rPr>
        <w:t>include savory solution products such as spices, sauces, marinades and mixtures. During the fourth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2022, we announced our entry into an agreement to sell the Savory Solutions Group. We expect that the transaction will close in the second quarter of 2023, subject to customary closing conditions. Additionally, Food Designs provide inclusion products that help with taste and texture by, among other things, combining flavorings with fruit, vegetables and other natural ingredients for a wide range of food products, such as health snacks, baked goods, cereals, pastries, ice cream and other dairy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880" w:h="15480" w:orient="portrait"/>
          <w:cols w:equalWidth="0" w:num="1">
            <w:col w:w="9360"/>
          </w:cols>
          <w:pgMar w:left="1260" w:top="1252" w:right="1260" w:bottom="254"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&amp; Biosciences</w:t>
      </w:r>
    </w:p>
    <w:p>
      <w:pPr>
        <w:spacing w:after="0" w:line="120" w:lineRule="exact"/>
        <w:rPr>
          <w:sz w:val="20"/>
          <w:szCs w:val="20"/>
          <w:color w:val="auto"/>
        </w:rPr>
      </w:pPr>
    </w:p>
    <w:p>
      <w:pPr>
        <w:jc w:val="both"/>
        <w:ind w:firstLine="329"/>
        <w:spacing w:after="0" w:line="259" w:lineRule="auto"/>
        <w:rPr>
          <w:sz w:val="20"/>
          <w:szCs w:val="20"/>
          <w:color w:val="auto"/>
        </w:rPr>
      </w:pPr>
      <w:r>
        <w:rPr>
          <w:rFonts w:ascii="Times New Roman" w:cs="Times New Roman" w:eastAsia="Times New Roman" w:hAnsi="Times New Roman"/>
          <w:sz w:val="18"/>
          <w:szCs w:val="18"/>
          <w:color w:val="auto"/>
        </w:rPr>
        <w:t>Our Health &amp; Biosciences segment consists of the development and production of an advanced biotechnology-derived portfolio of enzymes, food cultures, probiotics and specialty ingredients for food and non-food applications. Among many other applications, this biotechnology-driven portfolio includes cultures for use in fermented foods such as yogurt, cheese and fermented beverages, probiotic strains, many with documented clinical health claims for use as dietary supplements and through industrial fermentation the production of enzymes and microorganisms that provide product and process performance benefits to household detergents, animal feed, ethanol production and brewing. Health &amp; Biosciences is comprised of five business units: Health, Cultures &amp; Food Enzymes, Home &amp; Personal Care, Animal Nutrition and Grain Processing. On July 1, 2022, we completed the divestiture of our Microbial Control business unit (formerly a part of the Health &amp; Biosciences segment).</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Health </w:t>
      </w:r>
      <w:r>
        <w:rPr>
          <w:rFonts w:ascii="Times New Roman" w:cs="Times New Roman" w:eastAsia="Times New Roman" w:hAnsi="Times New Roman"/>
          <w:sz w:val="18"/>
          <w:szCs w:val="18"/>
          <w:color w:val="auto"/>
        </w:rPr>
        <w:t>provides ingredients for dietary supplements, functional food and beverage, specialized nutrition and pharma.</w:t>
      </w:r>
    </w:p>
    <w:p>
      <w:pPr>
        <w:spacing w:after="0" w:line="121"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Cultures &amp; Food Enzymes </w:t>
      </w:r>
      <w:r>
        <w:rPr>
          <w:rFonts w:ascii="Times New Roman" w:cs="Times New Roman" w:eastAsia="Times New Roman" w:hAnsi="Times New Roman"/>
          <w:sz w:val="18"/>
          <w:szCs w:val="18"/>
          <w:color w:val="auto"/>
        </w:rPr>
        <w:t>provides products that aim to serve the global demand for healthy, natural, clean label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fermented food for fresh dairy, cheese, bakery and brewing products. Such products contribute to extended shelf life, stability, taste and texture, helping our customers to improve their product offerings. The business’s enzyme solutions also allow our customers to provide low sugar, high fiber and lactose-free dairy products.</w:t>
      </w:r>
    </w:p>
    <w:p>
      <w:pPr>
        <w:spacing w:after="0" w:line="57"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i w:val="1"/>
          <w:iCs w:val="1"/>
          <w:color w:val="auto"/>
        </w:rPr>
        <w:t>Home &amp; Personal Ca</w:t>
      </w:r>
      <w:r>
        <w:rPr>
          <w:rFonts w:ascii="Times New Roman" w:cs="Times New Roman" w:eastAsia="Times New Roman" w:hAnsi="Times New Roman"/>
          <w:sz w:val="18"/>
          <w:szCs w:val="18"/>
          <w:color w:val="auto"/>
        </w:rPr>
        <w:t>re produces enzymes for laundry and dishwashing detergents, cleaning and textiles to help enhance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and process performance of products in the fabric and home care, textiles and industrials and personal care markets.</w:t>
      </w:r>
    </w:p>
    <w:p>
      <w:pPr>
        <w:spacing w:after="0" w:line="30"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Animal Nutrition </w:t>
      </w:r>
      <w:r>
        <w:rPr>
          <w:rFonts w:ascii="Times New Roman" w:cs="Times New Roman" w:eastAsia="Times New Roman" w:hAnsi="Times New Roman"/>
          <w:sz w:val="18"/>
          <w:szCs w:val="18"/>
          <w:color w:val="auto"/>
        </w:rPr>
        <w:t>produces feed enzymes and animal health solutions that help to improve welfare, performance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sustainability of livestock animal farming.</w:t>
      </w:r>
    </w:p>
    <w:p>
      <w:pPr>
        <w:spacing w:after="0" w:line="30" w:lineRule="exact"/>
        <w:rPr>
          <w:sz w:val="20"/>
          <w:szCs w:val="20"/>
          <w:color w:val="auto"/>
        </w:rPr>
      </w:pPr>
    </w:p>
    <w:p>
      <w:pPr>
        <w:ind w:right="1720" w:firstLine="328"/>
        <w:spacing w:after="0" w:line="380" w:lineRule="auto"/>
        <w:rPr>
          <w:sz w:val="20"/>
          <w:szCs w:val="20"/>
          <w:color w:val="auto"/>
        </w:rPr>
      </w:pPr>
      <w:r>
        <w:rPr>
          <w:rFonts w:ascii="Times New Roman" w:cs="Times New Roman" w:eastAsia="Times New Roman" w:hAnsi="Times New Roman"/>
          <w:sz w:val="18"/>
          <w:szCs w:val="18"/>
          <w:i w:val="1"/>
          <w:iCs w:val="1"/>
          <w:color w:val="auto"/>
        </w:rPr>
        <w:t xml:space="preserve">Grain Processing </w:t>
      </w:r>
      <w:r>
        <w:rPr>
          <w:rFonts w:ascii="Times New Roman" w:cs="Times New Roman" w:eastAsia="Times New Roman" w:hAnsi="Times New Roman"/>
          <w:sz w:val="18"/>
          <w:szCs w:val="18"/>
          <w:color w:val="auto"/>
        </w:rPr>
        <w:t>produces yeasts and enzymes for biofuel production and carbohydrate processing.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Scent</w:t>
      </w:r>
    </w:p>
    <w:p>
      <w:pPr>
        <w:spacing w:after="0" w:line="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Our Scent segment creates fragrance compounds, fragrance ingredients and cosmetic ingredients that are integral elements in the world’s finest perfumes and best-known household and personal care products. Consumer insights science and creativity are at the heart of our Scent business, and, along with our unique portfolio of natural and synthetic ingredients, global footprint, innovative technologies and know-how, and customer intimacy, we believe make us a market leader in scent products. The Scent segment is comprised of three business units: Fragrance Compounds, Fragrance Ingredients and Cosmetic Actives.</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Fragrance Compounds </w:t>
      </w:r>
      <w:r>
        <w:rPr>
          <w:rFonts w:ascii="Times New Roman" w:cs="Times New Roman" w:eastAsia="Times New Roman" w:hAnsi="Times New Roman"/>
          <w:sz w:val="18"/>
          <w:szCs w:val="18"/>
          <w:color w:val="auto"/>
        </w:rPr>
        <w:t>are unique and proprietary combinations of multiple fragrance ingredients that are ultimately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our customers in their consumer goods. Our creative and commercial teams within fragrance compounds are organized into two broad categories: fine fragrances and consumer fragrances.</w:t>
      </w:r>
    </w:p>
    <w:p>
      <w:pPr>
        <w:spacing w:after="0" w:line="5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Our perfumers harness creativity and leverage our innovative captive molecules, sustainable natural ingredients obtained with innovative processes, biotech ingredients, data science, and consumer insights to create unique and inspiring fragrances driving consumer preferences.</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Our fine fragrances focus on perfumes and colognes, creating global and local namesake brands, from high luxury to mass market, from market leading to ultra-niche products.</w:t>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consumer fragrances include three end-use categories of products:</w:t>
      </w:r>
    </w:p>
    <w:p>
      <w:pPr>
        <w:spacing w:after="0" w:line="121" w:lineRule="exact"/>
        <w:rPr>
          <w:sz w:val="20"/>
          <w:szCs w:val="20"/>
          <w:color w:val="auto"/>
        </w:rPr>
      </w:pPr>
    </w:p>
    <w:p>
      <w:pPr>
        <w:ind w:left="660" w:hanging="24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Fabric Care, including laundry detergents, fabric softeners and specialty laundry products;</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Care, including household cleaners, dishwashing detergents and air fresheners; and</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Body Care, including personal wash, hair care and toiletries products.</w:t>
      </w:r>
    </w:p>
    <w:p>
      <w:pPr>
        <w:spacing w:after="0" w:line="117"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Fragrance Ingredients </w:t>
      </w:r>
      <w:r>
        <w:rPr>
          <w:rFonts w:ascii="Times New Roman" w:cs="Times New Roman" w:eastAsia="Times New Roman" w:hAnsi="Times New Roman"/>
          <w:sz w:val="18"/>
          <w:szCs w:val="18"/>
          <w:color w:val="auto"/>
        </w:rPr>
        <w:t>are natural and synthetic, and active and functional ingredients that are used internally and sold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parties, including competitors, for use in the preparation of compounds. While the principal role of our fragrance ingredients facilities is to support our fragrance compounds business, we utilize excess manufacturing capacity to manufacture and sell certain fragrance ingredients to third parties, enabling us to leverage our fixed costs while maintaining the security of our supply for our perfumers and ultimately our customers. Flavor ingredients include natural flavor extracts, specialty botanical extracts, distillates, essential oils, citrus products, aroma chemicals and natural gums and resins. Such ingredients are used for food, beverage and flavors, and are often sold directly to food and beverage manufacturers who use them in producing consumer products.</w:t>
      </w:r>
    </w:p>
    <w:p>
      <w:pPr>
        <w:spacing w:after="0" w:line="66"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Cosmetic Actives </w:t>
      </w:r>
      <w:r>
        <w:rPr>
          <w:rFonts w:ascii="Times New Roman" w:cs="Times New Roman" w:eastAsia="Times New Roman" w:hAnsi="Times New Roman"/>
          <w:sz w:val="18"/>
          <w:szCs w:val="18"/>
          <w:color w:val="auto"/>
        </w:rPr>
        <w:t>designs, develops, manufactures and markets innovative ingredients for the cosmetics and personal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while offering active ingredients, functional ingredients, and delivery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880" w:h="15480" w:orient="portrait"/>
          <w:cols w:equalWidth="0" w:num="1">
            <w:col w:w="9360"/>
          </w:cols>
          <w:pgMar w:left="1260" w:top="1256" w:right="1260" w:bottom="254"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Pharma Solutions</w:t>
      </w:r>
    </w:p>
    <w:p>
      <w:pPr>
        <w:spacing w:after="0" w:line="120"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Our Pharma Solutions segment produces, among other things, a vast portfolio of cellulosics and seaweed-based pharmaceutical excipients, used to improve the functionality and delivery of active pharmaceutical ingredients, including controlled or modified drug release formulations, and enabling the development of more effective pharmaceutical finished dosage formulations. Our excipients are used in prescription and over-the-counter pharmaceuticals and dietary supplements. Our Pharma Solutions products also serve a variety of other specialty and industrial end-uses including coatings, inks, electronics, agriculture, and consumer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Insights, Research and Product Development Process</w:t>
      </w:r>
    </w:p>
    <w:p>
      <w:pPr>
        <w:spacing w:after="0" w:line="124" w:lineRule="exact"/>
        <w:rPr>
          <w:sz w:val="20"/>
          <w:szCs w:val="20"/>
          <w:color w:val="auto"/>
        </w:rPr>
      </w:pPr>
    </w:p>
    <w:p>
      <w:pPr>
        <w:jc w:val="both"/>
        <w:ind w:firstLine="328"/>
        <w:spacing w:after="0" w:line="272" w:lineRule="auto"/>
        <w:rPr>
          <w:sz w:val="20"/>
          <w:szCs w:val="20"/>
          <w:color w:val="auto"/>
        </w:rPr>
      </w:pPr>
      <w:r>
        <w:rPr>
          <w:rFonts w:ascii="Times New Roman" w:cs="Times New Roman" w:eastAsia="Times New Roman" w:hAnsi="Times New Roman"/>
          <w:sz w:val="18"/>
          <w:szCs w:val="18"/>
          <w:color w:val="auto"/>
        </w:rPr>
        <w:t>The markets in which we compete require constant innovation to remain competitive. Consumer preferences tend to drive change in our markets, and as science evolves and sustainability continues to be a key factor to customers and consumers, we must continue to strengthen our research and development platforms and adapt our capabilities to provide differentiated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Insights</w:t>
      </w:r>
    </w:p>
    <w:p>
      <w:pPr>
        <w:spacing w:after="0" w:line="11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We believe that the first step to creating an innovative and unique product experience begins with gaining insight into the consumer and emerging industry trends. By developing a deep understanding of what consumers value and prefer through our consumer insight programs, we are better able to focus our research and development and creative efforts.</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Our consumer science, insight and marketing teams interpret trends, monitor product launches, analyze quantitative market data and conduct numerous consumer interviews annually.</w:t>
      </w:r>
    </w:p>
    <w:p>
      <w:pPr>
        <w:spacing w:after="0" w:line="30"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Based on this information, we develop innovative and proprietary programs to evaluate potential products that enable us to understand the emotional connections between a prospective product and the consumer. We believe this ability to pinpoint the likelihood of a product’s success translates into stronger brand equity, resulting in increased returns and greater market share gains for our customers as well as for IFF.</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We consider our research and development infrastructure to be one of our key competencies and critical to our ability to provide differentiated products to our customers. We have strong product and application development pipelines built upon a global network that includes research and development, as well as regulatory and product stewardship capabilities.</w:t>
      </w:r>
    </w:p>
    <w:p>
      <w:pPr>
        <w:spacing w:after="0" w:line="52"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We focus and invest substantial resources in the research and development of new and innovative molecules, compounds, formulations and technologies and the application of these to our customers’ products. Using the knowledge gained from our consumer insights programs and business unit needs, we strategically focus our resources around key research and development platforms that address or anticipate consumer needs or preferences. Our innovation-based platforms are aligned with key consumer insight-led growth themes: improving home and personal care, empowering wellbeing and healthy lives, transforming food systems and accelerating climate solutions. By aligning our capabilities and resources to these platforms, we ensure the proper support and focus for each program so that our products can be further developed and eventually accepted for commercial application.</w:t>
      </w:r>
    </w:p>
    <w:p>
      <w:pPr>
        <w:spacing w:after="0" w:line="66"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As of December 31, 2022, we have 940 granted U.S. patents, and 546 pending U.S. patent applications, as well as numerous other granted patents and pending patent applications around the world. We have developed many unique molecules and delivery systems for our customers that are used as the foundations of successful products around the world.</w:t>
      </w:r>
    </w:p>
    <w:p>
      <w:pPr>
        <w:spacing w:after="0" w:line="5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Our principal basic research and development activities are located in Union Beach, New Jersey; Wilmington, Delaware; Palo Alto, California; Brabrand, Denmark; and Leiden, The Netherlands. At those locations, our scientists and application engineers, while collaborating with our other research and development centers around the world, support the:</w:t>
      </w:r>
    </w:p>
    <w:p>
      <w:pPr>
        <w:spacing w:after="0" w:line="52" w:lineRule="exact"/>
        <w:rPr>
          <w:sz w:val="20"/>
          <w:szCs w:val="20"/>
          <w:color w:val="auto"/>
        </w:rPr>
      </w:pPr>
    </w:p>
    <w:p>
      <w:pPr>
        <w:ind w:left="660" w:hanging="24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materials;</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technologies, such as delivery systems;</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new compounds; and</w:t>
      </w:r>
    </w:p>
    <w:p>
      <w:pPr>
        <w:spacing w:after="0" w:line="64"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 of existing ingredients and compounds.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we employed approximately 3,200 people globally in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880" w:h="15480" w:orient="portrait"/>
          <w:cols w:equalWidth="0" w:num="1">
            <w:col w:w="9360"/>
          </w:cols>
          <w:pgMar w:left="1260" w:top="1256" w:right="1260" w:bottom="254"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Creative Application</w:t>
      </w:r>
    </w:p>
    <w:p>
      <w:pPr>
        <w:spacing w:after="0" w:line="118"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Through our global network of creative centers and application laboratories, we create or adapt the basic Nourish, Health &amp; Biosciences, Scent and Pharma Solutions products that we have developed in the research and development process to commercialize for use in our customers’ consumer products. Our global creative teams consist of marketing, consumer science, consumer insights and technical application experts, from a wide range of cultures and nationalities. In close partnership with our customers’ product development groups, our creative teams create the experiences that our customers are seeking in order to satisfy consumer demands in each of their respective markets.</w:t>
      </w:r>
    </w:p>
    <w:p>
      <w:pPr>
        <w:spacing w:after="0" w:line="66"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New product development is driven by a variety of sources including requests from our customers, who are in need of specific products for use in a new or modified consumer product, or as a result of internal initiatives stemming from our consumer insights program. Our product development team works in partnership with our scientists and researchers to optimize the consumer appeal and relevance of our offerings. We use a collaborative process between our researchers, our product development team and our customers to perfect our offerings so they are ready to be included in the final consumer product.</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In addition to creating new products, our researchers and product development teams advise customers on ways to improve their existing products by moderating or substituting current ingredients with more readily accessible or less expensive materials enhancing their yield. This often results in creating a better value proposition for our customers.</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Most of our formulas are treated as trade secrets and remain our proprietary assets. Our business is not materially dependent upon any individual patent, trademark or license.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Center for Commercial Excellence</w:t>
      </w:r>
    </w:p>
    <w:p>
      <w:pPr>
        <w:spacing w:after="0" w:line="118"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Our recently established Center for Commercial Excellence utilizes a holistic and centralized approach towards commercial execution by, among other things:</w:t>
      </w:r>
    </w:p>
    <w:p>
      <w:pPr>
        <w:spacing w:after="0" w:line="30" w:lineRule="exact"/>
        <w:rPr>
          <w:sz w:val="20"/>
          <w:szCs w:val="20"/>
          <w:color w:val="auto"/>
        </w:rPr>
      </w:pPr>
    </w:p>
    <w:p>
      <w:pPr>
        <w:ind w:left="660" w:hanging="243"/>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Unlocking value through improved customer experience based on market, customer and pricing insights, digital and advanced analytics, sales enablement, and marketing excellence;</w:t>
      </w:r>
    </w:p>
    <w:p>
      <w:pPr>
        <w:spacing w:after="0" w:line="1" w:lineRule="exact"/>
        <w:rPr>
          <w:rFonts w:ascii="Times New Roman" w:cs="Times New Roman" w:eastAsia="Times New Roman" w:hAnsi="Times New Roman"/>
          <w:sz w:val="18"/>
          <w:szCs w:val="18"/>
          <w:color w:val="auto"/>
        </w:rPr>
      </w:pPr>
    </w:p>
    <w:p>
      <w:pPr>
        <w:jc w:val="both"/>
        <w:ind w:left="660" w:hanging="243"/>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further sales force capability to deliver growth targets, own the end-to-end process, and deliver sales synergies using CRM systems, pricing tools, segmentation models, commercial opportunity management, account plan development, training, and incentive plans;</w:t>
      </w:r>
    </w:p>
    <w:p>
      <w:pPr>
        <w:spacing w:after="0" w:line="1" w:lineRule="exact"/>
        <w:rPr>
          <w:rFonts w:ascii="Times New Roman" w:cs="Times New Roman" w:eastAsia="Times New Roman" w:hAnsi="Times New Roman"/>
          <w:sz w:val="18"/>
          <w:szCs w:val="18"/>
          <w:color w:val="auto"/>
        </w:rPr>
      </w:pPr>
    </w:p>
    <w:p>
      <w:pPr>
        <w:ind w:left="660" w:hanging="243"/>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driving new business development opportunities, including analyzing potential markets, assessing client needs, and identifying competitor response strategies; and</w:t>
      </w:r>
    </w:p>
    <w:p>
      <w:pPr>
        <w:spacing w:after="0" w:line="1" w:lineRule="exact"/>
        <w:rPr>
          <w:rFonts w:ascii="Times New Roman" w:cs="Times New Roman" w:eastAsia="Times New Roman" w:hAnsi="Times New Roman"/>
          <w:sz w:val="18"/>
          <w:szCs w:val="18"/>
          <w:color w:val="auto"/>
        </w:rPr>
      </w:pPr>
    </w:p>
    <w:p>
      <w:pPr>
        <w:ind w:left="660" w:hanging="244"/>
        <w:spacing w:after="0" w:line="30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collaboration across divisions by collecting and disseminating best practices and anchoring business decisions in data-driven insights.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We strive to provide our customers with consistent and quality products on a timely and cost-effective basis by managing all aspects of the supply chain, from raw material sourcing through manufacturing, quality assurance, regulatory compliance and distribution.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01010"/>
        </w:rPr>
        <w:t>Procurement</w:t>
      </w:r>
    </w:p>
    <w:p>
      <w:pPr>
        <w:spacing w:after="0" w:line="11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In connection with the manufacture of our products, we use natural and synthetic ingredients. As of December 31, 2022, we purchased approximately 30,000 different raw materials sourced from an extensive network of domestic and international suppliers and distributors.</w:t>
      </w:r>
    </w:p>
    <w:p>
      <w:pPr>
        <w:spacing w:after="0" w:line="52"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Natural ingredients are derived from flowers, fruits and other botanical products, as well as from animal and marine products, and commodity crops like wheat, corn and soy. They contain varying numbers of organic chemicals that are responsible for the fragrance, flavor, antioxidant properties and nutrition of the natural products. Natural products are purchased directly from farms or in processed and semi-processed forms. Some natural products are used in compounds in the state in which they are obtained and others are used after further processing. Natural products, together with various chemicals, are also used as raw materials for the manufacture of synthetic ingredients by chemical processes.</w:t>
      </w:r>
    </w:p>
    <w:p>
      <w:pPr>
        <w:spacing w:after="0" w:line="66"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In order to ensure our supply of raw materials, achieve favorable pricing and provide timely transparency regarding inflationary trends to our customers, we continue to focus on:</w:t>
      </w:r>
    </w:p>
    <w:p>
      <w:pPr>
        <w:spacing w:after="0" w:line="30" w:lineRule="exact"/>
        <w:rPr>
          <w:sz w:val="20"/>
          <w:szCs w:val="20"/>
          <w:color w:val="auto"/>
        </w:rPr>
      </w:pPr>
    </w:p>
    <w:p>
      <w:pPr>
        <w:ind w:left="660" w:hanging="244"/>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under contract with fixed or formula-based pricing for set time periods;</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hedging for raw materials we purchase that can be hedged against liquid commodity assets;</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supplier relationships to gain access to supplies we would not otherwise have;</w:t>
      </w:r>
    </w:p>
    <w:p>
      <w:pPr>
        <w:spacing w:after="0" w:line="64"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indexed pricing;</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complexity of our formulations;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880" w:h="15480" w:orient="portrait"/>
          <w:cols w:equalWidth="0" w:num="1">
            <w:col w:w="9360"/>
          </w:cols>
          <w:pgMar w:left="1260" w:top="1258" w:right="1260" w:bottom="254" w:gutter="0" w:footer="0" w:header="0"/>
        </w:sectPr>
      </w:pPr>
    </w:p>
    <w:bookmarkStart w:id="13" w:name="page14"/>
    <w:bookmarkEnd w:id="13"/>
    <w:p>
      <w:pPr>
        <w:ind w:left="660" w:hanging="24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profitability of whether to buy or make an ingredient; and</w:t>
      </w:r>
    </w:p>
    <w:p>
      <w:pPr>
        <w:spacing w:after="0" w:line="64"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from local countries with our own procurement professionals.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101010"/>
        </w:rPr>
        <w:t>Manufacturing and Distribution</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As of December 31, 2022, we had approximately 220 manufacturing facilities, creative centers and application laboratories located in approximately 45 different countries. Our major manufacturing facilities are located in the United States, The Netherlands, Spain, Germany, Indonesia, Turkey, Brazil, Mexico, Slovenia, China, India, Ireland, Finland, Denmark, Belgium and Singapore.</w:t>
      </w:r>
    </w:p>
    <w:p>
      <w:pPr>
        <w:spacing w:after="0" w:line="57"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During the last few years, we undertook an initiative to optimize our global operations footprint to efficiently and cost-effectively deliver value to our global customers. Since inception of the initiative, we completed the closure of 22 sites. By the completion of this initiative, targeted to occur by the end of 2023, we expect to close approximately 30 manufacturing sites.</w:t>
      </w:r>
    </w:p>
    <w:p>
      <w:pPr>
        <w:spacing w:after="0" w:line="52"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Our supply chain initiatives are focused on increasing capacity and investing in key technologies. Within our more mature markets, we tend to focus on consolidation and cost optimization as well as the implementation of new technologies. In addition to our own manufacturing facilities, we develop relationships with third parties, including contract manufacturing organizations, that expand our access to the technologies, capabilities and capacity that we need to better serve our customers.</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 xml:space="preserve">For more detailed information about risks related to our supply chain, please refer to Item 1A, “Risk Factors” – </w:t>
      </w:r>
      <w:r>
        <w:rPr>
          <w:rFonts w:ascii="Times New Roman" w:cs="Times New Roman" w:eastAsia="Times New Roman" w:hAnsi="Times New Roman"/>
          <w:sz w:val="18"/>
          <w:szCs w:val="18"/>
          <w:i w:val="1"/>
          <w:iCs w:val="1"/>
          <w:color w:val="auto"/>
        </w:rPr>
        <w:t>Supply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chain disruptions, geopolitical developments, including the Russia-Ukraine conflict, or climate change events (including severe weather events) may adversely affect our suppliers or our procurement of raw materials, and thus may impact our business and financial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24"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Following the integration with Nutrition and Biosciences, Inc. (</w:t>
      </w:r>
      <w:r>
        <w:rPr>
          <w:rFonts w:ascii="Times New Roman" w:cs="Times New Roman" w:eastAsia="Times New Roman" w:hAnsi="Times New Roman"/>
          <w:sz w:val="18"/>
          <w:szCs w:val="18"/>
          <w:color w:val="101010"/>
        </w:rPr>
        <w:t>“</w:t>
      </w:r>
      <w:r>
        <w:rPr>
          <w:rFonts w:ascii="Times New Roman" w:cs="Times New Roman" w:eastAsia="Times New Roman" w:hAnsi="Times New Roman"/>
          <w:sz w:val="18"/>
          <w:szCs w:val="18"/>
          <w:color w:val="auto"/>
        </w:rPr>
        <w:t>N&amp;B</w:t>
      </w:r>
      <w:r>
        <w:rPr>
          <w:rFonts w:ascii="Times New Roman" w:cs="Times New Roman" w:eastAsia="Times New Roman" w:hAnsi="Times New Roman"/>
          <w:sz w:val="18"/>
          <w:szCs w:val="18"/>
          <w:color w:val="101010"/>
        </w:rPr>
        <w:t>”)</w:t>
      </w:r>
      <w:r>
        <w:rPr>
          <w:rFonts w:ascii="Times New Roman" w:cs="Times New Roman" w:eastAsia="Times New Roman" w:hAnsi="Times New Roman"/>
          <w:sz w:val="18"/>
          <w:szCs w:val="18"/>
          <w:color w:val="auto"/>
        </w:rPr>
        <w:t>, we launched a refreshed and comprehensive Environmental, Social, and Governance (</w:t>
      </w:r>
      <w:r>
        <w:rPr>
          <w:rFonts w:ascii="Times New Roman" w:cs="Times New Roman" w:eastAsia="Times New Roman" w:hAnsi="Times New Roman"/>
          <w:sz w:val="18"/>
          <w:szCs w:val="18"/>
          <w:color w:val="101010"/>
        </w:rPr>
        <w:t>“ESG”</w:t>
      </w:r>
      <w:r>
        <w:rPr>
          <w:rFonts w:ascii="Times New Roman" w:cs="Times New Roman" w:eastAsia="Times New Roman" w:hAnsi="Times New Roman"/>
          <w:sz w:val="18"/>
          <w:szCs w:val="18"/>
          <w:color w:val="auto"/>
        </w:rPr>
        <w:t>) roadmap, the ‘Do More Good Plan’ (</w:t>
      </w:r>
      <w:r>
        <w:rPr>
          <w:rFonts w:ascii="Times New Roman" w:cs="Times New Roman" w:eastAsia="Times New Roman" w:hAnsi="Times New Roman"/>
          <w:sz w:val="18"/>
          <w:szCs w:val="18"/>
          <w:color w:val="101010"/>
        </w:rPr>
        <w:t>“</w:t>
      </w:r>
      <w:r>
        <w:rPr>
          <w:rFonts w:ascii="Times New Roman" w:cs="Times New Roman" w:eastAsia="Times New Roman" w:hAnsi="Times New Roman"/>
          <w:sz w:val="18"/>
          <w:szCs w:val="18"/>
          <w:color w:val="auto"/>
        </w:rPr>
        <w:t>the Plan</w:t>
      </w:r>
      <w:r>
        <w:rPr>
          <w:rFonts w:ascii="Times New Roman" w:cs="Times New Roman" w:eastAsia="Times New Roman" w:hAnsi="Times New Roman"/>
          <w:sz w:val="18"/>
          <w:szCs w:val="18"/>
          <w:color w:val="101010"/>
        </w:rPr>
        <w:t>”</w:t>
      </w:r>
      <w:r>
        <w:rPr>
          <w:rFonts w:ascii="Times New Roman" w:cs="Times New Roman" w:eastAsia="Times New Roman" w:hAnsi="Times New Roman"/>
          <w:sz w:val="18"/>
          <w:szCs w:val="18"/>
          <w:color w:val="auto"/>
        </w:rPr>
        <w:t>), which aligns with IFF’s purpose of applying science and creativity for a better world. The Plan includes ambitious 2030 goals across four key areas: Environmental, Social, Governance and Sustainable Solutions.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Climate &amp; Planetary Health</w:t>
      </w:r>
    </w:p>
    <w:p>
      <w:pPr>
        <w:spacing w:after="0" w:line="11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Supporting environmental stewardship across our operations, including commitments to climate action, zero waste to landfill, water stewardship solutions and an acceleration of our responsible sourcing practices by promoting regenerative ecosystems and achieving zero deforestation for strategic raw material supply chains.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Equity &amp; Wellbeing</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Advancing our commitment to people and communities by strengthening diversity, equity &amp; inclusion within our workforce, while continuously improving our safety program by striving for an injury-free workplace, and achieving world-class safety performance. Within our responsible sourcing program, the Company will continue to promote human rights and animal welfare, while supporting farmers’ livelihoods and ensuring prosperous and equitable value chains.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 Transparency &amp; Accountability</w:t>
      </w:r>
    </w:p>
    <w:p>
      <w:pPr>
        <w:spacing w:after="0" w:line="118"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Continuing our commitment to good governance which starts with our Board and Executive Committee and is supported by a strong governance framework, including having a robust program to ensure compliance with our Codes of Conduct and adherence to the highest standards of ethics, integrity, honesty and respect in our dealings internally and with our business partners. To enhance accountability in line with evolving stakeholder expectations, the Company has launched ESG metrics tied to executive compensation, while expanding oversight for ESG at the Board of Directors level.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Sustainable Solutions</w:t>
      </w:r>
    </w:p>
    <w:p>
      <w:pPr>
        <w:spacing w:after="0" w:line="119"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Focusing on the sustainability value proposition and growth for all new innovations as we assist customers in achieving their own ESG goals by delivering an expanded suite of sustainable solutions for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880" w:h="15480" w:orient="portrait"/>
          <w:cols w:equalWidth="0" w:num="1">
            <w:col w:w="9360"/>
          </w:cols>
          <w:pgMar w:left="1260" w:top="1259" w:right="1260" w:bottom="254" w:gutter="0" w:footer="0" w:header="0"/>
        </w:sectPr>
      </w:pPr>
    </w:p>
    <w:bookmarkStart w:id="14" w:name="page15"/>
    <w:bookmarkEnd w:id="14"/>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In 2022, our Company continued to achieve notable recognitions in these areas. We qualified as a constituent of the Dow Jones Sustainability Indices for the third consecutive year, a family of best-in-class benchmarks for investors who recognize that sustainable business practices are critical to generating long-term shareholder value. Once again named to both the 2022 World Index and the North America Index, this distinction validates IFF’s leadership position in sustainability performance and underscores our commitment to executing on key ESG priorities. IFF was also recognized by the Human Rights Campaign as a 2022 Best Place to Work for LBGTQ Equality and named among the 2022 Best Places to Work for Disability Inclusion by Disability:IN, for the fourth and third consecutive years, respectively. In 2022, we were named to the CDP “A List” for corporate transparency and action on climate change for the eighth consecutive year, and we also maintained a leadership position on CDP’s lists for water security and forests. We were also awarded the 2022 EcoVadis Platinum sustainability rating for the second time, placing IFF among the top 1% of companies assessed. IFF continues to be listed in the FTSE4Good Index series as well as in the Euronext Vigeo World 120 Index for ESG performance.</w:t>
      </w:r>
    </w:p>
    <w:p>
      <w:pPr>
        <w:spacing w:after="0" w:line="6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In addition, in 2022 IFF further aligned with the recommendations of the Task Force on Climate-Related Financial Disclosures (TCFD) by initiating the first phase of a climate scenario analysis to understand and quantify the potential risks and opportunities related to climate change. For more detailed information about our ESG programs and performance, please refer to our annual ESG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4"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We develop, produce and market our products in a number of jurisdictions around the world and are subject to federal, regional and local legislation and regulations in various countries. Our products, which among other industries, are intended for use in food, beverage, pharmaceutical and dietary supplements, home and personal care, feed, cosmetics industries, are subject to strict quality and regulatory standards and environmental laws and regulations. We in turn are required to meet strict standards which, in recent years, have become increasingly stringent and affect both existing as well as new products. While the cost of compliance with such laws and regulations leads to higher overall capital expenditure, which can be significant in certain periods, we do not currently anticipate any material capital expenditures necessary to comply with such laws and regulations. We continue to monitor existing and pending laws and regulations and while the impact of regulatory changes cannot be predicted with certainty, compliance has not had, and is not expected to have a material adverse effect on capital expenditure, earnings or competitive position.</w:t>
      </w:r>
    </w:p>
    <w:p>
      <w:pPr>
        <w:spacing w:after="0" w:line="72"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Our products and operations are subject to regulation by governmental agencies in each of the markets in which we operate. These agencies include (1) the Food and Drug Administration and equivalent international agencies that regulate flavors, pharmaceutical excipients and other ingredients in consumer products, (2) the Environmental Protection Agency and equivalent international agencies that regulate our manufacturing facilities, as well as fragrance products (including encapsulation systems), (3) the Occupational Safety and Health Administration and equivalent international agencies that regulate the working conditions in our manufacturing, research laboratories and creative centers, (4) local and international agencies that regulate trade and customs, (5) the Drug Enforcement Administration and other local or international agencies that regulate controlled chemicals that we use in our operations, (6) the Chemical Registration/Notification authorities that regulate chemicals that we use in, or transport to, the various countries in which we manufacture and/or market our products, and (7) the U.S. Department of Agriculture and equivalent international authorities with respect to, among other things, labeling of consumer products. We have seen an increase in registration and reporting requirements concerning the use of certain chemicals in a number of countries, such as Registration, Evaluation, Authorization and Restriction of Chemicals (“REACH”) regulations in the European Union, as well as similar regulations in other countries.</w:t>
      </w:r>
    </w:p>
    <w:p>
      <w:pPr>
        <w:spacing w:after="0" w:line="72"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an increase in the stringency of environmental regulation and enforcement of environmental standards, and the costs of compliance have risen significantly, a trend we expect will continue in the future.</w:t>
      </w:r>
    </w:p>
    <w:p>
      <w:pPr>
        <w:spacing w:after="0" w:line="66"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 xml:space="preserve">For more detailed information about risks related to governmental regulation applicable to the Company, please refer to Item 1A, “Risk Factors” – </w:t>
      </w:r>
      <w:r>
        <w:rPr>
          <w:rFonts w:ascii="Times New Roman" w:cs="Times New Roman" w:eastAsia="Times New Roman" w:hAnsi="Times New Roman"/>
          <w:sz w:val="18"/>
          <w:szCs w:val="18"/>
          <w:i w:val="1"/>
          <w:iCs w:val="1"/>
          <w:color w:val="auto"/>
        </w:rPr>
        <w:t>If we are unable to comply with regulatory requirements and industry standards, including 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product safety, quality, efficacy and environmental impact, we could incur significant costs and suffer reputational harm which could adversely affect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880" w:h="15480" w:orient="portrait"/>
          <w:cols w:equalWidth="0" w:num="1">
            <w:col w:w="9360"/>
          </w:cols>
          <w:pgMar w:left="1260" w:top="1255" w:right="1260" w:bottom="254"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The markets for our products are part of a larger market that supplies a wide variety of ingredients and compounds used in consumer products. The broader market includes functional foods and food additives, including seasonings, texturizers, spices, cultures, enzymes, probiotics, certain food-related commodities, and fortified products, as well as natural ingredients, nutritional ingredients, supplements and active cosmetic ingredients. Our acquisitions have also expanded our reach in products within the functional food ingredient market, including ingredients focused on improving the health and wellness characteristics of a consumer good, the dietary supplement, pharmaceutical ingredient, infant nutrition markets and the cosmetic actives market.</w:t>
      </w:r>
    </w:p>
    <w:p>
      <w:pPr>
        <w:spacing w:after="0" w:line="285"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global market for our products has expanded, primarily as a result of an increase in demand for, and an increase in the variety of, consumer products.</w:t>
      </w:r>
    </w:p>
    <w:p>
      <w:pPr>
        <w:spacing w:after="0" w:line="30"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market for our products is highly competitive. Our main competitors consist of (1) other large global companies, such as Givaudan, Firmenich Symrise, DSM, Kerry, ADM, Novozymes, Chr. Hansen, (2) mid-sized companies, (3) numerous regional and local manufacturers and (4) consumer product companies who may develop their own competing products.</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We believe that our ability to create products with the sustainability related attributes customers expect and compete successfully in the various sub-market is based on:</w:t>
      </w:r>
    </w:p>
    <w:p>
      <w:pPr>
        <w:spacing w:after="0" w:line="30" w:lineRule="exact"/>
        <w:rPr>
          <w:sz w:val="20"/>
          <w:szCs w:val="20"/>
          <w:color w:val="auto"/>
        </w:rPr>
      </w:pPr>
    </w:p>
    <w:p>
      <w:pPr>
        <w:ind w:left="660" w:hanging="2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in-depth understanding of consumers,</w:t>
      </w:r>
    </w:p>
    <w:p>
      <w:pPr>
        <w:spacing w:after="0" w:line="68" w:lineRule="exact"/>
        <w:rPr>
          <w:rFonts w:ascii="Times New Roman" w:cs="Times New Roman" w:eastAsia="Times New Roman" w:hAnsi="Times New Roman"/>
          <w:sz w:val="18"/>
          <w:szCs w:val="18"/>
          <w:color w:val="auto"/>
        </w:rPr>
      </w:pPr>
    </w:p>
    <w:p>
      <w:pPr>
        <w:ind w:left="660" w:hanging="2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integration,</w:t>
      </w:r>
    </w:p>
    <w:p>
      <w:pPr>
        <w:spacing w:after="0" w:line="68" w:lineRule="exact"/>
        <w:rPr>
          <w:rFonts w:ascii="Times New Roman" w:cs="Times New Roman" w:eastAsia="Times New Roman" w:hAnsi="Times New Roman"/>
          <w:sz w:val="18"/>
          <w:szCs w:val="18"/>
          <w:color w:val="auto"/>
        </w:rPr>
      </w:pPr>
    </w:p>
    <w:p>
      <w:pPr>
        <w:ind w:left="660" w:hanging="2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and technological advances from our research and development activities and, as applicable, our scientists,</w:t>
      </w:r>
    </w:p>
    <w:p>
      <w:pPr>
        <w:spacing w:after="0" w:line="64" w:lineRule="exact"/>
        <w:rPr>
          <w:rFonts w:ascii="Times New Roman" w:cs="Times New Roman" w:eastAsia="Times New Roman" w:hAnsi="Times New Roman"/>
          <w:sz w:val="18"/>
          <w:szCs w:val="18"/>
          <w:color w:val="auto"/>
        </w:rPr>
      </w:pPr>
    </w:p>
    <w:p>
      <w:pPr>
        <w:ind w:left="660" w:hanging="2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products to customers’ needs,</w:t>
      </w:r>
    </w:p>
    <w:p>
      <w:pPr>
        <w:spacing w:after="0" w:line="68" w:lineRule="exact"/>
        <w:rPr>
          <w:rFonts w:ascii="Times New Roman" w:cs="Times New Roman" w:eastAsia="Times New Roman" w:hAnsi="Times New Roman"/>
          <w:sz w:val="18"/>
          <w:szCs w:val="18"/>
          <w:color w:val="auto"/>
        </w:rPr>
      </w:pPr>
    </w:p>
    <w:p>
      <w:pPr>
        <w:ind w:left="660" w:hanging="2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on a global scale, and</w:t>
      </w:r>
    </w:p>
    <w:p>
      <w:pPr>
        <w:spacing w:after="0" w:line="64" w:lineRule="exact"/>
        <w:rPr>
          <w:rFonts w:ascii="Times New Roman" w:cs="Times New Roman" w:eastAsia="Times New Roman" w:hAnsi="Times New Roman"/>
          <w:sz w:val="18"/>
          <w:szCs w:val="18"/>
          <w:color w:val="auto"/>
        </w:rPr>
      </w:pPr>
    </w:p>
    <w:p>
      <w:pPr>
        <w:ind w:left="660" w:hanging="243"/>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regulatory capabilities.</w:t>
      </w:r>
    </w:p>
    <w:p>
      <w:pPr>
        <w:spacing w:after="0" w:line="12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In certain industries, large multi-national customers and, increasingly, mid-sized customers, may limit the number of their suppliers by placing some on “core lists,” giving them priority for development and production of their new or modified products. To compete more successfully, we must make continued investments in customer relationships and tailor our research and development efforts to anticipate customers’ needs, provide effective service and secure and maintain inclusion on these “core lists.”</w:t>
      </w:r>
    </w:p>
    <w:p>
      <w:pPr>
        <w:spacing w:after="0" w:line="61"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Private label manufacturers, mostly medium-sized, local or small food manufacturers, constitute a growing segment in certain markets where we are active. Over the last decade, with the strengthening of supermarket chains, online platforms and growing consumer price consciousness, consumption of private label products has grown at a faster rate than the brand food industry rate. We believe that new business opportunities will continue to arise from these clients as they are increasing their demand for products that are similar to existing products in the market, distinctive premium products, as well as more innovative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24"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success of our business is built on our talented employees. At December 31, 2022, we had approximately 24,600 employees worldwide, of whom approximately 5,500 are employed in the United States. Our workforce plans and talent management programs support our employees to best deliver the business strategy and ensure their development and engagement.</w:t>
      </w: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Culture and Values</w:t>
      </w:r>
    </w:p>
    <w:p>
      <w:pPr>
        <w:spacing w:after="0" w:line="118" w:lineRule="exact"/>
        <w:rPr>
          <w:sz w:val="20"/>
          <w:szCs w:val="20"/>
          <w:color w:val="auto"/>
        </w:rPr>
      </w:pPr>
    </w:p>
    <w:p>
      <w:pPr>
        <w:jc w:val="both"/>
        <w:ind w:firstLine="328"/>
        <w:spacing w:after="0" w:line="263" w:lineRule="auto"/>
        <w:rPr>
          <w:sz w:val="20"/>
          <w:szCs w:val="20"/>
          <w:color w:val="auto"/>
        </w:rPr>
      </w:pPr>
      <w:r>
        <w:rPr>
          <w:rFonts w:ascii="Times New Roman" w:cs="Times New Roman" w:eastAsia="Times New Roman" w:hAnsi="Times New Roman"/>
          <w:sz w:val="18"/>
          <w:szCs w:val="18"/>
          <w:color w:val="auto"/>
        </w:rPr>
        <w:t>Our culture is based on our five corporate values of empowerment, expertise, innovation, integrity and responsibility, and the expression of these values can be seen and felt throughout our history. Our employees appreciate that they contribute to products that touch and enhance the lives of millions of people around the world. Our robust culture ambassador programs continue to engage a broad portion of the IFF community in building common identity and shared purpose and strengthen engagement and motivation by providing programming on IFF values and providing recognition of individuals who exemplify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880" w:h="15480" w:orient="portrait"/>
          <w:cols w:equalWidth="0" w:num="1">
            <w:col w:w="9360"/>
          </w:cols>
          <w:pgMar w:left="1260" w:top="1252" w:right="1260" w:bottom="254"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Leadership and Development</w:t>
      </w:r>
    </w:p>
    <w:p>
      <w:pPr>
        <w:spacing w:after="0" w:line="118"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Our leadership development efforts empower employees to become forward-looking, inspiring and capable decision-makers, agents of change and great leaders. A full portfolio of proprietary leadership development programs and an overarching talent management system is in place to support growth of leaders and at all levels. To cultivate our employees’ talent and build sustainable long-lasting careers at IFF, we provide tools that enable our employees to envision their career journeys in the form of articulated career “ladders” and “frameworks”. We offer corresponding development opportunities to include specialized courses for employees globally by partnering with leading institutions and universities to help provide the latest training and development offerings at all levels. We also offer to our employees an extensive library of on-demand courses and materials on leadership, management and professional skills development. Those learning resources are integrated into our human capital platform, allowing managers and employees to establish digitalized learning plans that are ultimately captured as a part of their employee profile. Further, those offerings complement our talent acquisition strategy and organized and personalized feedback process, supported by industry-leading assessment tools.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&amp; Inclusion (DE&amp;I)</w:t>
      </w:r>
    </w:p>
    <w:p>
      <w:pPr>
        <w:spacing w:after="0" w:line="11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 xml:space="preserve">Our DE&amp;I vision: </w:t>
      </w:r>
      <w:r>
        <w:rPr>
          <w:rFonts w:ascii="Times New Roman" w:cs="Times New Roman" w:eastAsia="Times New Roman" w:hAnsi="Times New Roman"/>
          <w:sz w:val="18"/>
          <w:szCs w:val="18"/>
          <w:i w:val="1"/>
          <w:iCs w:val="1"/>
          <w:color w:val="auto"/>
        </w:rPr>
        <w:t>“Your Uniqueness Unleashes Our Potential.</w:t>
      </w:r>
      <w:r>
        <w:rPr>
          <w:rFonts w:ascii="Times New Roman" w:cs="Times New Roman" w:eastAsia="Times New Roman" w:hAnsi="Times New Roman"/>
          <w:sz w:val="18"/>
          <w:szCs w:val="18"/>
          <w:color w:val="auto"/>
        </w:rPr>
        <w:t>” sets the tone for our colleagues to be empowered to bring their whole authentic selves to work. To this end, we are dedicated to nurturing a truly inclusive and equitable culture through the three pillars of our DE&amp;I mission:</w:t>
      </w:r>
    </w:p>
    <w:p>
      <w:pPr>
        <w:spacing w:after="0" w:line="53" w:lineRule="exact"/>
        <w:rPr>
          <w:sz w:val="20"/>
          <w:szCs w:val="20"/>
          <w:color w:val="auto"/>
        </w:rPr>
      </w:pPr>
    </w:p>
    <w:p>
      <w:pPr>
        <w:ind w:left="660" w:hanging="24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People embody the mosaic of the markets we serve and are empowered to transform the future;</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Spirit nurtures an inclusive and fair culture where every voice is valued and heard; and</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World embraces diversity of thought and strives to do more good, creating a better future for all.</w:t>
      </w:r>
    </w:p>
    <w:p>
      <w:pPr>
        <w:spacing w:after="0" w:line="117" w:lineRule="exact"/>
        <w:rPr>
          <w:sz w:val="20"/>
          <w:szCs w:val="20"/>
          <w:color w:val="auto"/>
        </w:rPr>
      </w:pPr>
    </w:p>
    <w:p>
      <w:pPr>
        <w:jc w:val="both"/>
        <w:ind w:firstLine="328"/>
        <w:spacing w:after="0" w:line="256" w:lineRule="auto"/>
        <w:rPr>
          <w:sz w:val="20"/>
          <w:szCs w:val="20"/>
          <w:color w:val="auto"/>
        </w:rPr>
      </w:pPr>
      <w:r>
        <w:rPr>
          <w:rFonts w:ascii="Times New Roman" w:cs="Times New Roman" w:eastAsia="Times New Roman" w:hAnsi="Times New Roman"/>
          <w:sz w:val="18"/>
          <w:szCs w:val="18"/>
          <w:color w:val="auto"/>
        </w:rPr>
        <w:t>In 2022, the IFF DE&amp;I program continued to grow in reach and impact. We continued our commitment of gender equality using the Economic Dividends for Gender Equity Methodological Framework, a leading global gender equity benchmark and certification. IFF was the first company ever to retain a global “Move” rating from the Edge Certified Foundation, this time across the harmonized company and 27 countries up from 22 countries. IFF also achieved an Edge Plus rating for intersectionality inclusion. IFF was also named for the first time to the 2022 Bloomberg Gender Equality Index recognizing, among other things, our commitment to transparency. IFF was also listed as a “Best Place to Work for Disability Inclusion” for the second consecutive year with a 100% score. The AccessAbilities colleague community continued to push forward awareness and inclusive behaviors for persons with disabilities. Moreover, IFF maintained our “Best Place to Work for LGBTIQ+ Equality” with 100% scores in Human Rights Campaign Corporate Equality Index and the HRC Equidad Mexico and also achieved a Bronze Level recognition form the India Workplace Equality Index. Throughout 2022, our employee resource groups known as “colleague communities” continued to thrive and mature. Our communities; Women@IFF, Prisma, Black Excellence, IFF Unidos, ACE, AccessAbilities, NextGen@IFF and SERVE (which supports veteran and first responder issues), hosted several events throughout the year and continued to expand their footprint around the globe through chapter development &amp; new members. In 2022, our second annual Global Inclusion Week delivered over 5,000 hours of training further advancing our journey towards inclusion.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Occupational Health &amp; Safety</w:t>
      </w:r>
    </w:p>
    <w:p>
      <w:pPr>
        <w:spacing w:after="0" w:line="118"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Employee safety is one of the cornerstones of our business. Our occupational health and safety management system requires and encourages employees and supervised contractors at sites globally to uphold IFF’s protocols, report any incidents and suggest improvements that improve the safety of work sites. Our safety management system is based on U.S. Occupational Safety and Health Administration (“OSHA”) standards which apply to all of our sites in conjunction with any local regulations. To work toward a safer workplace, we have put in place a set of protocols and programs related to three areas of focus: (a) safety governance (setting and updating comprehensive safety policies and procedures), (b) safety training of employees based on IFF policies and local requirements, and (c) safety culture characterized by awareness and communication. In response to the novel coronavirus (“COVID-19”) pandemic, and while following the requirements of local authorities, we have developed protocols and mandatory site guidelines to continue to protect the health and safety of employees at each location.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Reports</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We make available free of charge on or through the “Investors”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66"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SEC maintains an Internet website, www.sec.gov, that contains reports, proxy and information statements and other information that we file electronically with the SEC.</w:t>
      </w: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880" w:h="15480" w:orient="portrait"/>
          <w:cols w:equalWidth="0" w:num="1">
            <w:col w:w="9360"/>
          </w:cols>
          <w:pgMar w:left="1260" w:top="1258" w:right="1260" w:bottom="254" w:gutter="0" w:footer="0" w:header="0"/>
        </w:sectPr>
      </w:pPr>
    </w:p>
    <w:bookmarkStart w:id="17" w:name="page18"/>
    <w:bookmarkEnd w:id="17"/>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A copy of our By-Laws, Corporate Governance Guidelines, Codes of Conduct, and the charters of the Audit Committee, Human Capital &amp; Compensation Committee, Governance &amp; Corporate Responsibility Committee and Innovation Committee of the Board of Directors are posted on the “Investors” section of our website, www.iff.com.</w:t>
      </w:r>
    </w:p>
    <w:p>
      <w:pPr>
        <w:spacing w:after="0" w:line="52"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Our principal executive offices are located at 521 West 57th Street, New York, New York 10019 and 200 Powder Mill Road, Wilmington, Delaware 19803.</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current executive officers of the Company, as of February 27, 2023, are listed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22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7"/>
                <w:szCs w:val="17"/>
                <w:color w:val="auto"/>
              </w:rPr>
              <w:t>Frank Clyburn</w:t>
            </w:r>
          </w:p>
        </w:tc>
        <w:tc>
          <w:tcPr>
            <w:tcW w:w="4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656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7"/>
                <w:szCs w:val="17"/>
                <w:color w:val="auto"/>
              </w:rPr>
              <w:t>Chief Executive Officer and member of our Board of Directors</w:t>
            </w:r>
          </w:p>
        </w:tc>
        <w:tc>
          <w:tcPr>
            <w:tcW w:w="0" w:type="dxa"/>
            <w:vAlign w:val="bottom"/>
          </w:tcPr>
          <w:p>
            <w:pPr>
              <w:spacing w:after="0"/>
              <w:rPr>
                <w:sz w:val="1"/>
                <w:szCs w:val="1"/>
                <w:color w:val="auto"/>
              </w:rPr>
            </w:pPr>
          </w:p>
        </w:tc>
      </w:tr>
      <w:tr>
        <w:trPr>
          <w:trHeight w:val="223"/>
        </w:trPr>
        <w:tc>
          <w:tcPr>
            <w:tcW w:w="2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auto"/>
              </w:rPr>
              <w:t>Deborah Borg</w:t>
            </w:r>
          </w:p>
        </w:tc>
        <w:tc>
          <w:tcPr>
            <w:tcW w:w="440" w:type="dxa"/>
            <w:vAlign w:val="bottom"/>
            <w:gridSpan w:val="4"/>
            <w:vMerge w:val="restart"/>
          </w:tcPr>
          <w:p>
            <w:pPr>
              <w:jc w:val="center"/>
              <w:ind w:left="37"/>
              <w:spacing w:after="0"/>
              <w:rPr>
                <w:sz w:val="20"/>
                <w:szCs w:val="20"/>
                <w:color w:val="auto"/>
              </w:rPr>
            </w:pPr>
            <w:r>
              <w:rPr>
                <w:rFonts w:ascii="Times New Roman" w:cs="Times New Roman" w:eastAsia="Times New Roman" w:hAnsi="Times New Roman"/>
                <w:sz w:val="17"/>
                <w:szCs w:val="17"/>
                <w:color w:val="auto"/>
                <w:w w:val="93"/>
              </w:rPr>
              <w:t>46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Executive Vice President, Chief Human Resources, Diversity &amp; Inclusion and Communications</w:t>
            </w:r>
          </w:p>
        </w:tc>
        <w:tc>
          <w:tcPr>
            <w:tcW w:w="0" w:type="dxa"/>
            <w:vAlign w:val="bottom"/>
          </w:tcPr>
          <w:p>
            <w:pPr>
              <w:spacing w:after="0"/>
              <w:rPr>
                <w:sz w:val="1"/>
                <w:szCs w:val="1"/>
                <w:color w:val="auto"/>
              </w:rPr>
            </w:pPr>
          </w:p>
        </w:tc>
      </w:tr>
      <w:tr>
        <w:trPr>
          <w:trHeight w:val="225"/>
        </w:trPr>
        <w:tc>
          <w:tcPr>
            <w:tcW w:w="2280" w:type="dxa"/>
            <w:vAlign w:val="bottom"/>
            <w:gridSpan w:val="3"/>
            <w:vMerge w:val="continue"/>
          </w:tcPr>
          <w:p>
            <w:pPr>
              <w:spacing w:after="0"/>
              <w:rPr>
                <w:sz w:val="19"/>
                <w:szCs w:val="19"/>
                <w:color w:val="auto"/>
              </w:rPr>
            </w:pPr>
          </w:p>
        </w:tc>
        <w:tc>
          <w:tcPr>
            <w:tcW w:w="44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Officer</w:t>
            </w: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220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Michael DeVeau</w:t>
            </w:r>
          </w:p>
        </w:tc>
        <w:tc>
          <w:tcPr>
            <w:tcW w:w="40" w:type="dxa"/>
            <w:vAlign w:val="bottom"/>
            <w:shd w:val="clear" w:color="auto" w:fill="DDDDDD"/>
          </w:tcPr>
          <w:p>
            <w:pPr>
              <w:spacing w:after="0"/>
              <w:rPr>
                <w:sz w:val="23"/>
                <w:szCs w:val="23"/>
                <w:color w:val="auto"/>
              </w:rPr>
            </w:pPr>
          </w:p>
        </w:tc>
        <w:tc>
          <w:tcPr>
            <w:tcW w:w="80" w:type="dxa"/>
            <w:vAlign w:val="bottom"/>
            <w:gridSpan w:val="2"/>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7"/>
                <w:szCs w:val="17"/>
                <w:color w:val="auto"/>
              </w:rPr>
              <w:t>Senior Vice President, Corporate Finance and Investor Relations</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2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Ralf Finzel</w:t>
            </w:r>
          </w:p>
        </w:tc>
        <w:tc>
          <w:tcPr>
            <w:tcW w:w="4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40" w:type="dxa"/>
            <w:vAlign w:val="bottom"/>
            <w:vMerge w:val="restart"/>
          </w:tcPr>
          <w:p>
            <w:pPr>
              <w:spacing w:after="0"/>
              <w:rPr>
                <w:sz w:val="5"/>
                <w:szCs w:val="5"/>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 President, Global Operations Officer</w:t>
            </w:r>
          </w:p>
        </w:tc>
        <w:tc>
          <w:tcPr>
            <w:tcW w:w="0" w:type="dxa"/>
            <w:vAlign w:val="bottom"/>
          </w:tcPr>
          <w:p>
            <w:pPr>
              <w:spacing w:after="0"/>
              <w:rPr>
                <w:sz w:val="1"/>
                <w:szCs w:val="1"/>
                <w:color w:val="auto"/>
              </w:rPr>
            </w:pPr>
          </w:p>
        </w:tc>
      </w:tr>
      <w:tr>
        <w:trPr>
          <w:trHeight w:val="211"/>
        </w:trPr>
        <w:tc>
          <w:tcPr>
            <w:tcW w:w="40" w:type="dxa"/>
            <w:vAlign w:val="bottom"/>
            <w:tcBorders>
              <w:bottom w:val="single" w:sz="8" w:color="DDDDDD"/>
            </w:tcBorders>
          </w:tcPr>
          <w:p>
            <w:pPr>
              <w:spacing w:after="0"/>
              <w:rPr>
                <w:sz w:val="18"/>
                <w:szCs w:val="18"/>
                <w:color w:val="auto"/>
              </w:rPr>
            </w:pPr>
          </w:p>
        </w:tc>
        <w:tc>
          <w:tcPr>
            <w:tcW w:w="2200" w:type="dxa"/>
            <w:vAlign w:val="bottom"/>
            <w:tcBorders>
              <w:bottom w:val="single" w:sz="8" w:color="DDDDDD"/>
            </w:tcBorders>
            <w:vMerge w:val="continue"/>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40" w:type="dxa"/>
            <w:vAlign w:val="bottom"/>
            <w:tcBorders>
              <w:bottom w:val="single" w:sz="8" w:color="DDDDDD"/>
            </w:tcBorders>
            <w:vMerge w:val="continue"/>
          </w:tcPr>
          <w:p>
            <w:pPr>
              <w:spacing w:after="0"/>
              <w:rPr>
                <w:sz w:val="18"/>
                <w:szCs w:val="18"/>
                <w:color w:val="auto"/>
              </w:rPr>
            </w:pPr>
          </w:p>
        </w:tc>
        <w:tc>
          <w:tcPr>
            <w:tcW w:w="320" w:type="dxa"/>
            <w:vAlign w:val="bottom"/>
            <w:tcBorders>
              <w:bottom w:val="single" w:sz="8" w:color="DDDDDD"/>
            </w:tcBorders>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6560" w:type="dxa"/>
            <w:vAlign w:val="bottom"/>
            <w:tcBorders>
              <w:bottom w:val="single" w:sz="8" w:color="DDDDD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 w:type="dxa"/>
            <w:vAlign w:val="bottom"/>
            <w:shd w:val="clear" w:color="auto" w:fill="DDDDDD"/>
          </w:tcPr>
          <w:p>
            <w:pPr>
              <w:spacing w:after="0"/>
              <w:rPr>
                <w:sz w:val="22"/>
                <w:szCs w:val="22"/>
                <w:color w:val="auto"/>
              </w:rPr>
            </w:pPr>
          </w:p>
        </w:tc>
        <w:tc>
          <w:tcPr>
            <w:tcW w:w="220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Simon Herriott</w:t>
            </w:r>
          </w:p>
        </w:tc>
        <w:tc>
          <w:tcPr>
            <w:tcW w:w="40" w:type="dxa"/>
            <w:vAlign w:val="bottom"/>
            <w:shd w:val="clear" w:color="auto" w:fill="DDDDDD"/>
          </w:tcPr>
          <w:p>
            <w:pPr>
              <w:spacing w:after="0"/>
              <w:rPr>
                <w:sz w:val="22"/>
                <w:szCs w:val="22"/>
                <w:color w:val="auto"/>
              </w:rPr>
            </w:pPr>
          </w:p>
        </w:tc>
        <w:tc>
          <w:tcPr>
            <w:tcW w:w="80" w:type="dxa"/>
            <w:vAlign w:val="bottom"/>
            <w:gridSpan w:val="2"/>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7"/>
                <w:szCs w:val="17"/>
                <w:color w:val="auto"/>
              </w:rPr>
              <w:t>President, Health &amp; Biosciences</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Jennifer Johnson</w:t>
            </w:r>
          </w:p>
        </w:tc>
        <w:tc>
          <w:tcPr>
            <w:tcW w:w="4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Executive Vice President, General Counsel and Corporate Secretary</w:t>
            </w:r>
          </w:p>
        </w:tc>
        <w:tc>
          <w:tcPr>
            <w:tcW w:w="0" w:type="dxa"/>
            <w:vAlign w:val="bottom"/>
          </w:tcPr>
          <w:p>
            <w:pPr>
              <w:spacing w:after="0"/>
              <w:rPr>
                <w:sz w:val="1"/>
                <w:szCs w:val="1"/>
                <w:color w:val="auto"/>
              </w:rPr>
            </w:pPr>
          </w:p>
        </w:tc>
      </w:tr>
      <w:tr>
        <w:trPr>
          <w:trHeight w:val="278"/>
        </w:trPr>
        <w:tc>
          <w:tcPr>
            <w:tcW w:w="40" w:type="dxa"/>
            <w:vAlign w:val="bottom"/>
            <w:shd w:val="clear" w:color="auto" w:fill="DDDDDD"/>
          </w:tcPr>
          <w:p>
            <w:pPr>
              <w:spacing w:after="0"/>
              <w:rPr>
                <w:sz w:val="24"/>
                <w:szCs w:val="24"/>
                <w:color w:val="auto"/>
              </w:rPr>
            </w:pPr>
          </w:p>
        </w:tc>
        <w:tc>
          <w:tcPr>
            <w:tcW w:w="220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Ana Paula Mendonça</w:t>
            </w:r>
          </w:p>
        </w:tc>
        <w:tc>
          <w:tcPr>
            <w:tcW w:w="40" w:type="dxa"/>
            <w:vAlign w:val="bottom"/>
            <w:shd w:val="clear" w:color="auto" w:fill="DDDDDD"/>
          </w:tcPr>
          <w:p>
            <w:pPr>
              <w:spacing w:after="0"/>
              <w:rPr>
                <w:sz w:val="24"/>
                <w:szCs w:val="24"/>
                <w:color w:val="auto"/>
              </w:rPr>
            </w:pPr>
          </w:p>
        </w:tc>
        <w:tc>
          <w:tcPr>
            <w:tcW w:w="80" w:type="dxa"/>
            <w:vAlign w:val="bottom"/>
            <w:gridSpan w:val="2"/>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7"/>
                <w:szCs w:val="17"/>
                <w:color w:val="auto"/>
              </w:rPr>
              <w:t>Senior Vice President, Commercial Excellence</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7"/>
                <w:szCs w:val="17"/>
                <w:color w:val="auto"/>
              </w:rPr>
              <w:t>Glenn Richter</w:t>
            </w:r>
          </w:p>
        </w:tc>
        <w:tc>
          <w:tcPr>
            <w:tcW w:w="40" w:type="dxa"/>
            <w:vAlign w:val="bottom"/>
          </w:tcPr>
          <w:p>
            <w:pPr>
              <w:spacing w:after="0"/>
              <w:rPr>
                <w:sz w:val="23"/>
                <w:szCs w:val="23"/>
                <w:color w:val="auto"/>
              </w:rPr>
            </w:pPr>
          </w:p>
        </w:tc>
        <w:tc>
          <w:tcPr>
            <w:tcW w:w="8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Executive Vice President and Chief Financial &amp; Business Transformation Officer</w:t>
            </w:r>
          </w:p>
        </w:tc>
        <w:tc>
          <w:tcPr>
            <w:tcW w:w="0" w:type="dxa"/>
            <w:vAlign w:val="bottom"/>
          </w:tcPr>
          <w:p>
            <w:pPr>
              <w:spacing w:after="0"/>
              <w:rPr>
                <w:sz w:val="1"/>
                <w:szCs w:val="1"/>
                <w:color w:val="auto"/>
              </w:rPr>
            </w:pPr>
          </w:p>
        </w:tc>
      </w:tr>
      <w:tr>
        <w:trPr>
          <w:trHeight w:val="278"/>
        </w:trPr>
        <w:tc>
          <w:tcPr>
            <w:tcW w:w="40" w:type="dxa"/>
            <w:vAlign w:val="bottom"/>
            <w:shd w:val="clear" w:color="auto" w:fill="DDDDDD"/>
          </w:tcPr>
          <w:p>
            <w:pPr>
              <w:spacing w:after="0"/>
              <w:rPr>
                <w:sz w:val="24"/>
                <w:szCs w:val="24"/>
                <w:color w:val="auto"/>
              </w:rPr>
            </w:pPr>
          </w:p>
        </w:tc>
        <w:tc>
          <w:tcPr>
            <w:tcW w:w="220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rPr>
              <w:t>Angela Strzelecki</w:t>
            </w:r>
          </w:p>
        </w:tc>
        <w:tc>
          <w:tcPr>
            <w:tcW w:w="40" w:type="dxa"/>
            <w:vAlign w:val="bottom"/>
            <w:shd w:val="clear" w:color="auto" w:fill="DDDDDD"/>
          </w:tcPr>
          <w:p>
            <w:pPr>
              <w:spacing w:after="0"/>
              <w:rPr>
                <w:sz w:val="24"/>
                <w:szCs w:val="24"/>
                <w:color w:val="auto"/>
              </w:rPr>
            </w:pPr>
          </w:p>
        </w:tc>
        <w:tc>
          <w:tcPr>
            <w:tcW w:w="80" w:type="dxa"/>
            <w:vAlign w:val="bottom"/>
            <w:gridSpan w:val="2"/>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56</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7"/>
                <w:szCs w:val="17"/>
                <w:color w:val="auto"/>
              </w:rPr>
              <w:t>President, Pharma Solutions</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2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Vic Verma</w:t>
            </w:r>
          </w:p>
        </w:tc>
        <w:tc>
          <w:tcPr>
            <w:tcW w:w="4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40" w:type="dxa"/>
            <w:vAlign w:val="bottom"/>
            <w:vMerge w:val="restart"/>
          </w:tcPr>
          <w:p>
            <w:pPr>
              <w:spacing w:after="0"/>
              <w:rPr>
                <w:sz w:val="5"/>
                <w:szCs w:val="5"/>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Executive Vice President, Chief Information Officer</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22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DDDDDD"/>
          </w:tcPr>
          <w:p>
            <w:pPr>
              <w:spacing w:after="0"/>
              <w:rPr>
                <w:sz w:val="24"/>
                <w:szCs w:val="24"/>
                <w:color w:val="auto"/>
              </w:rPr>
            </w:pPr>
          </w:p>
        </w:tc>
        <w:tc>
          <w:tcPr>
            <w:tcW w:w="2200" w:type="dxa"/>
            <w:vAlign w:val="bottom"/>
            <w:shd w:val="clear" w:color="auto" w:fill="DDDDDD"/>
          </w:tcPr>
          <w:p>
            <w:pPr>
              <w:spacing w:after="0"/>
              <w:rPr>
                <w:sz w:val="20"/>
                <w:szCs w:val="20"/>
                <w:color w:val="auto"/>
              </w:rPr>
            </w:pPr>
            <w:r>
              <w:rPr>
                <w:rFonts w:ascii="Times New Roman" w:cs="Times New Roman" w:eastAsia="Times New Roman" w:hAnsi="Times New Roman"/>
                <w:sz w:val="17"/>
                <w:szCs w:val="17"/>
                <w:color w:val="auto"/>
                <w:highlight w:val="lightGray"/>
                <w:w w:val="97"/>
              </w:rPr>
              <w:t>Christophe Fauchon de Villeplee</w:t>
            </w:r>
          </w:p>
        </w:tc>
        <w:tc>
          <w:tcPr>
            <w:tcW w:w="40" w:type="dxa"/>
            <w:vAlign w:val="bottom"/>
            <w:shd w:val="clear" w:color="auto" w:fill="DDDDDD"/>
          </w:tcPr>
          <w:p>
            <w:pPr>
              <w:spacing w:after="0"/>
              <w:rPr>
                <w:sz w:val="24"/>
                <w:szCs w:val="24"/>
                <w:color w:val="auto"/>
              </w:rPr>
            </w:pPr>
          </w:p>
        </w:tc>
        <w:tc>
          <w:tcPr>
            <w:tcW w:w="80" w:type="dxa"/>
            <w:vAlign w:val="bottom"/>
            <w:gridSpan w:val="2"/>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7"/>
                <w:szCs w:val="17"/>
                <w:color w:val="auto"/>
              </w:rPr>
              <w:t>President, Scent</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Gregory Yep</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Executive Vice President, Chief Research &amp; Development, Global Integrated Solutions &amp;</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Sustainability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1471295</wp:posOffset>
                </wp:positionH>
                <wp:positionV relativeFrom="paragraph">
                  <wp:posOffset>-285750</wp:posOffset>
                </wp:positionV>
                <wp:extent cx="0" cy="14732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7320"/>
                        </a:xfrm>
                        <a:prstGeom prst="line">
                          <a:avLst/>
                        </a:prstGeom>
                        <a:solidFill>
                          <a:srgbClr val="FFFFFF"/>
                        </a:solidFill>
                        <a:ln w="44462">
                          <a:solidFill>
                            <a:srgbClr val="FFFFFF"/>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85pt,-22.4999pt" to="115.85pt,-10.8999pt" o:allowincell="f" strokecolor="#FFFFFF" strokeweight="3.5009pt"/>
            </w:pict>
          </mc:Fallback>
        </mc:AlternateContent>
      </w:r>
    </w:p>
    <w:p>
      <w:pPr>
        <w:spacing w:after="0" w:line="43"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Frank Clyburn </w:t>
      </w:r>
      <w:r>
        <w:rPr>
          <w:rFonts w:ascii="Times New Roman" w:cs="Times New Roman" w:eastAsia="Times New Roman" w:hAnsi="Times New Roman"/>
          <w:sz w:val="18"/>
          <w:szCs w:val="18"/>
          <w:color w:val="auto"/>
        </w:rPr>
        <w:t>has served as our Chief Executive Officer and a member of our Board of Directors since February 14,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Clyburn joined us from Merck, where he served as Executive Vice President and President of Human Health. While at Merck since 2008, Mr. Clyburn held a number of positions, including Chief Commercial Officer, inaugural president of the company’s Global Oncology business, and President of the Primary Care and Women’s Health businesses. Before joining Merck, Mr. Clyburn was Vice President of the Oncology and Internal Medicine business units at Sanofi Aventis and held a wide range of leadership roles with that company.</w:t>
      </w:r>
    </w:p>
    <w:p>
      <w:pPr>
        <w:spacing w:after="0" w:line="66"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Deborah Borg </w:t>
      </w:r>
      <w:r>
        <w:rPr>
          <w:rFonts w:ascii="Times New Roman" w:cs="Times New Roman" w:eastAsia="Times New Roman" w:hAnsi="Times New Roman"/>
          <w:sz w:val="18"/>
          <w:szCs w:val="18"/>
          <w:color w:val="auto"/>
        </w:rPr>
        <w:t>has served as our Executive Vice President, Chief Human Resources, Diversity &amp; Inclusion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Communications Officer since August 29, 2022. Ms. Borg joined IFF from Bunge Limited, where she served as Chief Human Resources and Communications Officer since 2016. Prior to joining Bunge, she served in a variety of business leadership and Human Resources roles in Australia, Switzerland and the U.S. for Dow Chemical between 2000 and 2015. She began her career at General Motors Australia.</w:t>
      </w:r>
    </w:p>
    <w:p>
      <w:pPr>
        <w:spacing w:after="0" w:line="61" w:lineRule="exact"/>
        <w:rPr>
          <w:sz w:val="20"/>
          <w:szCs w:val="20"/>
          <w:color w:val="auto"/>
        </w:rPr>
      </w:pPr>
    </w:p>
    <w:p>
      <w:pPr>
        <w:jc w:val="both"/>
        <w:ind w:left="40" w:firstLine="328"/>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Michael DeVeau </w:t>
      </w:r>
      <w:r>
        <w:rPr>
          <w:rFonts w:ascii="Times New Roman" w:cs="Times New Roman" w:eastAsia="Times New Roman" w:hAnsi="Times New Roman"/>
          <w:sz w:val="18"/>
          <w:szCs w:val="18"/>
          <w:color w:val="auto"/>
        </w:rPr>
        <w:t>has served as our Senior Vice President, Corporate Finance and Investor Relations since December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had previously served as Senior Vice President, Chief Investor Relations &amp; Communications Officer from February 2021 to December 2022, Vice President, Investor Relations, Communications, and Chief of Staff from September 2014 to February 2021, as well as divisional Chief Financial Officer, Scent from 2018 to 2020 and head of Corporate Strategy from 2016 to 2018. Since joining the Company in 2009 as head of investor relations, Mr. DeVeau has held various roles of increasing scope and responsibility in communications, finance and strategy. Prior to joining the Company, he served in leadership positions in investor relations, finance and corporate development at PepsiCo. Mr. DeVeau began his career as an Equity Research Analyst at Citigroup Investment Research.</w:t>
      </w:r>
    </w:p>
    <w:p>
      <w:pPr>
        <w:spacing w:after="0" w:line="66"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Ralf Finzel </w:t>
      </w:r>
      <w:r>
        <w:rPr>
          <w:rFonts w:ascii="Times New Roman" w:cs="Times New Roman" w:eastAsia="Times New Roman" w:hAnsi="Times New Roman"/>
          <w:sz w:val="18"/>
          <w:szCs w:val="18"/>
          <w:color w:val="auto"/>
        </w:rPr>
        <w:t>has served as our Executive Vice President, Global Operations Officer since November 1, 2022. Previously,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Finzel served as Vice President of Integrated Supply Chain for Honeywell International Performance Materials and Technologies Business Group in Houston since 2020. Prior to that, he served as Vice President of Integrated Supply Chain for Honeywell International Building Technologies Business Group from July 2017 to March 2020. He first joined Honeywell in Germany as an operations manager in 1999, and held various roles of increasing responsibility and scope in Europe and the U.S. Prior to joining Honeywell, he worked in research and plant management roles for Hoechst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880" w:h="15480" w:orient="portrait"/>
          <w:cols w:equalWidth="0" w:num="1">
            <w:col w:w="9400"/>
          </w:cols>
          <w:pgMar w:left="1220" w:top="1255" w:right="1260" w:bottom="254" w:gutter="0" w:footer="0" w:header="0"/>
        </w:sectPr>
      </w:pPr>
    </w:p>
    <w:bookmarkStart w:id="18" w:name="page19"/>
    <w:bookmarkEnd w:id="18"/>
    <w:p>
      <w:pPr>
        <w:jc w:val="both"/>
        <w:ind w:firstLine="328"/>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Simon Herriott </w:t>
      </w:r>
      <w:r>
        <w:rPr>
          <w:rFonts w:ascii="Times New Roman" w:cs="Times New Roman" w:eastAsia="Times New Roman" w:hAnsi="Times New Roman"/>
          <w:sz w:val="18"/>
          <w:szCs w:val="18"/>
          <w:color w:val="auto"/>
        </w:rPr>
        <w:t>has served as our President, Health &amp; Biosciences since February 2021. From 2019 to February 2021,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Herriott was Vice President and Global Business Director, Health &amp; Biosciences for the N&amp;B Business and from 2016 to 2019, he served as Global Business Director, Bioactives, Industrial Biosciences and Vice President, Danisco Inc. Mr. Herriott was employed by DuPont’s predecessor or formerly affiliated companies for 15 years and held a variety of roles, including Global Business Director, Biomaterials, Industrial Biosciences.</w:t>
      </w:r>
    </w:p>
    <w:p>
      <w:pPr>
        <w:spacing w:after="0" w:line="61"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Jennifer Johnson </w:t>
      </w:r>
      <w:r>
        <w:rPr>
          <w:rFonts w:ascii="Times New Roman" w:cs="Times New Roman" w:eastAsia="Times New Roman" w:hAnsi="Times New Roman"/>
          <w:sz w:val="18"/>
          <w:szCs w:val="18"/>
          <w:color w:val="auto"/>
        </w:rPr>
        <w:t>has served as our Executive Vice President, General Counsel and Corporate Secretary since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From 2019 to February 2021, Dr. Johnson served as Associate General Counsel for the N&amp;B Business. Dr. Johnson joined DuPont’s predecessor or formerly affiliated companies in 2013, where she led the legal team for DuPont’s former Industrial Biosciences business as Associate General Counsel and subsequently served as Assistant Chief Intellectual Property Counsel for Industrial Biosciences. Prior to joining DuPont, Dr. Johnson was a Partner at the law firm of Finnegan, Henderson, Farabow, Garrett &amp; Dunner, L.L.P.</w:t>
      </w:r>
    </w:p>
    <w:p>
      <w:pPr>
        <w:spacing w:after="0" w:line="97"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Ana Paula Mendonça </w:t>
      </w:r>
      <w:r>
        <w:rPr>
          <w:rFonts w:ascii="Times New Roman" w:cs="Times New Roman" w:eastAsia="Times New Roman" w:hAnsi="Times New Roman"/>
          <w:sz w:val="18"/>
          <w:szCs w:val="18"/>
          <w:color w:val="auto"/>
        </w:rPr>
        <w:t>has served as our Senior Vice President, Commercial Excellence since December 2022. Prior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she served as Vice President, President Global Ingredients &amp; Regional General Manager, North America, Consumer Fragrances since February 2022, and, before that, as Vice President, Regional General Manager, North America, Consumer Fragrances since January 2016. Ms. Mendonça joined IFF more than 30 years ago, and her broad experience expands across Category Management (Fine Fragrance, Home, Fabric, and Beauty), Global Marketing, and Product Innovation.</w:t>
      </w:r>
    </w:p>
    <w:p>
      <w:pPr>
        <w:spacing w:after="0" w:line="30"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Glenn Richter </w:t>
      </w:r>
      <w:r>
        <w:rPr>
          <w:rFonts w:ascii="Times New Roman" w:cs="Times New Roman" w:eastAsia="Times New Roman" w:hAnsi="Times New Roman"/>
          <w:sz w:val="18"/>
          <w:szCs w:val="18"/>
          <w:color w:val="auto"/>
        </w:rPr>
        <w:t>has served as our Executive Vice President, Chief Financial &amp; Business Transformation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2023. Mr. Richter served as our Executive Vice President, Chief Financial Officer from September 2021 to February 2023. Prior to joining IFF, Mr. Richter was Chief Financial Officer of TIAA, having worked at the company in various leadership roles from April 2015 to July 2021. Previously, Mr. Richter worked for Nuveen Investments as Chief Operating Officer and Chief Administrative Officer and before joining Nuveen Investments in 2006, he served as Executive Vice President, Chief Financial Officer for RR Donnelley &amp; Sons, and prior to that he was Executive Vice President &amp; CFO of Sears, Roebuck and Co. and Chairman of Sears Canada, a publicly-traded affiliate.</w:t>
      </w:r>
    </w:p>
    <w:p>
      <w:pPr>
        <w:spacing w:after="0" w:line="65"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Angela Strzelecki </w:t>
      </w:r>
      <w:r>
        <w:rPr>
          <w:rFonts w:ascii="Times New Roman" w:cs="Times New Roman" w:eastAsia="Times New Roman" w:hAnsi="Times New Roman"/>
          <w:sz w:val="18"/>
          <w:szCs w:val="18"/>
          <w:color w:val="auto"/>
        </w:rPr>
        <w:t>has served as our President, Pharma Solutions since February 2021. From 2019 to February 2021,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Strzelecki was Platform Leader, Pharma Solutions for the N&amp;B Business. From 2013 to 2019, Dr. Strzelecki held a variety of leadership positions at DuPont or its formerly affiliated companies, including Platform Leader, Pharma Solutions for the Nutrition and Health business, Planning Director - Corporate Planning and M&amp;A , Global Business Director - Electronics &amp; Communications, and the North America Business Director - Building Innovations.</w:t>
      </w:r>
    </w:p>
    <w:p>
      <w:pPr>
        <w:spacing w:after="0" w:line="6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Vic Verma </w:t>
      </w:r>
      <w:r>
        <w:rPr>
          <w:rFonts w:ascii="Times New Roman" w:cs="Times New Roman" w:eastAsia="Times New Roman" w:hAnsi="Times New Roman"/>
          <w:sz w:val="18"/>
          <w:szCs w:val="18"/>
          <w:color w:val="auto"/>
        </w:rPr>
        <w:t>has served as our Executive Vice President, Chief Information Officer since February 2021 and had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Senior Vice President, Chief Information Officer from 2016 to February 2021. Before joining the Company, Mr. Verma served as Vice President of Global Infrastructure Operations at American Express, a multinational financial services company. Prior to that, Mr. Verma held several other leadership positions at American Express as well as Vice President, Division CIO and management consulting roles with GlaxoSmithKline, Bristol Myers Squibb and PricewaterhouseCoopers.</w:t>
      </w:r>
    </w:p>
    <w:p>
      <w:pPr>
        <w:spacing w:after="0" w:line="61"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i w:val="1"/>
          <w:iCs w:val="1"/>
          <w:color w:val="auto"/>
        </w:rPr>
        <w:t xml:space="preserve">Christophe Fauchon de Villeplee </w:t>
      </w:r>
      <w:r>
        <w:rPr>
          <w:rFonts w:ascii="Times New Roman" w:cs="Times New Roman" w:eastAsia="Times New Roman" w:hAnsi="Times New Roman"/>
          <w:sz w:val="18"/>
          <w:szCs w:val="18"/>
          <w:color w:val="auto"/>
        </w:rPr>
        <w:t>has served as our President, Scent since September 2021. Mr. de Villeplee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Global Consumer Fragrances. He originally joined our Company in 1999 and has previously held positions of increasing responsibility, including sales, group country management, regional general management of fragrances, North America, and vice-president of Global Fine Fragrances and Beauty Care.</w:t>
      </w:r>
    </w:p>
    <w:p>
      <w:pPr>
        <w:spacing w:after="0" w:line="57"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Gregory Yep </w:t>
      </w:r>
      <w:r>
        <w:rPr>
          <w:rFonts w:ascii="Times New Roman" w:cs="Times New Roman" w:eastAsia="Times New Roman" w:hAnsi="Times New Roman"/>
          <w:sz w:val="18"/>
          <w:szCs w:val="18"/>
          <w:color w:val="auto"/>
        </w:rPr>
        <w:t>has served as our Executive Vice President, Chief Research &amp; Development, Global Integrated Solutions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Sustainability Officer since February 2021. From June 2016 to February 2021, he served as our Executive Vice President, Chief Research &amp; Development and Sustainability Officer. From January 2015 to June 2016, Dr. Yep was Senior Vice President of Research, Development &amp; Applications with The Kerry Group, a taste and nutrition company. Prior to The Kerry Group, Dr. Yep was Senior Vice President of R&amp;D at PepsiCo, a multinational food, snack and beverage corporation, and was Global Vice President, Application Technologies at Givaudan Flavors and Fragrances, a multinational manufacturer of flavors, fragrances and active cosmetic ingredients. Earlier in his career, Dr. Yep was at McCormick &amp; Company, a flavor, seasonings and spices company, where he held executive roles of increasing responsibility in food science.</w:t>
      </w:r>
    </w:p>
    <w:p>
      <w:pPr>
        <w:spacing w:after="0" w:line="200" w:lineRule="exact"/>
        <w:rPr>
          <w:sz w:val="20"/>
          <w:szCs w:val="20"/>
          <w:color w:val="auto"/>
        </w:rPr>
      </w:pPr>
    </w:p>
    <w:p>
      <w:pPr>
        <w:spacing w:after="0" w:line="26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7" w:lineRule="exact"/>
        <w:rPr>
          <w:sz w:val="20"/>
          <w:szCs w:val="20"/>
          <w:color w:val="auto"/>
        </w:rPr>
      </w:pPr>
    </w:p>
    <w:p>
      <w:pPr>
        <w:jc w:val="both"/>
        <w:ind w:firstLine="329"/>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in this section entitled “Risk Factors” in Item 1A. of this report. These risks include, but are not limited to, the following:</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880" w:h="15480" w:orient="portrait"/>
          <w:cols w:equalWidth="0" w:num="1">
            <w:col w:w="9360"/>
          </w:cols>
          <w:pgMar w:left="1260" w:top="1255" w:right="1260" w:bottom="254" w:gutter="0" w:footer="0" w:header="0"/>
        </w:sectPr>
      </w:pPr>
    </w:p>
    <w:bookmarkStart w:id="19" w:name="page20"/>
    <w:bookmarkEnd w:id="19"/>
    <w:p>
      <w:pPr>
        <w:ind w:left="480" w:hanging="244"/>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trends, including in the price of our input costs, such as raw materials, transportation and energy, could adversely affect our business and financial results in the short term and result in uncertainties in the long term.</w:t>
      </w:r>
    </w:p>
    <w:p>
      <w:pPr>
        <w:spacing w:after="0" w:line="1" w:lineRule="exact"/>
        <w:rPr>
          <w:rFonts w:ascii="Times New Roman" w:cs="Times New Roman" w:eastAsia="Times New Roman" w:hAnsi="Times New Roman"/>
          <w:sz w:val="18"/>
          <w:szCs w:val="18"/>
          <w:color w:val="auto"/>
        </w:rPr>
      </w:pPr>
    </w:p>
    <w:p>
      <w:pPr>
        <w:jc w:val="both"/>
        <w:ind w:left="480" w:hanging="244"/>
        <w:spacing w:after="0" w:line="275"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geopolitical developments, including the Russia-Ukraine conflict, or climate change events (including severe weather events) may adversely affect our suppliers or our procurement of raw materials, and thus may impact our business and financial results.</w:t>
      </w:r>
    </w:p>
    <w:p>
      <w:pPr>
        <w:spacing w:after="0" w:line="1" w:lineRule="exact"/>
        <w:rPr>
          <w:rFonts w:ascii="Times New Roman" w:cs="Times New Roman" w:eastAsia="Times New Roman" w:hAnsi="Times New Roman"/>
          <w:sz w:val="18"/>
          <w:szCs w:val="18"/>
          <w:color w:val="auto"/>
        </w:rPr>
      </w:pPr>
    </w:p>
    <w:p>
      <w:pPr>
        <w:ind w:left="480" w:hanging="244"/>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execute the next phase of our strategic transformation, it may have a material adverse effect on our business, results of operations and financial condition.</w:t>
      </w:r>
    </w:p>
    <w:p>
      <w:pPr>
        <w:ind w:left="480" w:hanging="244"/>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the N&amp;B Business may continue to present significant challenges, and we may not realize anticipated synergies and other benefits of the N&amp;B Transaction.</w:t>
      </w:r>
    </w:p>
    <w:p>
      <w:pPr>
        <w:spacing w:after="0" w:line="1" w:lineRule="exact"/>
        <w:rPr>
          <w:rFonts w:ascii="Times New Roman" w:cs="Times New Roman" w:eastAsia="Times New Roman" w:hAnsi="Times New Roman"/>
          <w:sz w:val="18"/>
          <w:szCs w:val="18"/>
          <w:color w:val="auto"/>
        </w:rPr>
      </w:pPr>
    </w:p>
    <w:p>
      <w:pPr>
        <w:ind w:left="480" w:hanging="244"/>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indebtedness that could materially adversely affect our financial condition and our degree of leverage could adversely affect our credit ratings.</w:t>
      </w:r>
    </w:p>
    <w:p>
      <w:pPr>
        <w:ind w:left="480" w:hanging="244"/>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successfully enter into or close strategic transactions or divestments, or successfully manage acquisitions, collaborations, joint ventures or partnerships, it could adversely affect our business and growth opportunities.</w:t>
      </w:r>
    </w:p>
    <w:p>
      <w:pPr>
        <w:spacing w:after="0" w:line="1" w:lineRule="exact"/>
        <w:rPr>
          <w:rFonts w:ascii="Times New Roman" w:cs="Times New Roman" w:eastAsia="Times New Roman" w:hAnsi="Times New Roman"/>
          <w:sz w:val="18"/>
          <w:szCs w:val="18"/>
          <w:color w:val="auto"/>
        </w:rPr>
      </w:pPr>
    </w:p>
    <w:p>
      <w:pPr>
        <w:ind w:left="480" w:hanging="244"/>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market to our expanded and diverse customer base, our operating results and future growth may be adversely affected.</w:t>
      </w:r>
    </w:p>
    <w:p>
      <w:pPr>
        <w:ind w:left="480" w:hanging="244"/>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competitive, and if we are unable to compete effectively, our sales and results of operations will suffer.</w:t>
      </w:r>
    </w:p>
    <w:p>
      <w:pPr>
        <w:spacing w:after="0" w:line="1" w:lineRule="exact"/>
        <w:rPr>
          <w:rFonts w:ascii="Times New Roman" w:cs="Times New Roman" w:eastAsia="Times New Roman" w:hAnsi="Times New Roman"/>
          <w:sz w:val="18"/>
          <w:szCs w:val="18"/>
          <w:color w:val="auto"/>
        </w:rPr>
      </w:pPr>
    </w:p>
    <w:p>
      <w:pPr>
        <w:ind w:left="480" w:hanging="244"/>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attracting and retaining talented people within our business. Significant shortfalls in recruitment or retention could adversely affect our ability to compete and achieve our strategic goals.</w:t>
      </w:r>
    </w:p>
    <w:p>
      <w:pPr>
        <w:ind w:left="480" w:hanging="244"/>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sales is generated from a limited number of large multi-national customers, which are currently under competitive pressures that may affect the demand for our products and profitability.</w:t>
      </w:r>
    </w:p>
    <w:p>
      <w:pPr>
        <w:spacing w:after="0" w:line="1" w:lineRule="exact"/>
        <w:rPr>
          <w:rFonts w:ascii="Times New Roman" w:cs="Times New Roman" w:eastAsia="Times New Roman" w:hAnsi="Times New Roman"/>
          <w:sz w:val="18"/>
          <w:szCs w:val="18"/>
          <w:color w:val="auto"/>
        </w:rPr>
      </w:pPr>
    </w:p>
    <w:p>
      <w:pPr>
        <w:ind w:left="480" w:hanging="244"/>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develop and introduce new products that meet our customers’ needs, which may adversely affect our results of operations.</w:t>
      </w:r>
    </w:p>
    <w:p>
      <w:pPr>
        <w:jc w:val="both"/>
        <w:ind w:left="480" w:hanging="244"/>
        <w:spacing w:after="0" w:line="275"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crises, such as the COVID-19 pandemic, have had an impact on our supply chain and could have a material impact on global operations, our customers and our suppliers, which could adversely impact our business and results of operations.</w:t>
      </w:r>
    </w:p>
    <w:p>
      <w:pPr>
        <w:spacing w:after="0" w:line="1" w:lineRule="exact"/>
        <w:rPr>
          <w:rFonts w:ascii="Times New Roman" w:cs="Times New Roman" w:eastAsia="Times New Roman" w:hAnsi="Times New Roman"/>
          <w:sz w:val="18"/>
          <w:szCs w:val="18"/>
          <w:color w:val="auto"/>
        </w:rPr>
      </w:pPr>
    </w:p>
    <w:p>
      <w:pPr>
        <w:jc w:val="both"/>
        <w:ind w:left="480" w:hanging="245"/>
        <w:spacing w:after="0" w:line="267"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crises (such as the COVID-19 pandemic), international conflicts (such as the Russia-Ukraine conflict), geopolitical events, terrorist acts, labor strikes, political or economic crises (such as the uncertainty related to protracted U.S. federal debt ceiling negotiations), accidents and other events could adversely affect our business and financial results by disrupting development, manufacturing, distribution or sale of our products.</w:t>
      </w:r>
    </w:p>
    <w:p>
      <w:pPr>
        <w:spacing w:after="0" w:line="6" w:lineRule="exact"/>
        <w:rPr>
          <w:rFonts w:ascii="Times New Roman" w:cs="Times New Roman" w:eastAsia="Times New Roman" w:hAnsi="Times New Roman"/>
          <w:sz w:val="18"/>
          <w:szCs w:val="18"/>
          <w:color w:val="auto"/>
        </w:rPr>
      </w:pPr>
    </w:p>
    <w:p>
      <w:pPr>
        <w:jc w:val="both"/>
        <w:ind w:left="480" w:hanging="245"/>
        <w:spacing w:after="0" w:line="275"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data breach or other disruption to our information technology systems could disrupt our operations, result in the loss of confidential information or personal data, and adversely impact our reputation, business or results of operations.</w:t>
      </w:r>
    </w:p>
    <w:p>
      <w:pPr>
        <w:spacing w:after="0" w:line="1" w:lineRule="exact"/>
        <w:rPr>
          <w:rFonts w:ascii="Times New Roman" w:cs="Times New Roman" w:eastAsia="Times New Roman" w:hAnsi="Times New Roman"/>
          <w:sz w:val="18"/>
          <w:szCs w:val="18"/>
          <w:color w:val="auto"/>
        </w:rPr>
      </w:pPr>
    </w:p>
    <w:p>
      <w:pPr>
        <w:ind w:left="480" w:hanging="245"/>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investments in and continue to expand our business into emerging markets, which exposes us to certain risks.</w:t>
      </w:r>
    </w:p>
    <w:p>
      <w:pPr>
        <w:ind w:left="480" w:hanging="245"/>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 or devaluation in the international markets in which we operate may negatively affect our results of operations.</w:t>
      </w:r>
    </w:p>
    <w:p>
      <w:pPr>
        <w:spacing w:after="0" w:line="1" w:lineRule="exact"/>
        <w:rPr>
          <w:rFonts w:ascii="Times New Roman" w:cs="Times New Roman" w:eastAsia="Times New Roman" w:hAnsi="Times New Roman"/>
          <w:sz w:val="18"/>
          <w:szCs w:val="18"/>
          <w:color w:val="auto"/>
        </w:rPr>
      </w:pPr>
    </w:p>
    <w:p>
      <w:pPr>
        <w:ind w:left="480" w:hanging="245"/>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economic, political, legal, compliance and business factors could negatively affect our financial statements, operations and growth.</w:t>
      </w:r>
    </w:p>
    <w:p>
      <w:pPr>
        <w:ind w:left="480" w:hanging="245"/>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including increased inflation, may adversely affect demand for our products which may have a negative impact on our operating results and future growth.</w:t>
      </w:r>
    </w:p>
    <w:p>
      <w:pPr>
        <w:spacing w:after="0" w:line="1" w:lineRule="exact"/>
        <w:rPr>
          <w:rFonts w:ascii="Times New Roman" w:cs="Times New Roman" w:eastAsia="Times New Roman" w:hAnsi="Times New Roman"/>
          <w:sz w:val="18"/>
          <w:szCs w:val="18"/>
          <w:color w:val="auto"/>
        </w:rPr>
      </w:pPr>
    </w:p>
    <w:p>
      <w:pPr>
        <w:ind w:left="480" w:hanging="245"/>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react in a timely and cost-effective manner to changes in consumer trends, such as increasing awareness of health and wellness, our results of operations and future growth may be adversely affected.</w:t>
      </w:r>
    </w:p>
    <w:p>
      <w:pPr>
        <w:jc w:val="both"/>
        <w:ind w:left="480" w:hanging="245"/>
        <w:spacing w:after="0" w:line="275"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increasing customer, consumer, shareholder and regulatory focus on sustainability, which may result in additional costs in order to meet new requirements or integrate the N&amp;B Business and Frutarom with our sustainability practices.</w:t>
      </w:r>
    </w:p>
    <w:p>
      <w:pPr>
        <w:spacing w:after="0" w:line="1" w:lineRule="exact"/>
        <w:rPr>
          <w:rFonts w:ascii="Times New Roman" w:cs="Times New Roman" w:eastAsia="Times New Roman" w:hAnsi="Times New Roman"/>
          <w:sz w:val="18"/>
          <w:szCs w:val="18"/>
          <w:color w:val="auto"/>
        </w:rPr>
      </w:pPr>
    </w:p>
    <w:p>
      <w:pPr>
        <w:ind w:left="480" w:hanging="245"/>
        <w:spacing w:after="0" w:line="28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performance may be adversely impacted if we are not successful in managing our inventory and/or working capital balances.</w:t>
      </w:r>
    </w:p>
    <w:p>
      <w:pPr>
        <w:ind w:left="480" w:hanging="245"/>
        <w:spacing w:after="0" w:line="286"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of our tangible or intangible long-lived assets, including goodwill, may adversely impact our profitability.</w:t>
      </w:r>
    </w:p>
    <w:p>
      <w:pPr>
        <w:spacing w:after="0" w:line="1" w:lineRule="exact"/>
        <w:rPr>
          <w:rFonts w:ascii="Times New Roman" w:cs="Times New Roman" w:eastAsia="Times New Roman" w:hAnsi="Times New Roman"/>
          <w:sz w:val="18"/>
          <w:szCs w:val="18"/>
          <w:color w:val="auto"/>
        </w:rPr>
      </w:pPr>
    </w:p>
    <w:p>
      <w:pPr>
        <w:ind w:left="480" w:hanging="245"/>
        <w:spacing w:after="0"/>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funding obligations for our pension and postretirement plans could adversely affect our earnings and cash flows.</w:t>
      </w:r>
    </w:p>
    <w:p>
      <w:pPr>
        <w:spacing w:after="0" w:line="64" w:lineRule="exact"/>
        <w:rPr>
          <w:rFonts w:ascii="Times New Roman" w:cs="Times New Roman" w:eastAsia="Times New Roman" w:hAnsi="Times New Roman"/>
          <w:sz w:val="18"/>
          <w:szCs w:val="18"/>
          <w:color w:val="auto"/>
        </w:rPr>
      </w:pPr>
    </w:p>
    <w:p>
      <w:pPr>
        <w:ind w:left="480" w:hanging="245"/>
        <w:spacing w:after="0" w:line="300"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out of the London Interbank Offered Rate (“LIBOR”) may impact the interest rates paid on our variable rate indebtedness and could cause our interest expense to increase.</w:t>
      </w:r>
    </w:p>
    <w:p>
      <w:pPr>
        <w:spacing w:after="0" w:line="2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13</w:t>
      </w:r>
    </w:p>
    <w:p>
      <w:pPr>
        <w:sectPr>
          <w:pgSz w:w="11880" w:h="15480" w:orient="portrait"/>
          <w:cols w:equalWidth="0" w:num="1">
            <w:col w:w="9180"/>
          </w:cols>
          <w:pgMar w:left="1440" w:top="1255" w:right="1260" w:bottom="254" w:gutter="0" w:footer="0" w:header="0"/>
        </w:sectPr>
      </w:pPr>
    </w:p>
    <w:bookmarkStart w:id="20" w:name="page21"/>
    <w:bookmarkEnd w:id="20"/>
    <w:p>
      <w:pPr>
        <w:ind w:left="660" w:hanging="2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negatively impacted as a result of the United Kingdom’s departure from the European Union.</w:t>
      </w:r>
    </w:p>
    <w:p>
      <w:pPr>
        <w:spacing w:after="0" w:line="64" w:lineRule="exact"/>
        <w:rPr>
          <w:rFonts w:ascii="Times New Roman" w:cs="Times New Roman" w:eastAsia="Times New Roman" w:hAnsi="Times New Roman"/>
          <w:sz w:val="18"/>
          <w:szCs w:val="18"/>
          <w:color w:val="auto"/>
        </w:rPr>
      </w:pPr>
    </w:p>
    <w:p>
      <w:pPr>
        <w:jc w:val="both"/>
        <w:ind w:left="660" w:hanging="244"/>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1" w:lineRule="exact"/>
        <w:rPr>
          <w:rFonts w:ascii="Times New Roman" w:cs="Times New Roman" w:eastAsia="Times New Roman" w:hAnsi="Times New Roman"/>
          <w:sz w:val="18"/>
          <w:szCs w:val="18"/>
          <w:color w:val="auto"/>
        </w:rPr>
      </w:pPr>
    </w:p>
    <w:p>
      <w:pPr>
        <w:ind w:left="660" w:hanging="244"/>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quality issues (including product recalls), inadequate disclosure or misuse with respect to the products and capabilities could adversely affect our business, reputation and results of operations.</w:t>
      </w:r>
    </w:p>
    <w:p>
      <w:pPr>
        <w:ind w:left="660" w:hanging="2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negatively impacted by the outcome of uncertainties related to litigation.</w:t>
      </w:r>
    </w:p>
    <w:p>
      <w:pPr>
        <w:spacing w:after="0" w:line="68" w:lineRule="exact"/>
        <w:rPr>
          <w:rFonts w:ascii="Times New Roman" w:cs="Times New Roman" w:eastAsia="Times New Roman" w:hAnsi="Times New Roman"/>
          <w:sz w:val="18"/>
          <w:szCs w:val="18"/>
          <w:color w:val="auto"/>
        </w:rPr>
      </w:pPr>
    </w:p>
    <w:p>
      <w:pPr>
        <w:jc w:val="both"/>
        <w:ind w:left="660" w:hanging="244"/>
        <w:spacing w:after="0" w:line="27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environmental protection laws may cause us to close, relocate or operate one or more of our plants at reduced production levels, and expose us to civil or criminal liability, which could adversely affect our operating results and future growth.</w:t>
      </w:r>
    </w:p>
    <w:p>
      <w:pPr>
        <w:jc w:val="both"/>
        <w:ind w:left="660" w:hanging="244"/>
        <w:spacing w:after="0" w:line="27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adversely affected by violations, by us or our counterparties, of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1"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depends on our ability to protect our intellectual property rights.</w:t>
      </w:r>
    </w:p>
    <w:p>
      <w:pPr>
        <w:spacing w:after="0" w:line="64" w:lineRule="exact"/>
        <w:rPr>
          <w:rFonts w:ascii="Times New Roman" w:cs="Times New Roman" w:eastAsia="Times New Roman" w:hAnsi="Times New Roman"/>
          <w:sz w:val="18"/>
          <w:szCs w:val="18"/>
          <w:color w:val="auto"/>
        </w:rPr>
      </w:pPr>
    </w:p>
    <w:p>
      <w:pPr>
        <w:ind w:left="660" w:hanging="244"/>
        <w:spacing w:after="0" w:line="28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the adoption of new U.S. or international tax legislation, or changes in existing tax laws could expose us to additional tax liabilities that may affect our future results.</w:t>
      </w:r>
    </w:p>
    <w:p>
      <w:pPr>
        <w:spacing w:after="0" w:line="1" w:lineRule="exact"/>
        <w:rPr>
          <w:rFonts w:ascii="Times New Roman" w:cs="Times New Roman" w:eastAsia="Times New Roman" w:hAnsi="Times New Roman"/>
          <w:sz w:val="18"/>
          <w:szCs w:val="18"/>
          <w:color w:val="auto"/>
        </w:rPr>
      </w:pPr>
    </w:p>
    <w:p>
      <w:pPr>
        <w:ind w:left="660" w:hanging="245"/>
        <w:spacing w:after="0" w:line="28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N&amp;B Transaction could result in significant tax liability, and we may be obligated to indemnify DuPont for any such tax liability imposed on DuPont.</w:t>
      </w:r>
    </w:p>
    <w:p>
      <w:pPr>
        <w:ind w:left="660" w:hanging="245"/>
        <w:spacing w:after="0" w:line="30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data protection laws in the U.S. and abroad, we may be subject to fines, penalties and other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7" w:lineRule="exact"/>
        <w:rPr>
          <w:sz w:val="20"/>
          <w:szCs w:val="20"/>
          <w:color w:val="auto"/>
        </w:rPr>
      </w:pPr>
    </w:p>
    <w:p>
      <w:pPr>
        <w:jc w:val="both"/>
        <w:ind w:firstLine="329"/>
        <w:spacing w:after="0" w:line="267" w:lineRule="auto"/>
        <w:rPr>
          <w:sz w:val="20"/>
          <w:szCs w:val="20"/>
          <w:color w:val="auto"/>
        </w:rPr>
      </w:pPr>
      <w:r>
        <w:rPr>
          <w:rFonts w:ascii="Times New Roman" w:cs="Times New Roman" w:eastAsia="Times New Roman" w:hAnsi="Times New Roman"/>
          <w:sz w:val="18"/>
          <w:szCs w:val="18"/>
          <w:i w:val="1"/>
          <w:iCs w:val="1"/>
          <w:color w:val="auto"/>
        </w:rPr>
        <w:t>We routinely encounter and address risks in conducting our business. Some of these risks may cause our future results to be different - sometimes materially different - than we presently anticipate. Below are material risks we have identified that could adversely affect our business. How we react to material future developments, as well as how our competitors and customers react to those developments, could also affect our future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22"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Inflationary trends, including in the price of our input costs, such as raw materials, transportation and energy, could adversely affect our business and financial results in the short term and result in uncertainties in the long term.</w:t>
      </w:r>
    </w:p>
    <w:p>
      <w:pPr>
        <w:spacing w:after="0" w:line="19"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The global economy experienced high rates of inflation in 2022, and such inflationary pressure is expected to generally continue in 2023 despite price decreases for certain materials and services that hit historical highs in 2022. As a result of the broader inflationary environment and supply chain disruptions we have experienced, and may continue to experience, volatility and increases in the price of input costs, such as certain raw materials, transportation and energy costs. We might also suffer from supply disruptions from supplier exits as higher costs may become unaffordable for certain suppliers. The significant spike in energy prices over the course of 2022, especially in Europe, has created cost pressures for us and may continue to impact our financial performance. In addition, central banks may continue to increase interest rates or conduct other monetary policies to counter inflation, which could negatively affect our borrowing costs and those of our customers and suppliers, as well as exchange rates and other macroeconomic factors.</w:t>
      </w:r>
    </w:p>
    <w:p>
      <w:pPr>
        <w:spacing w:after="0" w:line="68" w:lineRule="exact"/>
        <w:rPr>
          <w:sz w:val="20"/>
          <w:szCs w:val="20"/>
          <w:color w:val="auto"/>
        </w:rPr>
      </w:pPr>
    </w:p>
    <w:p>
      <w:pPr>
        <w:jc w:val="both"/>
        <w:ind w:firstLine="329"/>
        <w:spacing w:after="0" w:line="257" w:lineRule="auto"/>
        <w:rPr>
          <w:sz w:val="20"/>
          <w:szCs w:val="20"/>
          <w:color w:val="auto"/>
        </w:rPr>
      </w:pPr>
      <w:r>
        <w:rPr>
          <w:rFonts w:ascii="Times New Roman" w:cs="Times New Roman" w:eastAsia="Times New Roman" w:hAnsi="Times New Roman"/>
          <w:sz w:val="18"/>
          <w:szCs w:val="18"/>
          <w:color w:val="auto"/>
        </w:rPr>
        <w:t>If we are unable to increase the prices of our products to our customers to offset inflationary cost trends, or if we are unable to achieve cost savings to offset such cost increases, we could fail to meet our cost expectations, and our profits and operating results could be adversely affected. Our ability to price our products competitively to timely reflect higher input costs is critical to maintain and grow our sales. Increases in prices of our products to customers or the impact of the broader inflationary environment on our customers may lead to declines in demand and sales volumes. Further, we may not be able to accurately predict the volume impact of price increases, especially if our competitors are able to more successfully adjust to such input cost volatility. Increasing our prices to our customers could result in long-term sales declines or loss of market share if our customers find alternative suppliers or choose to reformulate their consumer products to rely less on our products, which could have an adverse long-term impact on our results of operations. Increased cost volatility trends may also impact the business and financial situation of our customer or suppliers, which could in turn affect the demand or supply, respectively, by such parties. Future inflationary and deflationary trends are beyond our control, and we may not be able to sufficiently mitigate any impact on our business and financial situation.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880" w:h="15480" w:orient="portrait"/>
          <w:cols w:equalWidth="0" w:num="1">
            <w:col w:w="9360"/>
          </w:cols>
          <w:pgMar w:left="1260" w:top="1259" w:right="1260" w:bottom="254" w:gutter="0" w:footer="0" w:header="0"/>
        </w:sectPr>
      </w:pPr>
    </w:p>
    <w:bookmarkStart w:id="21" w:name="page22"/>
    <w:bookmarkEnd w:id="21"/>
    <w:p>
      <w:pPr>
        <w:jc w:val="both"/>
        <w:ind w:firstLine="328"/>
        <w:spacing w:after="0" w:line="280" w:lineRule="auto"/>
        <w:rPr>
          <w:sz w:val="20"/>
          <w:szCs w:val="20"/>
          <w:color w:val="auto"/>
        </w:rPr>
      </w:pPr>
      <w:r>
        <w:rPr>
          <w:rFonts w:ascii="Times New Roman" w:cs="Times New Roman" w:eastAsia="Times New Roman" w:hAnsi="Times New Roman"/>
          <w:sz w:val="18"/>
          <w:szCs w:val="18"/>
          <w:b w:val="1"/>
          <w:bCs w:val="1"/>
          <w:color w:val="auto"/>
        </w:rPr>
        <w:t>Supply chain disruptions, geopolitical developments, including the Russia-Ukraine conflict, or climate-change events (including severe weather events) may adversely affect our suppliers or our procurement of raw materials, and thus may impact our business and financial results.</w:t>
      </w:r>
    </w:p>
    <w:p>
      <w:pPr>
        <w:spacing w:after="0" w:line="4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In connection with our manufacturing of our products, we often rely on third party suppliers for raw materials. We use many different raw materials for our business, such as essential oils, extracts and concentrates derived from fruits, vegetables, flowers, woods and other botanicals, animal products, raw fruits, organic chemicals and petroleum-based chemicals, as well as, gelatin, glycols, cellulose processed grains, guar, locust bean gum, organic vegetable oils, peels, saccharides, seaweed, soybeans, and sugars and yeasts.</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Supply chain disruptions, such as the ones related to the COVID-19 pandemic, may impair or delay our ability to obtain sufficient quantities of certain raw materials through our ordinary supply channels and cause us to incur higher costs by procuring raw materials from other sources in order to compensate for such delays or lack of availability.</w:t>
      </w:r>
    </w:p>
    <w:p>
      <w:pPr>
        <w:spacing w:after="0" w:line="52"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In addition, our suppliers, similar to us, are subject to risks, inherent in agriculture, manufacturing and distribution on a global scale, including industrial accidents, environmental events, climate change, strikes and other labor disputes, disruptions in supply chain or information systems, disruption or loss of key research or manufacturing sites, product quality control, safety and environmental compliance issues, licensing requirements and other regulatory issues, as well as natural disasters, global or local health crises, international conflicts, terrorist acts, geopolitical developments, trade wars, and other external factors over which neither they nor we have control. These suppliers could also become insolvent or experience other financial distress.</w:t>
      </w:r>
    </w:p>
    <w:p>
      <w:pPr>
        <w:spacing w:after="0" w:line="66"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If our suppliers are unable to supply us with sufficient quantities of ingredients and raw materials to meet our needs, we would need to seek alternative sources of such materials (which may result in higher transportation or procurement costs) or pursue our own production of such ingredients or direct acquisition of such raw materials. However, for certain of our ingredients and raw materials, we rely on a limited number of suppliers where there are not readily available alternatives. If we are unable to obtain or manufacture alternative sources of such ingredients or raw materials at a similar cost, we may seek to (i) reformulate our products and/or (ii) increase pricing to reflect the higher supply cost. To mitigate our sourcing risk, we maintain strategic stock levels for critical items. However, if we do not accurately estimate the amount of raw materials that will be used for the geographic region in which we will need these materials or competitively price our products, our margins could be adversely affected.</w:t>
      </w:r>
    </w:p>
    <w:p>
      <w:pPr>
        <w:spacing w:after="0" w:line="68"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Geopolitical developments, such as the Russia-Ukraine conflict, could adversely impact, among other things, our raw material, energy and transportation costs, as well as certain of our suppliers and local markets, global and local macroeconomic conditions, and cause further supply chain disruptions. As the Russia-Ukraine conflict has prolonged, it continues to impact our sourcing of certain raw materials for future years, and we continue to look for alternative suppliers or adjust the types of raw materials used in our products.</w:t>
      </w:r>
    </w:p>
    <w:p>
      <w:pPr>
        <w:spacing w:after="0" w:line="61"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At the same time, climate-change related disruptions, like the February 2021 winter storm in Texas, may affect the availability, quality and pricing of raw materials. There is growing evidence that carbon dioxide and other greenhouse gases in the atmosphere may have an adverse impact on global temperatures, weather and precipitation patterns, growing and harvesting conditions (both on land and in the sea), and the frequency and severity of extreme weather and natural disasters, such as floods, wildfires, droughts and water scarcity. To the extent such climate change effects have a negative impact on crop size and quality, supply chain, energy or transportation costs, it could impact the availability, quality and pricing of affected raw materials. Climate related policies and energy production restrictions and pricing may exacerbate such negative impacts.</w:t>
      </w:r>
    </w:p>
    <w:p>
      <w:pPr>
        <w:spacing w:after="0" w:line="65"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More generally, as we source many of our raw materials globally to help ensure quality control or to mitigate supply chain disruptions, we are subject to additional risks related to the increases in energy or transportation costs. Energy prices are in turn subject to significant volatility caused by, among other things, market fluctuations, supply and demand changes, currency fluctuations, production and transportation disruptions, and other world events, as well as geopolitical developments and climate change related conditions discussed above.</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If we are not able to successfully mitigate such supply chain and climate-change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880" w:h="15480" w:orient="portrait"/>
          <w:cols w:equalWidth="0" w:num="1">
            <w:col w:w="9360"/>
          </w:cols>
          <w:pgMar w:left="1260" w:top="1252" w:right="1260" w:bottom="254" w:gutter="0" w:footer="0" w:header="0"/>
        </w:sectPr>
      </w:pPr>
    </w:p>
    <w:bookmarkStart w:id="22" w:name="page23"/>
    <w:bookmarkEnd w:id="22"/>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If we are unable to successfully execute the next phase of our strategic transformation, it may have a material adverse effect on our business, results of operations and financial condition.</w:t>
      </w:r>
    </w:p>
    <w:p>
      <w:pPr>
        <w:spacing w:after="0" w:line="19" w:lineRule="exact"/>
        <w:rPr>
          <w:sz w:val="20"/>
          <w:szCs w:val="20"/>
          <w:color w:val="auto"/>
        </w:rPr>
      </w:pPr>
    </w:p>
    <w:p>
      <w:pPr>
        <w:jc w:val="both"/>
        <w:ind w:firstLine="329"/>
        <w:spacing w:after="0" w:line="259" w:lineRule="auto"/>
        <w:rPr>
          <w:sz w:val="20"/>
          <w:szCs w:val="20"/>
          <w:color w:val="auto"/>
        </w:rPr>
      </w:pPr>
      <w:r>
        <w:rPr>
          <w:rFonts w:ascii="Times New Roman" w:cs="Times New Roman" w:eastAsia="Times New Roman" w:hAnsi="Times New Roman"/>
          <w:sz w:val="18"/>
          <w:szCs w:val="18"/>
          <w:color w:val="auto"/>
        </w:rPr>
        <w:t>In December 2022, we announced our new strategic and financial vision previewing a refreshed strategic plan and new operating model, which among other things, consists of a renewed growth -focus strategy, enhanced cost &amp; productivity initiatives, a redesigned operating model, a reaffirmation of our commitment to our portfolio optimization initiatives and a plan to evolve our Board in line with best-in-class governance standards, as well as certain changes to our Executive Leadership Team. Implementing such changes can be complex, costly and time-consuming and may also result in unanticipated issues, such as additional expenses, competitive responses, employee turnover or impact on our commercial relationships. Even if such initiatives are implemented successfully, the full benefits may not be realized or may not be realized within the desired timeframe. The failure to meet the challenges involved in implementing our strategic transformation could result in a material adverse impact on our business, results of operations and financial condition.</w:t>
      </w:r>
    </w:p>
    <w:p>
      <w:pPr>
        <w:spacing w:after="0" w:line="66"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The integration of the N&amp;B Business may continue to present significant challenges, and we may not realize anticipated synergies and other benefits of the N&amp;B Transaction.</w:t>
      </w:r>
    </w:p>
    <w:p>
      <w:pPr>
        <w:spacing w:after="0" w:line="19" w:lineRule="exact"/>
        <w:rPr>
          <w:sz w:val="20"/>
          <w:szCs w:val="20"/>
          <w:color w:val="auto"/>
        </w:rPr>
      </w:pPr>
    </w:p>
    <w:p>
      <w:pPr>
        <w:jc w:val="both"/>
        <w:ind w:firstLine="328"/>
        <w:spacing w:after="0" w:line="263" w:lineRule="auto"/>
        <w:rPr>
          <w:sz w:val="20"/>
          <w:szCs w:val="20"/>
          <w:color w:val="auto"/>
        </w:rPr>
      </w:pPr>
      <w:r>
        <w:rPr>
          <w:rFonts w:ascii="Times New Roman" w:cs="Times New Roman" w:eastAsia="Times New Roman" w:hAnsi="Times New Roman"/>
          <w:sz w:val="18"/>
          <w:szCs w:val="18"/>
          <w:color w:val="auto"/>
        </w:rPr>
        <w:t>The combination of large, diverse and independent businesses is complex, costly and time-consuming. The combination with the N&amp;B Business may also result in material unanticipated problems, expenses, liabilities, competitive responses, employee turnover and loss of customer and other business relationships. In addition, even if the operations of the N&amp;B Business are integrated successfully, the full benefits of the transaction may not be realized, including, among others, the synergies, cost savings or revenue growth that are expected. These benefits may not be achieved within the anticipated time frame or at all.</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difficulties of integration or realizing the full benefits of the N&amp;B Transaction include, among others:</w:t>
      </w:r>
    </w:p>
    <w:p>
      <w:pPr>
        <w:spacing w:after="0" w:line="69" w:lineRule="exact"/>
        <w:rPr>
          <w:sz w:val="20"/>
          <w:szCs w:val="20"/>
          <w:color w:val="auto"/>
        </w:rPr>
      </w:pPr>
    </w:p>
    <w:p>
      <w:pPr>
        <w:ind w:left="660" w:hanging="24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to integration matters;</w:t>
      </w:r>
    </w:p>
    <w:p>
      <w:pPr>
        <w:spacing w:after="0" w:line="68" w:lineRule="exact"/>
        <w:rPr>
          <w:rFonts w:ascii="Times New Roman" w:cs="Times New Roman" w:eastAsia="Times New Roman" w:hAnsi="Times New Roman"/>
          <w:sz w:val="18"/>
          <w:szCs w:val="18"/>
          <w:color w:val="auto"/>
        </w:rPr>
      </w:pPr>
    </w:p>
    <w:p>
      <w:pPr>
        <w:ind w:left="660" w:hanging="244"/>
        <w:spacing w:after="0" w:line="28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operations and systems, including communications systems, administrative and information technology infrastructure and financial reporting and internal control systems, some of which may prove to be incompatible;</w:t>
      </w:r>
    </w:p>
    <w:p>
      <w:pPr>
        <w:ind w:left="660" w:hanging="244"/>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standards, controls, procedures and accounting and other policies, business cultures and compensation structures between the businesses;</w:t>
      </w:r>
    </w:p>
    <w:p>
      <w:pPr>
        <w:spacing w:after="0" w:line="1"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employees and attracting and retaining key personnel, including talent;</w:t>
      </w:r>
    </w:p>
    <w:p>
      <w:pPr>
        <w:spacing w:after="0" w:line="64"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relationships with existing or new customers and suppliers;</w:t>
      </w:r>
    </w:p>
    <w:p>
      <w:pPr>
        <w:spacing w:after="0" w:line="68"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and managing the expanded operations of a significantly larger and more complex company;</w:t>
      </w:r>
    </w:p>
    <w:p>
      <w:pPr>
        <w:spacing w:after="0" w:line="64" w:lineRule="exact"/>
        <w:rPr>
          <w:rFonts w:ascii="Times New Roman" w:cs="Times New Roman" w:eastAsia="Times New Roman" w:hAnsi="Times New Roman"/>
          <w:sz w:val="18"/>
          <w:szCs w:val="18"/>
          <w:color w:val="auto"/>
        </w:rPr>
      </w:pPr>
    </w:p>
    <w:p>
      <w:pPr>
        <w:ind w:left="660" w:hanging="244"/>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are larger than expected or potential unknown liabilities, adverse consequences and unforeseen increased expenses associated with the transaction;</w:t>
      </w:r>
    </w:p>
    <w:p>
      <w:pPr>
        <w:spacing w:after="0" w:line="1" w:lineRule="exact"/>
        <w:rPr>
          <w:rFonts w:ascii="Times New Roman" w:cs="Times New Roman" w:eastAsia="Times New Roman" w:hAnsi="Times New Roman"/>
          <w:sz w:val="18"/>
          <w:szCs w:val="18"/>
          <w:color w:val="auto"/>
        </w:rPr>
      </w:pPr>
    </w:p>
    <w:p>
      <w:pPr>
        <w:jc w:val="both"/>
        <w:ind w:left="660" w:hanging="244"/>
        <w:spacing w:after="0" w:line="267"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until February 2023 that may limit our ability to pursue certain strategic transactions, including issuing IFF common stock for acquisitions and equity capital market transactions, or disposing of certain businesses that would otherwise increase the value of our business, if such transaction(s) could cause certain aspects of the N&amp;B Transaction and certain DuPont historic transactions to fail to qualify as tax-free transactions;</w:t>
      </w:r>
    </w:p>
    <w:p>
      <w:pPr>
        <w:spacing w:after="0" w:line="6" w:lineRule="exact"/>
        <w:rPr>
          <w:rFonts w:ascii="Times New Roman" w:cs="Times New Roman" w:eastAsia="Times New Roman" w:hAnsi="Times New Roman"/>
          <w:sz w:val="18"/>
          <w:szCs w:val="18"/>
          <w:color w:val="auto"/>
        </w:rPr>
      </w:pPr>
    </w:p>
    <w:p>
      <w:pPr>
        <w:ind w:left="660" w:hanging="244"/>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exiting transitional services agreement entered into with DuPont in connection with the N&amp;B Transaction without impacting the continuity or quality of such services or incurring materially increased costs; and</w:t>
      </w:r>
    </w:p>
    <w:p>
      <w:pPr>
        <w:spacing w:after="0" w:line="1" w:lineRule="exact"/>
        <w:rPr>
          <w:rFonts w:ascii="Times New Roman" w:cs="Times New Roman" w:eastAsia="Times New Roman" w:hAnsi="Times New Roman"/>
          <w:sz w:val="18"/>
          <w:szCs w:val="18"/>
          <w:color w:val="auto"/>
        </w:rPr>
      </w:pPr>
    </w:p>
    <w:p>
      <w:pPr>
        <w:ind w:left="660" w:hanging="244"/>
        <w:spacing w:after="0" w:line="29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terms that are as favorable as those DuPont had received, as we replace or renew contracts following the N&amp;B Transaction and the loss of the DuPont brand recognition for the N&amp;B Business.</w:t>
      </w:r>
    </w:p>
    <w:p>
      <w:pPr>
        <w:spacing w:after="0" w:line="34"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failure to meet the challenges involved in integrating the businesses and to realize the anticipated benefits of the transaction could result in a material adverse impact on our business and results of operations.</w:t>
      </w:r>
    </w:p>
    <w:p>
      <w:pPr>
        <w:spacing w:after="0" w:line="27"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We have a substantial amount of indebtedness that could materially adversely affect our financial condition and our degree of leverage could adversely affect our credit ratings.</w:t>
      </w:r>
    </w:p>
    <w:p>
      <w:pPr>
        <w:spacing w:after="0" w:line="19"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As of December 31, 2022, our total debt was $10.970 billion. Despite our level of indebtedness, we expect to continue to have the ability to borrow additional debt. There may be circumstances in which required payments of principal and/or interest on our debt could adversely affect our cash flows, our operating results or our ability to return capital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880" w:h="15480" w:orient="portrait"/>
          <w:cols w:equalWidth="0" w:num="1">
            <w:col w:w="9360"/>
          </w:cols>
          <w:pgMar w:left="1260" w:top="1252" w:right="1260" w:bottom="254" w:gutter="0" w:footer="0" w:header="0"/>
        </w:sectPr>
      </w:pPr>
    </w:p>
    <w:bookmarkStart w:id="23" w:name="page24"/>
    <w:bookmarkEnd w:id="23"/>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Furthermore, our degree of leverage could adversely affect our future credit ratings. If we are unable to maintain or improve our current investment grade rating or improve our leverage, it could adversely affect our future cost of funding, liquidity and access to capital markets. On October 13, 2022, S&amp;P Global Ratings downgraded our Local Currency LT credit rating from “BBB” to “BBB-”. The Company does not have any rating downgrade triggers that would accelerate the maturity dates of its senior unsecured debt. However, any downgrade in our credit rating may, depending on the extent of such downgrade, negatively impact our ability to raise additional debt capital, our liquidity and capital position, and may increase our cost of borrowing for new capital raises. In addition, our existing Amended Revolving Credit Facility and Term Loans have pricing grids that are based on credit rating, such that our cost of borrowing may increase as our credit rating decreases. In addition, our current level of leverage could increase our vulnerability to sustained, adverse macroeconomic weakness, limit our ability to obtain further financing, decrease our flexibility in responding to or preparing for changes in the industry in which we operate and our ability to pursue certain operational and strategic opportunities, including large acquisitions. Our level of indebtedness, as well as our failure to comply with covenants under our debt instruments, could adversely affect our business, results of operation and financial condition or our ability to return capital to our shareholders and additional debt instruments may subject us to additional covenants.</w:t>
      </w:r>
    </w:p>
    <w:p>
      <w:pPr>
        <w:spacing w:after="0" w:line="66" w:lineRule="exact"/>
        <w:rPr>
          <w:sz w:val="20"/>
          <w:szCs w:val="20"/>
          <w:color w:val="auto"/>
        </w:rPr>
      </w:pPr>
    </w:p>
    <w:p>
      <w:pPr>
        <w:jc w:val="both"/>
        <w:ind w:firstLine="328"/>
        <w:spacing w:after="0" w:line="294" w:lineRule="auto"/>
        <w:rPr>
          <w:sz w:val="20"/>
          <w:szCs w:val="20"/>
          <w:color w:val="auto"/>
        </w:rPr>
      </w:pPr>
      <w:r>
        <w:rPr>
          <w:rFonts w:ascii="Times New Roman" w:cs="Times New Roman" w:eastAsia="Times New Roman" w:hAnsi="Times New Roman"/>
          <w:sz w:val="18"/>
          <w:szCs w:val="18"/>
          <w:b w:val="1"/>
          <w:bCs w:val="1"/>
          <w:color w:val="auto"/>
        </w:rPr>
        <w:t>If we fail to successfully enter into or close strategic transactions or divestments, or successfully manage acquisitions, collaborations, joint ventures or partnerships, it could adversely affect our business and growth opportunities.</w:t>
      </w:r>
    </w:p>
    <w:p>
      <w:pPr>
        <w:spacing w:after="0" w:line="262"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From time to time, including as a part of our ongoing strategic transformation and our portfolio optimization strategy as discussed above, we may enter into strategic transactions or we may divest certain non-core assets. For instance, during the third quarter of 2022, we completed the divestiture of our Microbial Control business and during the fourth quarter of 2022, we announced that we entered into an agreement for the sale our Savory Solutions business, which is expected to close in the second quarter of 2023, subject to customary closing conditions. Any failure to complete or potential delays in closing any such transaction could adversely affect the development of our portfolio optimization strategy as well as our financial condition.</w:t>
      </w:r>
    </w:p>
    <w:p>
      <w:pPr>
        <w:spacing w:after="0" w:line="66" w:lineRule="exact"/>
        <w:rPr>
          <w:sz w:val="20"/>
          <w:szCs w:val="20"/>
          <w:color w:val="auto"/>
        </w:rPr>
      </w:pPr>
    </w:p>
    <w:p>
      <w:pPr>
        <w:jc w:val="both"/>
        <w:ind w:firstLine="329"/>
        <w:spacing w:after="0" w:line="257" w:lineRule="auto"/>
        <w:rPr>
          <w:sz w:val="20"/>
          <w:szCs w:val="20"/>
          <w:color w:val="auto"/>
        </w:rPr>
      </w:pPr>
      <w:r>
        <w:rPr>
          <w:rFonts w:ascii="Times New Roman" w:cs="Times New Roman" w:eastAsia="Times New Roman" w:hAnsi="Times New Roman"/>
          <w:sz w:val="18"/>
          <w:szCs w:val="18"/>
          <w:color w:val="auto"/>
        </w:rPr>
        <w:t>We also evaluate and enter into collaborations, joint ventures or partnerships from time to time to enhance our research and development efforts or expand our product portfolios and technology. The process of establishing and maintaining collaborative relationships is difficult and time-consuming to negotiate, document and implement. We may not be able to successfully negotiate such arrangements or the terms of the arrangements may not be as favorable as anticipated. Furthermore, our ability to generate revenues from such collaborations will depend on our partners’ abilities and efforts to successfully perform the functions assigned to them in these arrangements and these collaborations may not lead to development or commercialization of products in the most efficient manner, or at all. In addition, from time to time, we have acquired, and we may acquire, only a majority interest in companies and provided or may provide earnouts for the former owners along with the ability, at our option, or obligation, at the former owners’ option, to purchase the minority interests at a future date at an established price. These investments may have additional risks and may not be as efficient as other operations as we may have fiduciary or contractual obligations to the minority investors and may rely on former owners for the continuing operation of the acquired business. If we are unable to successfully establish and manage these collaborative relationships and majority investments it could adversely affect our future growth.</w:t>
      </w:r>
    </w:p>
    <w:p>
      <w:pPr>
        <w:spacing w:after="0" w:line="72"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In addition, from time to time, we evaluate acquisition candidates that may strategically fit our business and/or growth objectives. If we are unable to successfully integrate and develop acquired businesses, we could fail to achieve anticipated synergies and cost savings, including any expected increase in revenues and operating results, which could have a material adverse effect on our financial results. Furthermore, even if successfully integrated, the acquisition target may fail to further the Company’s business strategy as anticipated, expose the Company to increased competition or other challenges with respect to the Company’s products or geographic markets, and expose the Company to additional liabilities associated with the acquired business, technology or other asset or arrangement. We may also incur asset impairment charges related to acquisitions if we fail to maintain and integrate the acquired businesses and such impairments charges would reduce our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880" w:h="15480" w:orient="portrait"/>
          <w:cols w:equalWidth="0" w:num="1">
            <w:col w:w="9360"/>
          </w:cols>
          <w:pgMar w:left="1260" w:top="1255" w:right="1260" w:bottom="254" w:gutter="0" w:footer="0" w:header="0"/>
        </w:sectPr>
      </w:pPr>
    </w:p>
    <w:bookmarkStart w:id="24" w:name="page25"/>
    <w:bookmarkEnd w:id="24"/>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If we are unable to successfully market to our expanded and diverse customer base, our operating results and future growth may be adversely affected.</w:t>
      </w:r>
    </w:p>
    <w:p>
      <w:pPr>
        <w:spacing w:after="0" w:line="19" w:lineRule="exact"/>
        <w:rPr>
          <w:sz w:val="20"/>
          <w:szCs w:val="20"/>
          <w:color w:val="auto"/>
        </w:rPr>
      </w:pPr>
    </w:p>
    <w:p>
      <w:pPr>
        <w:jc w:val="both"/>
        <w:ind w:firstLine="329"/>
        <w:spacing w:after="0" w:line="258" w:lineRule="auto"/>
        <w:rPr>
          <w:sz w:val="20"/>
          <w:szCs w:val="20"/>
          <w:color w:val="auto"/>
        </w:rPr>
      </w:pPr>
      <w:r>
        <w:rPr>
          <w:rFonts w:ascii="Times New Roman" w:cs="Times New Roman" w:eastAsia="Times New Roman" w:hAnsi="Times New Roman"/>
          <w:sz w:val="18"/>
          <w:szCs w:val="18"/>
          <w:color w:val="auto"/>
        </w:rPr>
        <w:t>As a result of our acquisition of Frutarom and the N&amp;B Transaction, the number of our customers significantly increased and became more diverse. Our historical customer base was primarily comprised of large and medium-sized food, beverage and consumer products companies. With the completion of the N&amp;B Transaction, our customer base has further increased significantly and, based on 2022 sales, we had approximately 40,000 customers, approximately 58% of which are small and mid-sized companies. This substantial increase in and diversity of our customer base has required us and may continue to require us to adjust, among other things, our product development, manufacturing, distribution, marketing, customer relationship and sales strategy as well as adapt corporate, information technology, finance and administrative infrastructures to support different go-to-market models. We may experience difficulty managing the growth of a portfolio of customers that is more diverse in terms of its geographical presence as well as with respect to the types of services they require and the infrastructure required to deliver our products. If we are unable to successfully gain market share or maintain our relationships with these customers, our future growth could be adversely affected.</w:t>
      </w:r>
    </w:p>
    <w:p>
      <w:pPr>
        <w:spacing w:after="0" w:line="65"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Our business is highly competitive, and if we are unable to compete effectively our sales and results of operations will suffer.</w:t>
      </w:r>
    </w:p>
    <w:p>
      <w:pPr>
        <w:spacing w:after="0" w:line="19"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The markets in which we compete are highly competitive. We face vigorous competition from companies throughout the world, including multi-national and specialized companies active in flavors, fragrances, enzymes, pharmaceutical excipients, nutrition and specialty ingredients, as well as consumer product companies which may develop their own competing products. For instance, in the flavors industry, we face increasing competition from ingredient suppliers that have expanded their portfolios to include flavor offerings. Some of our competitors specialize in one or more of our product sub-segments, while others participate in many of our product sub-segments. In addition, some of our global competitors may have more resources than we do or may have proprietary products that could permit them to respond to changing business and economic conditions more effectively than we can. Moreover, there has been increased consolidation among our competitors, and such consolidation or partnerships among our competitors may exacerbate these risks.</w:t>
      </w:r>
    </w:p>
    <w:p>
      <w:pPr>
        <w:spacing w:after="0" w:line="68"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As we continue to enter into adjacent markets, such as cosmetic ingredients, functional foods, specialty fine ingredients and nutrition products, we may face greater competition-related risks in these markets than with our other businesses. For example, the specialty fine ingredients market is more price sensitive than the flavors market and is characterized by relatively lower profit margins. Some fine ingredients products are less unique and more replaceable than competitors’ products. There is no assurance that operating margins will remain at current levels, which could substantially impact our business, operating results and financial condition.</w:t>
      </w:r>
    </w:p>
    <w:p>
      <w:pPr>
        <w:spacing w:after="0" w:line="66"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Competition in our business is based, among other things, on innovation, product quality, regulatory compliance, pricing, quality of customer service, the support provided by marketing and application groups, and understanding of consumers. It is difficult for us to predict the timing, scale and success of our competitors’ actions in these areas. In particular, the discovery and development of new products, protection of our intellectual property and development and retention of key employees are critical to our ability to effectively compete in our business. Advancement in technologies have also enhanced the ability of our competitors to develop substitutable products. Increased competition by existing or future competitors, including aggressive price competition, could result in the loss of sales, reduced pricing and margin pressure and could adversely impact our sales and profitability.</w:t>
      </w:r>
    </w:p>
    <w:p>
      <w:pPr>
        <w:spacing w:after="0" w:line="66"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Failing to identify and make capital expenditures to achieve growth opportunities, being unable to make new concepts scalable, or failing to effectively and timely reinvest in our business operations, could result in the loss of competitive position and adversely affect our financial condition or results of operations.</w:t>
      </w:r>
    </w:p>
    <w:p>
      <w:pPr>
        <w:spacing w:after="0" w:line="49"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19"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Attracting, developing, and retaining talented employees is essential to the successful delivery of our products and has become more difficult and costly in the current labor market. Furthermore, as we continue to focus on innovation, our need for scientists and other professionals will increase and may result in increased labor costs. The ability to attract and retain talented employees is critical in the development of new products and technologies which is an integral component of our growth strategy.</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Competition for employees can be intense and if we are unable to successfully integrate, motivate and reward our employees, we may not be able to retain them. If we are unable to retain our employees or attract new employees in the future, our ability to effectively compete with our competitors and to grow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880" w:h="15480" w:orient="portrait"/>
          <w:cols w:equalWidth="0" w:num="1">
            <w:col w:w="9360"/>
          </w:cols>
          <w:pgMar w:left="1260" w:top="1252" w:right="1260" w:bottom="254" w:gutter="0" w:footer="0" w:header="0"/>
        </w:sectPr>
      </w:pPr>
    </w:p>
    <w:bookmarkStart w:id="25" w:name="page26"/>
    <w:bookmarkEnd w:id="25"/>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In addition, we have announced, as part of our strategic transformation initiatives, certain headcount reductions to re-align our workforce to match strategic and financial objectives and optimize resources for long-term growth. Such reductions could lead to increased uncertainty, attrition or lower morale amongst those employees who are not directly affected by the headcount reductions as those reductions are being implemented, which may result in decreased productivity or could otherwise impact our results of operation.</w:t>
      </w:r>
    </w:p>
    <w:p>
      <w:pPr>
        <w:spacing w:after="0" w:line="58"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A significant portion of our sales is generated from a limited number of large multi-national customers, which are currently under competitive pressures that may affect the demand for our products and profitability.</w:t>
      </w:r>
    </w:p>
    <w:p>
      <w:pPr>
        <w:spacing w:after="0" w:line="19" w:lineRule="exact"/>
        <w:rPr>
          <w:sz w:val="20"/>
          <w:szCs w:val="20"/>
          <w:color w:val="auto"/>
        </w:rPr>
      </w:pPr>
    </w:p>
    <w:p>
      <w:pPr>
        <w:jc w:val="both"/>
        <w:ind w:firstLine="329"/>
        <w:spacing w:after="0" w:line="259" w:lineRule="auto"/>
        <w:rPr>
          <w:sz w:val="20"/>
          <w:szCs w:val="20"/>
          <w:color w:val="auto"/>
        </w:rPr>
      </w:pPr>
      <w:r>
        <w:rPr>
          <w:rFonts w:ascii="Times New Roman" w:cs="Times New Roman" w:eastAsia="Times New Roman" w:hAnsi="Times New Roman"/>
          <w:sz w:val="18"/>
          <w:szCs w:val="18"/>
          <w:color w:val="auto"/>
        </w:rPr>
        <w:t>During 2022, our 25 largest customers, a majority of which were multi-national consumer products companies, collectively accounted for 28% of our sales in the aggregate. Large multi-national customers’ market share, especially in the consumer product industry, continues to be pressured by new smaller companies and specialty players that cater to or are more adept at adjusting to the latest consumer trends, including towards natural products and clean labels, changes in the retail landscape (including e-commerce and consolidation), and increased competition from private labels, which have resulted and may continue to result in decreased demand for our products by such multi-national customers and volume erosion, especially in our Nourish business. Furthermore, consolidations amongst our customers have resulted in larger and more sophisticated customers with greater buying power and additional negotiating strength. If such trends continue, our sales could be adversely impacted if we are not able to replace these sales.</w:t>
      </w:r>
    </w:p>
    <w:p>
      <w:pPr>
        <w:spacing w:after="0" w:line="68" w:lineRule="exact"/>
        <w:rPr>
          <w:sz w:val="20"/>
          <w:szCs w:val="20"/>
          <w:color w:val="auto"/>
        </w:rPr>
      </w:pPr>
    </w:p>
    <w:p>
      <w:pPr>
        <w:jc w:val="both"/>
        <w:ind w:firstLine="329"/>
        <w:spacing w:after="0" w:line="260" w:lineRule="auto"/>
        <w:rPr>
          <w:sz w:val="20"/>
          <w:szCs w:val="20"/>
          <w:color w:val="auto"/>
        </w:rPr>
      </w:pPr>
      <w:r>
        <w:rPr>
          <w:rFonts w:ascii="Times New Roman" w:cs="Times New Roman" w:eastAsia="Times New Roman" w:hAnsi="Times New Roman"/>
          <w:sz w:val="18"/>
          <w:szCs w:val="18"/>
          <w:color w:val="auto"/>
        </w:rPr>
        <w:t>In addition, large multi-national customers and, increasingly middle market customers, continue to utilize “core lists” of suppliers to improve margins and profitability in the flavors and fragrance segments. Typically, these “core list” suppliers are then given priority for new or modified products. Recently, these customers are making inclusion on their “core lists” contingent upon a supplier providing more favorable terms, including rebates, which could adversely affect our margins. We must either offer competitive cost-in-use solutions to secure and maintain inclusion on these “core lists” or seek to manage the relationship without being on the “core-list.” If we choose not to pursue “core-list” status due to profitability concerns or if we are unable to obtain “core-list” status, our ability to maintain our share of these customers’ future purchases could be adversely affected and therefore our future results of operations.</w:t>
      </w:r>
    </w:p>
    <w:p>
      <w:pPr>
        <w:spacing w:after="0" w:line="63"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We may not successfully develop and introduce new products that meet our customers’ needs, which may adversely affect our results of operations.</w:t>
      </w:r>
    </w:p>
    <w:p>
      <w:pPr>
        <w:spacing w:after="0" w:line="19"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Our ability to differentiate ourselves and deliver growth largely depends on our ability to successfully develop and introduce new products and product improvements that meet our customers’ needs, and ultimately appeal to consumers. Innovation is a key element of our ability to develop and introduce new products. We cannot be certain that we will be successful in achieving our innovation goals, such as the development of new molecules, new and expanded delivery systems and other technologies. In 2022, we spent approximately 5% of our sales on research and development, and as part of our new strategic vision announced in December 2022, we expect to continue investment in research and development and innovation initiatives. This investment level may vary in the future if available resources to invest in research and development are limited due to our ongoing integration and restructuring efforts or from adverse macroeconomic or supply chain factors. We also may need to devote more resources to enhancing our existing product portfolios. Our research and development investments may only generate future revenues to the extent that we are able to develop products that meet our customers’ specifications, are at an acceptable cost and achieve acceptance by the targeted consumer market. Furthermore, there may be significant lag times from the time we incur research and development costs to the time that these research and development costs may result in increased revenue.</w:t>
      </w:r>
    </w:p>
    <w:p>
      <w:pPr>
        <w:spacing w:after="0" w:line="293"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Consequently, even when we “win” a project, our ability to generate revenues as a result of these investments is subject to numerous customer, economic and other risks that are outside of our control, including delays by our customers in the launch of a new product, the level of promotional support for the launch, poor performance of our third-party vendors, anticipated sales by our customers not being realized or changes in market preferences or demands, or disruptive innovations by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880" w:h="15480" w:orient="portrait"/>
          <w:cols w:equalWidth="0" w:num="1">
            <w:col w:w="9360"/>
          </w:cols>
          <w:pgMar w:left="1260" w:top="1255" w:right="1260" w:bottom="254" w:gutter="0" w:footer="0" w:header="0"/>
        </w:sectPr>
      </w:pPr>
    </w:p>
    <w:bookmarkStart w:id="26" w:name="page27"/>
    <w:bookmarkEnd w:id="26"/>
    <w:p>
      <w:pPr>
        <w:jc w:val="both"/>
        <w:ind w:firstLine="328"/>
        <w:spacing w:after="0" w:line="280" w:lineRule="auto"/>
        <w:rPr>
          <w:sz w:val="20"/>
          <w:szCs w:val="20"/>
          <w:color w:val="auto"/>
        </w:rPr>
      </w:pPr>
      <w:r>
        <w:rPr>
          <w:rFonts w:ascii="Times New Roman" w:cs="Times New Roman" w:eastAsia="Times New Roman" w:hAnsi="Times New Roman"/>
          <w:sz w:val="18"/>
          <w:szCs w:val="18"/>
          <w:b w:val="1"/>
          <w:bCs w:val="1"/>
          <w:color w:val="auto"/>
        </w:rPr>
        <w:t>Global health crises, such as the COVID-19 pandemic, have had an impact on our supply chain and could have a material impact on global operations, our customers and our suppliers, which could adversely impact our business and results of operations.</w:t>
      </w:r>
    </w:p>
    <w:p>
      <w:pPr>
        <w:spacing w:after="0" w:line="44"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The continued evolution of COVID-19 and its variants, as well as periodic spikes in infection rates, local outbreaks at our facilities, or supplier, customer or vendor facilities, in spite of safety measures or vaccinations, could cause disruptions to our operations or those of our suppliers, customers or vendors. As a result of the pandemic’s impact on the global supply chain, we have experienced, and may continue to experience, increased costs, delays or limited availability related to raw materials, strain on shipping and transportation resources, and higher energy prices, which have negatively impacted and may continue to negatively impact, our margins and operating results. We have also experienced and may experience in the future, changes in the demand and volume for certain of our products, including due to consumption or stocking behavior changes related to the COVID-19 pandemic. Additionally, as new variants of the virus appear, especially variants that are more easily spread, cause more serious outcomes, or are resistant to existing vaccines, new health orders and safety protocols could further impact our on-site operations and our ability to manufacture, ship or deliver products and solutions to customers.</w:t>
      </w:r>
    </w:p>
    <w:p>
      <w:pPr>
        <w:spacing w:after="0" w:line="7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Although we do not currently anticipate any impairment charges related to COVID-19, the continuing effects of a prolonged pandemic could result in increased risks to us of asset write-downs and impairments, including, but not limited to, property, plant and equipment, goodwill and other intangibles, and equity investments.</w:t>
      </w:r>
    </w:p>
    <w:p>
      <w:pPr>
        <w:spacing w:after="0" w:line="52" w:lineRule="exact"/>
        <w:rPr>
          <w:sz w:val="20"/>
          <w:szCs w:val="20"/>
          <w:color w:val="auto"/>
        </w:rPr>
      </w:pPr>
    </w:p>
    <w:p>
      <w:pPr>
        <w:jc w:val="both"/>
        <w:ind w:firstLine="364"/>
        <w:spacing w:after="0" w:line="270" w:lineRule="auto"/>
        <w:rPr>
          <w:sz w:val="20"/>
          <w:szCs w:val="20"/>
          <w:color w:val="auto"/>
        </w:rPr>
      </w:pPr>
      <w:r>
        <w:rPr>
          <w:rFonts w:ascii="Times New Roman" w:cs="Times New Roman" w:eastAsia="Times New Roman" w:hAnsi="Times New Roman"/>
          <w:sz w:val="18"/>
          <w:szCs w:val="18"/>
          <w:color w:val="auto"/>
        </w:rPr>
        <w:t>Any of these events or factors could potentially result in a material adverse impact on our business and results of operations.</w:t>
      </w:r>
    </w:p>
    <w:p>
      <w:pPr>
        <w:spacing w:after="0" w:line="311" w:lineRule="exact"/>
        <w:rPr>
          <w:sz w:val="20"/>
          <w:szCs w:val="20"/>
          <w:color w:val="auto"/>
        </w:rPr>
      </w:pPr>
    </w:p>
    <w:p>
      <w:pPr>
        <w:jc w:val="both"/>
        <w:ind w:firstLine="328"/>
        <w:spacing w:after="0" w:line="271" w:lineRule="auto"/>
        <w:rPr>
          <w:sz w:val="20"/>
          <w:szCs w:val="20"/>
          <w:color w:val="auto"/>
        </w:rPr>
      </w:pPr>
      <w:r>
        <w:rPr>
          <w:rFonts w:ascii="Times New Roman" w:cs="Times New Roman" w:eastAsia="Times New Roman" w:hAnsi="Times New Roman"/>
          <w:sz w:val="18"/>
          <w:szCs w:val="18"/>
          <w:b w:val="1"/>
          <w:bCs w:val="1"/>
          <w:color w:val="auto"/>
        </w:rPr>
        <w:t>Natural disasters, public health crises (such as the COVID-19 pandemic), international conflicts (such as the Russia-Ukraine conflict), geopolitical events, terrorist acts, labor strikes, political or economic crises (such as the uncertainty related to protracted U.S. federal debt ceiling negotiations), accidents and other events could adversely affect our business and financial results, including by disrupting development, manufacturing, distribution or sale of our products.</w:t>
      </w:r>
    </w:p>
    <w:p>
      <w:pPr>
        <w:spacing w:after="0" w:line="53"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As a company engaged in the global development, manufacture and distribution of products, we are subject to the risks inherent in such activities, including industrial accidents, environmental events, strikes and other labor disputes, product quality control issues, safety, licensing requirements and other regulatory issues, as well as natural disasters, public health crises, such as pandemics or epidemics, international conflicts, geopolitical events, terrorist acts, political or economic crises (such as the uncertainty related protracted U.S. federal debt ceiling negotiations) and other external factors over which we have no control. For instance, the Russia-Ukraine conflict has adversely impacted and could continue to impact, among other things, certain of our local markets and suppliers, global and local macroeconomic conditions, foreign exchange rates and financial markets, raw material, energy and transportation costs, and cause further supply chain disruptions. We maintain operations in both Russia and Ukraine and export products to customers in Russia and Ukraine from operations outside the region. In response to the events in Ukraine, the Company has limited the production and supply of ingredients in and to Russia to only those that meet the essential needs of people, including food, hygiene and medicine. As a result of changes and uncertainties arising out of the Russia-Ukraine conflict, our operating performance in Russia has declined in 2022 and may not reverse in the near future.</w:t>
      </w:r>
    </w:p>
    <w:p>
      <w:pPr>
        <w:spacing w:after="0" w:line="75"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While we operate research and development, manufacturing and distribution facilities throughout the world, many of these facilities are extremely specialized and certain of our research and development or creative laboratories facilities are uniquely situated to support our research and development efforts while certain of our manufacturing facilities are the sole location where a specific ingredient or product is produced. If our research and development activities or the manufacturing of ingredients or products were disrupted, the cost of relocating or replacing these activities or reformulating these ingredients or products may be substantial, which could result in production or development delays or otherwise have an adverse effect on our margins, operating results and future growth.</w:t>
      </w:r>
    </w:p>
    <w:p>
      <w:pPr>
        <w:spacing w:after="0" w:line="62" w:lineRule="exact"/>
        <w:rPr>
          <w:sz w:val="20"/>
          <w:szCs w:val="20"/>
          <w:color w:val="auto"/>
        </w:rPr>
      </w:pPr>
    </w:p>
    <w:p>
      <w:pPr>
        <w:jc w:val="both"/>
        <w:ind w:firstLine="328"/>
        <w:spacing w:after="0" w:line="280" w:lineRule="auto"/>
        <w:rPr>
          <w:sz w:val="20"/>
          <w:szCs w:val="20"/>
          <w:color w:val="auto"/>
        </w:rPr>
      </w:pPr>
      <w:r>
        <w:rPr>
          <w:rFonts w:ascii="Times New Roman" w:cs="Times New Roman" w:eastAsia="Times New Roman" w:hAnsi="Times New Roman"/>
          <w:sz w:val="18"/>
          <w:szCs w:val="18"/>
          <w:b w:val="1"/>
          <w:bCs w:val="1"/>
          <w:color w:val="auto"/>
        </w:rPr>
        <w:t>A significant data breach or other disruption to our information technology systems could disrupt our operations, result in the loss of confidential information or personal data, and adversely impact our reputation, business or results of operations.</w:t>
      </w:r>
    </w:p>
    <w:p>
      <w:pPr>
        <w:spacing w:after="0" w:line="4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We rely on information technology systems, including some managed by third-party providers, to conduct business and to support our business processes, including those relating to product formulas, product development, manufacturing, sales, order and invoice processing, production, distribution, internal communications and communications with third parties throughout the world, processing transactions, summarizing and reporting results of operations, complying with regulatory, tax or legal requirements, and collecting and storing customer, supplier, employee and other stakeholder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880" w:h="15480" w:orient="portrait"/>
          <w:cols w:equalWidth="0" w:num="1">
            <w:col w:w="9360"/>
          </w:cols>
          <w:pgMar w:left="1260" w:top="1252" w:right="1260" w:bottom="254" w:gutter="0" w:footer="0" w:header="0"/>
        </w:sectPr>
      </w:pPr>
    </w:p>
    <w:bookmarkStart w:id="27" w:name="page28"/>
    <w:bookmarkEnd w:id="27"/>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To address the risks to our information technology systems and the associated costs, we maintain an information security program that includes updating technology and information security policies and controls, cybersecurity insurance, cybersecurity governance and compliance, employee/consultant awareness training, table-top exercises, logging and monitoring and routine testing of our information technology systems. We believe that these preventative actions provide adequate measures of protection against information security breaches/incidents and generally reduce our cybersecurity risks, however, cybersecurity incidents, data breaches and operational disruptions are constantly evolving, becoming more sophisticated and conducted by groups and individuals with a wide range of expertise and motives, including foreign governments, cyber terrorists, cyber criminals, malicious employees and other insiders and outsiders. Additionally, continued geopolitical turmoil, including the ongoing conflict between Russia and Ukraine, heightened the risk of cyber incidents. We and our third-party providers are subject to the risks posed by such incidents, which can take many forms, including code anomalies, “Acts of God,” data leakage, hardware or software failures, human errors, cyber extortion, password theft or introduction of viruses, malware and ransomware, including through phishing emails.</w:t>
      </w:r>
    </w:p>
    <w:p>
      <w:pPr>
        <w:spacing w:after="0" w:line="75"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A disruption to our information technology systems could result in the loss of confidential business, customer, supplier or employee information, litigation or fines, and may require substantial investigations, repairs or replacements or impact our ability to summarize and report financial results in a timely manner, resulting in significant financial, legal and relational costs and potentially harming our reputation and adversely impacting our operations, customer service and results of operations. As we complete integration of N&amp;B’s and Frutarom’s systems with IFF’s systems and prepare for the announced divestitures, we reduce our risk profile. Additionally, an information security or data breach could require us to devote significant management and financial resources to address the problems created, and, as a result of the private rights of action provided for under the EU’s General Data Protection Regulation (the “GDPR”), the California Consumer Privacy Act (the “CCPA”) and other laws relating to data protection and privacy in other jurisdictions, in the event of such breaches, additional private litigation against us may result. These types of adverse impacts could also occur in the event the confidentiality, integrity or availability of company, customer, supplier or employee information are compromised due to a data loss by us or a trusted third party. We or the third parties with which we share information may not discover any such incidents and/or loss of information for a significant period of time after the incident occurs. In addition, our hybrid and remote work arrangements could introduce operational risk, including cybersecurity and IT systems management risks.</w:t>
      </w:r>
    </w:p>
    <w:p>
      <w:pPr>
        <w:spacing w:after="0" w:line="69"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We have experienced threats to our data and our systems and although we have not experienced a material incident to date, there can be no assurance that these measures will prevent or limit the impact of a future incident. Additionally, while we have insurance coverage designed to address certain aspects of cyber risks in place, such insurance coverage may be insufficient to cover all losses or all types of claims that may arise.</w:t>
      </w:r>
    </w:p>
    <w:p>
      <w:pPr>
        <w:spacing w:after="0" w:line="54"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We have made investments in and continue to expand our business into emerging markets, which exposes us to certain risks.</w:t>
      </w:r>
    </w:p>
    <w:p>
      <w:pPr>
        <w:spacing w:after="0" w:line="19"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As part of our growth strategy, we have increased our presence in emerging markets by expanding our manufacturing presence, sales organization and product offerings in these markets, and we expect to continue to expand our business in these markets as part of our new strategic vision announced in December 2022. With our acquisition of Frutarom in 2018 and the N&amp;B Transaction, each of which also had a significant presence in emerging markets, our business in these markets has meaningfully grown. In addition to the currency and international risks described below, our operations in these markets may be subject to a variety of other risks. Emerging markets typically have a consumer base with limited or fluctuating disposable income and customer demand in these markets may fluctuate accordingly. As a result, a decrease in customer demand in emerging markets may have an adverse effect on our ability to execute our growth strategy.</w:t>
      </w:r>
    </w:p>
    <w:p>
      <w:pPr>
        <w:spacing w:after="0" w:line="66"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Further, there is no assurance that our existing products, variants of our existing products or new products that we make, manufacture, distribute or sell will be accepted or be successful in any particular developing or emerging market, due to local or global competition, product price, cultural differences, consumer preferences or otherwise. In addition, emerging markets may have weak legal systems which may affect our ability to enforce our intellectual property and contractual rights, exchange controls, unstable governments and privatization or other government actions that may affect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trade, customs and tax regimes in these markets. If we are unable to expand our business in developing and emerging markets, effectively operate, or manage the risks associated with operating in these markets, or achieve the return on capital we expect from our investments in these markets, our operating results and future growth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880" w:h="15480" w:orient="portrait"/>
          <w:cols w:equalWidth="0" w:num="1">
            <w:col w:w="9360"/>
          </w:cols>
          <w:pgMar w:left="1260" w:top="1255" w:right="1260" w:bottom="254" w:gutter="0" w:footer="0" w:header="0"/>
        </w:sectPr>
      </w:pPr>
    </w:p>
    <w:bookmarkStart w:id="28" w:name="page29"/>
    <w:bookmarkEnd w:id="28"/>
    <w:p>
      <w:pPr>
        <w:jc w:val="both"/>
        <w:ind w:right="20"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The impact of currency fluctuation or devaluation in the international markets in which we operate may negatively affect our results of operations.</w:t>
      </w:r>
    </w:p>
    <w:p>
      <w:pPr>
        <w:spacing w:after="0" w:line="19" w:lineRule="exact"/>
        <w:rPr>
          <w:sz w:val="20"/>
          <w:szCs w:val="20"/>
          <w:color w:val="auto"/>
        </w:rPr>
      </w:pPr>
    </w:p>
    <w:p>
      <w:pPr>
        <w:jc w:val="both"/>
        <w:ind w:right="20" w:firstLine="328"/>
        <w:spacing w:after="0" w:line="257" w:lineRule="auto"/>
        <w:rPr>
          <w:sz w:val="20"/>
          <w:szCs w:val="20"/>
          <w:color w:val="auto"/>
        </w:rPr>
      </w:pPr>
      <w:r>
        <w:rPr>
          <w:rFonts w:ascii="Times New Roman" w:cs="Times New Roman" w:eastAsia="Times New Roman" w:hAnsi="Times New Roman"/>
          <w:sz w:val="18"/>
          <w:szCs w:val="18"/>
          <w:color w:val="auto"/>
        </w:rPr>
        <w:t>We have significant operations outside the U.S., the results of which are reported in the local currency and then translated into U.S. dollars at applicable exchange rates for inclusion in our consolidated financial statements. The exchange rates between these currencies and the U.S. dollar have fluctuated and will continue to do so in the future, with the fluctuations being particularly pronounced in certain emerging markets. Changes in exchange rates between these local currencies and the U.S. dollar will affect the recorded levels of sales, profitability, assets and/or liabilities. Along with other macroeconomic uncertainty we are experiencing such as a highly inflationary global environment and supply chain disruptions discussed elsewhere in these risk factors, we have experienced and continue to expect volatility in global foreign currency exchange rates. The expected continuing increase of interest rates by the Federal Reserve Bank to counter inflationary trends may further impact such exchange rates. Further volatility or unfavorable movements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72" w:lineRule="exact"/>
        <w:rPr>
          <w:sz w:val="20"/>
          <w:szCs w:val="20"/>
          <w:color w:val="auto"/>
        </w:rPr>
      </w:pPr>
    </w:p>
    <w:p>
      <w:pPr>
        <w:jc w:val="both"/>
        <w:ind w:right="20"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International economic, political, legal, compliance and business factors could negatively affect our financial statements, operations and growth.</w:t>
      </w:r>
    </w:p>
    <w:p>
      <w:pPr>
        <w:spacing w:after="0" w:line="19" w:lineRule="exact"/>
        <w:rPr>
          <w:sz w:val="20"/>
          <w:szCs w:val="20"/>
          <w:color w:val="auto"/>
        </w:rPr>
      </w:pPr>
    </w:p>
    <w:p>
      <w:pPr>
        <w:jc w:val="both"/>
        <w:ind w:right="20" w:firstLine="329"/>
        <w:spacing w:after="0" w:line="265" w:lineRule="auto"/>
        <w:rPr>
          <w:sz w:val="20"/>
          <w:szCs w:val="20"/>
          <w:color w:val="auto"/>
        </w:rPr>
      </w:pPr>
      <w:r>
        <w:rPr>
          <w:rFonts w:ascii="Times New Roman" w:cs="Times New Roman" w:eastAsia="Times New Roman" w:hAnsi="Times New Roman"/>
          <w:sz w:val="18"/>
          <w:szCs w:val="18"/>
          <w:color w:val="auto"/>
        </w:rPr>
        <w:t>We operate on a global basis, with manufacturing and sales facilities in or supply arrangements with companies based in the U.S., Europe, Africa, the Middle East, Latin America, and Greater Asia. During 2022, approximately 71% of our combined net sales were to customers outside the U.S. and we intend to continue expansion of our international operations. As a result, our business is increasingly exposed to risks inherent in international operations. These risks, which can vary substantially by location, include the following:</w:t>
      </w:r>
    </w:p>
    <w:p>
      <w:pPr>
        <w:spacing w:after="0" w:line="61" w:lineRule="exact"/>
        <w:rPr>
          <w:sz w:val="20"/>
          <w:szCs w:val="20"/>
          <w:color w:val="auto"/>
        </w:rPr>
      </w:pPr>
    </w:p>
    <w:p>
      <w:pPr>
        <w:jc w:val="both"/>
        <w:ind w:left="660" w:right="20" w:hanging="245"/>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laws, regulations and policies adopted to manage national economic and macroeconomic conditions, such as increases in taxes, austerity measures that may impact consumer spending, monetary policies that may impact inflation rates, employment regulations, currency fluctuations or controls and sustainability of resources;</w:t>
      </w:r>
    </w:p>
    <w:p>
      <w:pPr>
        <w:spacing w:after="0" w:line="1" w:lineRule="exact"/>
        <w:rPr>
          <w:rFonts w:ascii="Times New Roman" w:cs="Times New Roman" w:eastAsia="Times New Roman" w:hAnsi="Times New Roman"/>
          <w:sz w:val="18"/>
          <w:szCs w:val="18"/>
          <w:color w:val="auto"/>
        </w:rPr>
      </w:pPr>
    </w:p>
    <w:p>
      <w:pPr>
        <w:jc w:val="both"/>
        <w:ind w:left="660" w:right="20" w:hanging="245"/>
        <w:spacing w:after="0" w:line="26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health and safety permits or regulations, such as regulations related to biodiversity or the continued implementation and evolution of the European Union’s REACH regulations and similar regulations that are being evaluated and adopted in other markets, or the ban on microplastics proposed by European Commission and the burdens and costs of our compliance with such regulations which may differ significantly across jurisdictions;</w:t>
      </w:r>
    </w:p>
    <w:p>
      <w:pPr>
        <w:spacing w:after="0" w:line="3" w:lineRule="exact"/>
        <w:rPr>
          <w:rFonts w:ascii="Times New Roman" w:cs="Times New Roman" w:eastAsia="Times New Roman" w:hAnsi="Times New Roman"/>
          <w:sz w:val="18"/>
          <w:szCs w:val="18"/>
          <w:color w:val="auto"/>
        </w:rPr>
      </w:pPr>
    </w:p>
    <w:p>
      <w:pPr>
        <w:ind w:left="660" w:right="20" w:hanging="244"/>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labeling and ingredient prohibitions in specific markets that may impact consumer preferences, products costs and/or customer acceptance;</w:t>
      </w:r>
    </w:p>
    <w:p>
      <w:pPr>
        <w:jc w:val="both"/>
        <w:ind w:left="660" w:right="20" w:hanging="244"/>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or changes in customs, tariffs, quotas, trade barriers, other trade protection measures, import or export licensing requirements, and sanctions on trade with certain countries, imposed by the U.S. or other countries, which could adversely affect our cost or ability to import raw materials or export our products to surrounding markets;</w:t>
      </w:r>
    </w:p>
    <w:p>
      <w:pPr>
        <w:spacing w:after="0" w:line="1" w:lineRule="exact"/>
        <w:rPr>
          <w:rFonts w:ascii="Times New Roman" w:cs="Times New Roman" w:eastAsia="Times New Roman" w:hAnsi="Times New Roman"/>
          <w:sz w:val="18"/>
          <w:szCs w:val="18"/>
          <w:color w:val="auto"/>
        </w:rPr>
      </w:pPr>
    </w:p>
    <w:p>
      <w:pPr>
        <w:ind w:left="660" w:right="20" w:hanging="244"/>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arising from our ability to cater to local demand and customer preferences, language and cultural differences;</w:t>
      </w:r>
    </w:p>
    <w:p>
      <w:pPr>
        <w:ind w:left="660" w:right="20" w:hanging="244"/>
        <w:spacing w:after="0" w:line="28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and policies that govern foreign investment in the countries in which we operate, including the risk of expropriation or nationalization, the costs and ability to repatriate the profit that we generate in these countries;</w:t>
      </w:r>
    </w:p>
    <w:p>
      <w:pPr>
        <w:spacing w:after="0" w:line="1" w:lineRule="exact"/>
        <w:rPr>
          <w:rFonts w:ascii="Times New Roman" w:cs="Times New Roman" w:eastAsia="Times New Roman" w:hAnsi="Times New Roman"/>
          <w:sz w:val="18"/>
          <w:szCs w:val="18"/>
          <w:color w:val="auto"/>
        </w:rPr>
      </w:pPr>
    </w:p>
    <w:p>
      <w:pPr>
        <w:ind w:left="660" w:hanging="245"/>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complying with anti-money laundering and counter-terrorism financing laws;</w:t>
      </w:r>
    </w:p>
    <w:p>
      <w:pPr>
        <w:spacing w:after="0" w:line="64" w:lineRule="exact"/>
        <w:rPr>
          <w:rFonts w:ascii="Times New Roman" w:cs="Times New Roman" w:eastAsia="Times New Roman" w:hAnsi="Times New Roman"/>
          <w:sz w:val="18"/>
          <w:szCs w:val="18"/>
          <w:color w:val="auto"/>
        </w:rPr>
      </w:pPr>
    </w:p>
    <w:p>
      <w:pPr>
        <w:jc w:val="both"/>
        <w:ind w:left="660" w:right="20" w:hanging="245"/>
        <w:spacing w:after="0" w:line="275"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complying with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1" w:lineRule="exact"/>
        <w:rPr>
          <w:rFonts w:ascii="Times New Roman" w:cs="Times New Roman" w:eastAsia="Times New Roman" w:hAnsi="Times New Roman"/>
          <w:sz w:val="18"/>
          <w:szCs w:val="18"/>
          <w:color w:val="auto"/>
        </w:rPr>
      </w:pPr>
    </w:p>
    <w:p>
      <w:pPr>
        <w:ind w:left="660" w:right="20" w:hanging="245"/>
        <w:spacing w:after="0" w:line="28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costs associated with political and economic instability, bribery and corruption, anti-American sentiment, and social and ethnic unrest in the countries in which we operate;</w:t>
      </w:r>
    </w:p>
    <w:p>
      <w:pPr>
        <w:ind w:left="660" w:hanging="245"/>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recruiting and retaining trained local personnel;</w:t>
      </w:r>
    </w:p>
    <w:p>
      <w:pPr>
        <w:spacing w:after="0" w:line="68" w:lineRule="exact"/>
        <w:rPr>
          <w:rFonts w:ascii="Times New Roman" w:cs="Times New Roman" w:eastAsia="Times New Roman" w:hAnsi="Times New Roman"/>
          <w:sz w:val="18"/>
          <w:szCs w:val="18"/>
          <w:color w:val="auto"/>
        </w:rPr>
      </w:pPr>
    </w:p>
    <w:p>
      <w:pPr>
        <w:jc w:val="both"/>
        <w:ind w:left="660" w:right="20" w:hanging="245"/>
        <w:spacing w:after="0" w:line="264"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global or local health crisis, pandemics (such as the COVID-19 pandemic), epidemics or international conflicts (such as the Russia-Ukraine conflict) or geopolitical tension (such as deteriorating U.S.-China relations), including terrorist acts, political crisis, national and regional labor strikes in the countries in which we operate, which could endanger our personnel, interrupt our operations or adversely affect the demand for our products, the results of certain regions or our global supply chain; or</w:t>
      </w:r>
    </w:p>
    <w:p>
      <w:pPr>
        <w:spacing w:after="0" w:line="8" w:lineRule="exact"/>
        <w:rPr>
          <w:rFonts w:ascii="Times New Roman" w:cs="Times New Roman" w:eastAsia="Times New Roman" w:hAnsi="Times New Roman"/>
          <w:sz w:val="18"/>
          <w:szCs w:val="18"/>
          <w:color w:val="auto"/>
        </w:rPr>
      </w:pPr>
    </w:p>
    <w:p>
      <w:pPr>
        <w:jc w:val="both"/>
        <w:ind w:left="660" w:right="20" w:hanging="245"/>
        <w:spacing w:after="0" w:line="27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occurrence of any one or more of these factors could increase our costs and adversely affect our results of operations.</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880" w:h="15480" w:orient="portrait"/>
          <w:cols w:equalWidth="0" w:num="1">
            <w:col w:w="9380"/>
          </w:cols>
          <w:pgMar w:left="1060" w:top="1252" w:right="1440" w:bottom="254" w:gutter="0" w:footer="0" w:header="0"/>
        </w:sectPr>
      </w:pPr>
    </w:p>
    <w:bookmarkStart w:id="29" w:name="page30"/>
    <w:bookmarkEnd w:id="29"/>
    <w:p>
      <w:pPr>
        <w:jc w:val="both"/>
        <w:ind w:left="20"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Economic uncertainty, including increased inflation, may adversely affect demand for our products which may have a negative impact on our operating results and future growth.</w:t>
      </w:r>
    </w:p>
    <w:p>
      <w:pPr>
        <w:spacing w:after="0" w:line="19" w:lineRule="exact"/>
        <w:rPr>
          <w:sz w:val="20"/>
          <w:szCs w:val="20"/>
          <w:color w:val="auto"/>
        </w:rPr>
      </w:pPr>
    </w:p>
    <w:p>
      <w:pPr>
        <w:jc w:val="both"/>
        <w:ind w:left="20" w:firstLine="328"/>
        <w:spacing w:after="0" w:line="276" w:lineRule="auto"/>
        <w:rPr>
          <w:sz w:val="20"/>
          <w:szCs w:val="20"/>
          <w:color w:val="auto"/>
        </w:rPr>
      </w:pPr>
      <w:r>
        <w:rPr>
          <w:rFonts w:ascii="Times New Roman" w:cs="Times New Roman" w:eastAsia="Times New Roman" w:hAnsi="Times New Roman"/>
          <w:sz w:val="18"/>
          <w:szCs w:val="18"/>
          <w:color w:val="auto"/>
        </w:rPr>
        <w:t>Many of our products are ingredients in a wide assortment of global consumer products throughout the world. Historically, demand for consumer products using our products, was stimulated and broadened by changing social habits and consumer needs, population growth, an expanding global middle-class and general economic growth, especially in emerging markets.</w:t>
      </w:r>
    </w:p>
    <w:p>
      <w:pPr>
        <w:spacing w:after="0" w:line="52" w:lineRule="exact"/>
        <w:rPr>
          <w:sz w:val="20"/>
          <w:szCs w:val="20"/>
          <w:color w:val="auto"/>
        </w:rPr>
      </w:pPr>
    </w:p>
    <w:p>
      <w:pPr>
        <w:jc w:val="both"/>
        <w:ind w:left="20" w:firstLine="328"/>
        <w:spacing w:after="0" w:line="261" w:lineRule="auto"/>
        <w:rPr>
          <w:sz w:val="20"/>
          <w:szCs w:val="20"/>
          <w:color w:val="auto"/>
        </w:rPr>
      </w:pPr>
      <w:r>
        <w:rPr>
          <w:rFonts w:ascii="Times New Roman" w:cs="Times New Roman" w:eastAsia="Times New Roman" w:hAnsi="Times New Roman"/>
          <w:sz w:val="18"/>
          <w:szCs w:val="18"/>
          <w:color w:val="auto"/>
        </w:rPr>
        <w:t>Changes in the global, regional or local economic conditions have, and may in the near future, adversely impact demand for consumer products at a regional or global level. Such parameters include, but are not limited to, increased inflation, unemployment and underemployment, salaries and wage rates stagnation, low growth rates, and ongoing impacts of the COVID-19 pandemic. Reduced consumer spending may cause changes in our customer orders including reduced demand for our products or order cancellations. The timing of placing of orders and the amounts of these orders are generally at our customers’ discretion. Customers may cancel, reduce or postpone orders with us on relatively short notice. Significant cancellations, reductions or delays in orders by customers could affect our results of operation.</w:t>
      </w:r>
    </w:p>
    <w:p>
      <w:pPr>
        <w:spacing w:after="0" w:line="62" w:lineRule="exact"/>
        <w:rPr>
          <w:sz w:val="20"/>
          <w:szCs w:val="20"/>
          <w:color w:val="auto"/>
        </w:rPr>
      </w:pPr>
    </w:p>
    <w:p>
      <w:pPr>
        <w:jc w:val="both"/>
        <w:ind w:left="20"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If we are unable to react in a timely and cost-effective manner to changes in consumer trends, such as increasing awareness of health and wellness our results of operations and future growth may be adversely affected.</w:t>
      </w:r>
    </w:p>
    <w:p>
      <w:pPr>
        <w:spacing w:after="0" w:line="19" w:lineRule="exact"/>
        <w:rPr>
          <w:sz w:val="20"/>
          <w:szCs w:val="20"/>
          <w:color w:val="auto"/>
        </w:rPr>
      </w:pPr>
    </w:p>
    <w:p>
      <w:pPr>
        <w:jc w:val="both"/>
        <w:ind w:left="20" w:firstLine="328"/>
        <w:spacing w:after="0" w:line="258" w:lineRule="auto"/>
        <w:rPr>
          <w:sz w:val="20"/>
          <w:szCs w:val="20"/>
          <w:color w:val="auto"/>
        </w:rPr>
      </w:pPr>
      <w:r>
        <w:rPr>
          <w:rFonts w:ascii="Times New Roman" w:cs="Times New Roman" w:eastAsia="Times New Roman" w:hAnsi="Times New Roman"/>
          <w:sz w:val="18"/>
          <w:szCs w:val="18"/>
          <w:color w:val="auto"/>
        </w:rPr>
        <w:t>We must continually anticipate and react, in a timely and cost-effective manner, to changes in consumer preferences and demands, including changes in demand driven by increasing awareness of health and wellness, demands for transparency or cleaner labels with respect to product ingredients by consumers and regulators, and attitudes towards the impact of biotechnology advances such as gene editing and mapping. Consumers, especially in developed economies such as the U.S. and Western Europe, are rapidly shifting away from products containing artificial ingredients to all-natural, healthier alternatives. In addition, there has been a growing demand by consumers, non-governmental organizations and, to a lesser extent, governmental agencies to provide more transparency in product labeling and our customers have been taking steps to address this demand, including by voluntarily providing product-specific ingredients disclosure. These two trends could affect the types and volumes of our ingredients and compounds that our customers include in their consumer product offerings and, therefore, affect the demand for our products. If we are unable to react to or anticipate these trends in a timely and cost-effective manner, our results of operations and future growth may be adversely affected.</w:t>
      </w:r>
    </w:p>
    <w:p>
      <w:pPr>
        <w:spacing w:after="0" w:line="65" w:lineRule="exact"/>
        <w:rPr>
          <w:sz w:val="20"/>
          <w:szCs w:val="20"/>
          <w:color w:val="auto"/>
        </w:rPr>
      </w:pPr>
    </w:p>
    <w:p>
      <w:pPr>
        <w:jc w:val="both"/>
        <w:ind w:left="20" w:firstLine="328"/>
        <w:spacing w:after="0" w:line="280" w:lineRule="auto"/>
        <w:rPr>
          <w:sz w:val="20"/>
          <w:szCs w:val="20"/>
          <w:color w:val="auto"/>
        </w:rPr>
      </w:pPr>
      <w:r>
        <w:rPr>
          <w:rFonts w:ascii="Times New Roman" w:cs="Times New Roman" w:eastAsia="Times New Roman" w:hAnsi="Times New Roman"/>
          <w:sz w:val="18"/>
          <w:szCs w:val="18"/>
          <w:b w:val="1"/>
          <w:bCs w:val="1"/>
          <w:color w:val="auto"/>
        </w:rPr>
        <w:t>We are subject to increasing customer, consumer, shareholder and regulatory focus on sustainability, which may result in additional costs in order to meet new requirements or integrate the N&amp;B Business and Frutarom with our sustainability practices.</w:t>
      </w:r>
    </w:p>
    <w:p>
      <w:pPr>
        <w:spacing w:after="0" w:line="44" w:lineRule="exact"/>
        <w:rPr>
          <w:sz w:val="20"/>
          <w:szCs w:val="20"/>
          <w:color w:val="auto"/>
        </w:rPr>
      </w:pPr>
    </w:p>
    <w:p>
      <w:pPr>
        <w:jc w:val="both"/>
        <w:ind w:left="20" w:firstLine="328"/>
        <w:spacing w:after="0" w:line="276" w:lineRule="auto"/>
        <w:rPr>
          <w:sz w:val="20"/>
          <w:szCs w:val="20"/>
          <w:color w:val="auto"/>
        </w:rPr>
      </w:pPr>
      <w:r>
        <w:rPr>
          <w:rFonts w:ascii="Times New Roman" w:cs="Times New Roman" w:eastAsia="Times New Roman" w:hAnsi="Times New Roman"/>
          <w:sz w:val="18"/>
          <w:szCs w:val="18"/>
          <w:color w:val="auto"/>
        </w:rPr>
        <w:t>Federal, state, local and foreign governments, our customers, consumers and shareholders are becoming increasingly sensitive to environmental and other sustainability issues. In response, we have committed to a sustainability strategy to better understand the opportunities and risks in our sustainable efforts.</w:t>
      </w:r>
    </w:p>
    <w:p>
      <w:pPr>
        <w:spacing w:after="0" w:line="52" w:lineRule="exact"/>
        <w:rPr>
          <w:sz w:val="20"/>
          <w:szCs w:val="20"/>
          <w:color w:val="auto"/>
        </w:rPr>
      </w:pPr>
    </w:p>
    <w:p>
      <w:pPr>
        <w:jc w:val="both"/>
        <w:ind w:left="20" w:firstLine="328"/>
        <w:spacing w:after="0" w:line="261" w:lineRule="auto"/>
        <w:rPr>
          <w:sz w:val="20"/>
          <w:szCs w:val="20"/>
          <w:color w:val="auto"/>
        </w:rPr>
      </w:pPr>
      <w:r>
        <w:rPr>
          <w:rFonts w:ascii="Times New Roman" w:cs="Times New Roman" w:eastAsia="Times New Roman" w:hAnsi="Times New Roman"/>
          <w:sz w:val="18"/>
          <w:szCs w:val="18"/>
          <w:color w:val="auto"/>
        </w:rPr>
        <w:t>The increased focus on sustainability may result in new regulations and customer requirements that could affect us. These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or if we are not successful in integrating N&amp;B Business’ and Frutarom’s sustainability metrics. Increased shareholder activism with respect to sustainability or other governance issues or management concerns could also lead to increased costs and disruption to operations. These potential costs, changes and loss of revenue could have a material adverse effect on our business, results of operations and financial condition.</w:t>
      </w:r>
    </w:p>
    <w:p>
      <w:pPr>
        <w:spacing w:after="0" w:line="62" w:lineRule="exact"/>
        <w:rPr>
          <w:sz w:val="20"/>
          <w:szCs w:val="20"/>
          <w:color w:val="auto"/>
        </w:rPr>
      </w:pPr>
    </w:p>
    <w:p>
      <w:pPr>
        <w:jc w:val="both"/>
        <w:ind w:left="20"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Our performance may be adversely impacted if we are not successful in managing our inventory and/or working capital balances.</w:t>
      </w:r>
    </w:p>
    <w:p>
      <w:pPr>
        <w:spacing w:after="0" w:line="19" w:lineRule="exact"/>
        <w:rPr>
          <w:sz w:val="20"/>
          <w:szCs w:val="20"/>
          <w:color w:val="auto"/>
        </w:rPr>
      </w:pPr>
    </w:p>
    <w:p>
      <w:pPr>
        <w:jc w:val="both"/>
        <w:ind w:left="20" w:firstLine="329"/>
        <w:spacing w:after="0" w:line="257" w:lineRule="auto"/>
        <w:rPr>
          <w:sz w:val="20"/>
          <w:szCs w:val="20"/>
          <w:color w:val="auto"/>
        </w:rPr>
      </w:pPr>
      <w:r>
        <w:rPr>
          <w:rFonts w:ascii="Times New Roman" w:cs="Times New Roman" w:eastAsia="Times New Roman" w:hAnsi="Times New Roman"/>
          <w:sz w:val="18"/>
          <w:szCs w:val="18"/>
          <w:color w:val="auto"/>
        </w:rPr>
        <w:t xml:space="preserve">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and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 decisions do not accurately predict sourcing levels, customer trends or our expectations about customer needs are inaccurate, we may have to take unanticipated markdowns or charges to dispose of the excess or obsolete inventory, which can adversely impact our financial results. Current supply-chain related issues could also lead to raw material shortages and inventory depletion, which may adversely affect our operations. See </w:t>
      </w:r>
      <w:r>
        <w:rPr>
          <w:rFonts w:ascii="Times New Roman" w:cs="Times New Roman" w:eastAsia="Times New Roman" w:hAnsi="Times New Roman"/>
          <w:sz w:val="18"/>
          <w:szCs w:val="18"/>
          <w:i w:val="1"/>
          <w:iCs w:val="1"/>
          <w:color w:val="auto"/>
        </w:rPr>
        <w:t>“—Supply chain disruptions, geopolitical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developments, including the Russia-Ukraine conflict or climate-change events (including severe weather events) may adversely affect our suppliers or our procurement of raw materials, and thus may impact our business and financial results.” </w:t>
      </w:r>
      <w:r>
        <w:rPr>
          <w:rFonts w:ascii="Times New Roman" w:cs="Times New Roman" w:eastAsia="Times New Roman" w:hAnsi="Times New Roman"/>
          <w:sz w:val="18"/>
          <w:szCs w:val="18"/>
          <w:color w:val="auto"/>
        </w:rPr>
        <w:t>Additionally, we believe excess inventory levels of raw materials with a short shelf life in our manufacturing facilities subjects us to the risk of increased inventory shrinkage. If we are not successful in managing our inventory balances and shrinkage, our results of and cash flows from operations may be negatively affected.</w:t>
      </w: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880" w:h="15480" w:orient="portrait"/>
          <w:cols w:equalWidth="0" w:num="1">
            <w:col w:w="9380"/>
          </w:cols>
          <w:pgMar w:left="1440" w:top="1252" w:right="1060" w:bottom="254" w:gutter="0" w:footer="0" w:header="0"/>
        </w:sectPr>
      </w:pPr>
    </w:p>
    <w:bookmarkStart w:id="30" w:name="page31"/>
    <w:bookmarkEnd w:id="30"/>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We sell certain accounts receivable on a non-recourse basis to unrelated financial institutions under “factoring” agreements, some of which are sponsored by certain customers. The cost of participating in these programs was immaterial to our results in all periods. Should we choose not to participate, or if these programs were no longer available, it could reduce our cash flows from operations in the period in which the arrangement ends.</w:t>
      </w:r>
    </w:p>
    <w:p>
      <w:pPr>
        <w:spacing w:after="0" w:line="54"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Any impairment of our tangible or intangible long-lived assets, including goodwill, may adversely impact our profitability.</w:t>
      </w:r>
    </w:p>
    <w:p>
      <w:pPr>
        <w:spacing w:after="0" w:line="19"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A significant portion of our assets consists of long-lived assets, including tangible assets such as our manufacturing facilities, and intangible assets, including goodwill and customer relationships.</w:t>
      </w:r>
    </w:p>
    <w:p>
      <w:pPr>
        <w:spacing w:after="0" w:line="30"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As a result of our recent acquisitions, including the acquisition of Frutarom and the N&amp;B Transaction, as of December 31, 2022, we had recorded approximately $22.437 billion of intangible assets and goodwill, including $4.289 billion of goodwill associated with the acquisition of Frutarom and $11.817 billion of goodwill associated with the merger with the N&amp;B Business. Our results of operations and financial position in future periods could be negatively impacted should future impairments of our long-lived assets, including intangible assets or goodwill occur.</w:t>
      </w:r>
    </w:p>
    <w:p>
      <w:pPr>
        <w:spacing w:after="0" w:line="6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2022, we recorded a goodwill impairment charge of $2.250 billion, as well as an impairment charge of $120 million allocated on a pro rata basis to intangible assets and property, plant and equipment in the amounts of approximately $92 million and $28 million, respectively, in the Consolidated Statements of (Loss) Income and Comprehensive (Loss) Income. Refer to Part II, Item 7 and Note 1, Note 5 and Note 6 to the Consolidated Financial Statements for additional information.</w:t>
      </w:r>
    </w:p>
    <w:p>
      <w:pPr>
        <w:spacing w:after="0" w:line="61" w:lineRule="exact"/>
        <w:rPr>
          <w:sz w:val="20"/>
          <w:szCs w:val="20"/>
          <w:color w:val="auto"/>
        </w:rPr>
      </w:pPr>
    </w:p>
    <w:p>
      <w:pPr>
        <w:jc w:val="both"/>
        <w:ind w:firstLine="328"/>
        <w:spacing w:after="0" w:line="256" w:lineRule="auto"/>
        <w:rPr>
          <w:sz w:val="20"/>
          <w:szCs w:val="20"/>
          <w:color w:val="auto"/>
        </w:rPr>
      </w:pPr>
      <w:r>
        <w:rPr>
          <w:rFonts w:ascii="Times New Roman" w:cs="Times New Roman" w:eastAsia="Times New Roman" w:hAnsi="Times New Roman"/>
          <w:sz w:val="18"/>
          <w:szCs w:val="18"/>
          <w:color w:val="auto"/>
        </w:rPr>
        <w:t>At least annually, we assess both goodwill and indefinite-lived intangible assets for impairment. We test for impairment by comparing the estimated fair value of a reporting unit with its carrying amount. If the carrying amount of a reporting unit exceeds its estimated fair value, we record an impairment charge based on the difference of the two. Intangible assets with finite lives are also tested for impairment when events or changes in circumstances indicate the carrying value may not be recoverable. Such events and changes in circumstances could include a sustained decrease in our market capitalization, increased competition or unexpected loss of market share, increased input costs beyond projections (for example due to regulatory or industry changes), our inability to recognize the anticipated benefits of acquisitions, unexpected business disruptions (for example due to a natural disaster, public health crises, such as pandemics or epidemics or loss of a customer, supplier, or other significant business relationship), acts by governments and courts, operating results falling short of projections, or significant adverse changes in the markets in which we operate. For example, in the third quarter of 2022, it was determined that goodwill impairment triggering events occurred for the Nourish, Health &amp; Biosciences and Pharma Solutions reporting units. The primary indicators that were deemed to be triggering events in the quarter for the reporting units were declines in projections across various reporting units and ongoing adverse macroeconomic impacts such as inflation, increases in interest rates and unfavorable effects from exchange rates. As a result of the triggering events, we assessed the fair value of the reporting units by using a discounted cash flow method at a rate of return that reflects the relative risk of the projected future cash flows of each reporting unit, as well as a terminal value. We determined that the fair value of the Nourish and Pharma Solutions reporting units exceeded their carrying value, and determined that there was no impairment of goodwill relating to these reporting units. We determined that the carrying value of the Health &amp; Biosciences reporting unit exceeded its fair value and recorded a goodwill impairment charge of $2.250 billion in the Consolidated Statements of (Loss) Income and Comprehensive (Loss) Income for the year ended December 31, 2022.</w:t>
      </w:r>
    </w:p>
    <w:p>
      <w:pPr>
        <w:spacing w:after="0" w:line="69"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estimates and market factors. Estimating the fair value of reporting units requires us to make assumptions and estimates regarding our business performance, future plans, future annual net cash flows, income tax considerations, discount rates and growth rates based on industry, economic, regulatory conditions and other market factors. Moreover, management will make significant accounting judgments and estimates for the application of acquisition accounting under GAAP, and the underlying valuation models. IFF’s business, operating results and financial condition could be materially and adversely impacted in future periods if IFF’s accounting judgments and estimates related to these models prove to be inaccurate.</w:t>
      </w:r>
    </w:p>
    <w:p>
      <w:pPr>
        <w:spacing w:after="0" w:line="65"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To the extent any of our acquisitions, including the acquisitions of Frutarom and the N&amp;B Business, do not perform as anticipated and our underlying assumptions and estimates related to their fair value determination are not met, whether due to internal or external factors, the value of goodwill and other long-lived assets may be negatively affected and we may be required to record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880" w:h="15480" w:orient="portrait"/>
          <w:cols w:equalWidth="0" w:num="1">
            <w:col w:w="9360"/>
          </w:cols>
          <w:pgMar w:left="1260" w:top="1255" w:right="1260" w:bottom="254" w:gutter="0" w:footer="0" w:header="0"/>
        </w:sectPr>
      </w:pPr>
    </w:p>
    <w:bookmarkStart w:id="31" w:name="page32"/>
    <w:bookmarkEnd w:id="31"/>
    <w:p>
      <w:pPr>
        <w:jc w:val="both"/>
        <w:ind w:firstLine="328"/>
        <w:spacing w:after="0" w:line="274" w:lineRule="auto"/>
        <w:rPr>
          <w:sz w:val="20"/>
          <w:szCs w:val="20"/>
          <w:color w:val="auto"/>
        </w:rPr>
      </w:pPr>
      <w:r>
        <w:rPr>
          <w:rFonts w:ascii="Times New Roman" w:cs="Times New Roman" w:eastAsia="Times New Roman" w:hAnsi="Times New Roman"/>
          <w:sz w:val="18"/>
          <w:szCs w:val="18"/>
          <w:b w:val="1"/>
          <w:bCs w:val="1"/>
          <w:color w:val="auto"/>
        </w:rPr>
        <w:t>Our funding obligations for our pension and postretirement plans could adversely affect our earnings and cash flows.</w:t>
      </w:r>
    </w:p>
    <w:p>
      <w:pPr>
        <w:spacing w:after="0" w:line="314"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66"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63"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The phase out of the London Interbank Offered Rate (“LIBOR”) may impact the interest rates paid on our variable rate indebtedness and could cause our interest expense to increase.</w:t>
      </w:r>
    </w:p>
    <w:p>
      <w:pPr>
        <w:spacing w:after="0" w:line="19" w:lineRule="exact"/>
        <w:rPr>
          <w:sz w:val="20"/>
          <w:szCs w:val="20"/>
          <w:color w:val="auto"/>
        </w:rPr>
      </w:pPr>
    </w:p>
    <w:p>
      <w:pPr>
        <w:jc w:val="both"/>
        <w:ind w:firstLine="329"/>
        <w:spacing w:after="0" w:line="260" w:lineRule="auto"/>
        <w:rPr>
          <w:sz w:val="20"/>
          <w:szCs w:val="20"/>
          <w:color w:val="auto"/>
        </w:rPr>
      </w:pPr>
      <w:r>
        <w:rPr>
          <w:rFonts w:ascii="Times New Roman" w:cs="Times New Roman" w:eastAsia="Times New Roman" w:hAnsi="Times New Roman"/>
          <w:sz w:val="18"/>
          <w:szCs w:val="18"/>
          <w:color w:val="auto"/>
        </w:rPr>
        <w:t>In 2017, the United Kingdom’s Financial Conduct Authority (the “FCA”), which regulates LIBOR, announced that it intends to phase out LIBOR by the end of 2021. It was unclear at that time whether or not LIBOR would cease to exist, if new methods of calculating LIBOR would be established such that it continues to exist after 2021 or if replacement conventions would be developed. In March 2021, the FCA confirmed that publication of all of the LIBOR settings for Euro, Sterling and Swiss Franc and some of the LIBOR settings for Japanese Yen and US dollars ceased in December 2021 and the remainder of the LIBOR settings for US dollars will cease in June 2023. In response to the expected phase out of LIBOR, in March 2022, Congress passed the LIBOR Act to provide a uniform solution for replacing LIBOR references in existing contracts that do not supply a fallback provision identifying an alternative benchmark rate.</w:t>
      </w:r>
    </w:p>
    <w:p>
      <w:pPr>
        <w:spacing w:after="0" w:line="66"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To identify a successor rate for LIBOR, financial regulators in various countries, including the United States, the United Kingdom, the European Union and Switzerland, have formed working groups with the aim of recommending alternatives to LIBOR denominated in their local currencies. Some of the financial regulators have identified the Secured Overnight Financing Rate (“SOFR”) as their preferred replacement rate for LIBOR. For example, in May 2022, the Alternative Reference Rates Committee (ARRC), a group of private-market participants convened by the U.S. Federal Reserve Board and the Federal Reserve Bank of New York, endorsed SOFR as its recommended alternative benchmark rate to replace the LIBOR settings for US dollars. SOFR is observed and backward-looking, which stands in contrast with LIBOR under the current methodology, which is an estimated forward-looking rate and relies, to some degree, on the expert judgment of submitting panel members. Given that SOFR is a secured rate backed by government securities, it will be a rate that does not take into account bank credit risk (as is the case with LIBOR). Whether or not SOFR attains market traction as a LIBOR replacement tool remains in question. It is unclear if other benchmarks may emerge or if other rates will be adopted. As such, the transition from LIBOR poses future uncertainties and challenges.</w:t>
      </w:r>
    </w:p>
    <w:p>
      <w:pPr>
        <w:spacing w:after="0" w:line="75"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Even if the financial instruments transition to using alternative benchmarks like SOFR successfully, the new benchmarks are likely to differ from LIBOR, as the alternative benchmark rate may be calculated differently. Borrowings under our revolving credit and term loan facilities are at variable interest rates based on LIBOR. Although our revolving credit and term loan facilities include mechanics to facilitate the adoption by us and our lenders of an alternative benchmark rate in place of LIBOR, no assurance can be made that such alternative rate will perform in a manner similar to LIBOR and may result in interest rates that are higher or lower than those that would have resulted had LIBOR remained in effect. Further, transitioning to an alternative benchmark rate, such as SOFR, may result in us incurring expense and legal risks, as renegotiation and changes to documentation may be required in effecting the transition. Any of these occurrences could materially and adversely affect our borrowing costs,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880" w:h="15480" w:orient="portrait"/>
          <w:cols w:equalWidth="0" w:num="1">
            <w:col w:w="9360"/>
          </w:cols>
          <w:pgMar w:left="1260" w:top="1252" w:right="1260" w:bottom="254"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color w:val="auto"/>
        </w:rPr>
        <w:t>Our business may be negatively impacted as a result of the United Kingdom’s departure from the European Union.</w:t>
      </w:r>
    </w:p>
    <w:p>
      <w:pPr>
        <w:spacing w:after="0" w:line="124"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We currently manufacture goods in the United Kingdom for distribution in the European Union and vice-versa and therefore may continue to be adversely affected as a result of the United Kingdom’s departure from the European Union (“Brexit”) in 2020. The impact of the withdrawal has and may continue to, among other outcomes, exacerbate the disruption of the free movement of goods, services and people between the United Kingdom and the European Union, undermine bilateral cooperation in key geographic areas and disrupt trade between the United Kingdom and the European Union or other nations as the United Kingdom pursues independent trade relations. In addition, Brexit continues to cause legal uncertainty, which could last indefinitely, and may potentially create divergent national laws and regulations as the United Kingdom determines which European Union laws to replace or replicate. Given the lack of comparable precedent, it is unclear what the financial, trade and legal implications of the withdrawal of the United Kingdom from the European Union will be and how the withdrawal will continue to affect us.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and Regulatory Considerations</w:t>
      </w:r>
    </w:p>
    <w:p>
      <w:pPr>
        <w:spacing w:after="0" w:line="121" w:lineRule="exact"/>
        <w:rPr>
          <w:sz w:val="20"/>
          <w:szCs w:val="20"/>
          <w:color w:val="auto"/>
        </w:rPr>
      </w:pPr>
    </w:p>
    <w:p>
      <w:pPr>
        <w:jc w:val="both"/>
        <w:ind w:firstLine="328"/>
        <w:spacing w:after="0" w:line="280" w:lineRule="auto"/>
        <w:rPr>
          <w:sz w:val="20"/>
          <w:szCs w:val="20"/>
          <w:color w:val="auto"/>
        </w:rPr>
      </w:pPr>
      <w:r>
        <w:rPr>
          <w:rFonts w:ascii="Times New Roman" w:cs="Times New Roman" w:eastAsia="Times New Roman" w:hAnsi="Times New Roman"/>
          <w:sz w:val="18"/>
          <w:szCs w:val="18"/>
          <w:b w:val="1"/>
          <w:bCs w:val="1"/>
          <w:color w:val="auto"/>
        </w:rPr>
        <w:t>If we are 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44"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governments, non -governmental organizations, including industry or similar oversight bodies, or contractually by our customers, including requirements concerning product safety, quality and efficacy, environmental impacts (including packaging, energy and water use and waste management) and other sustainability or similar issues. Changes to regulations or the implementation of additional regulations, especially in certain highly regulated markets we are active in, such as regulatory modernization of food safety laws and evolving standards and regulations affecting pharmaceutical excipients or in reaction to new or next-generation technologies, including advances in protein engineering, biotechnology (e.g., gene editing and gene mapping), or novel uses of existing technologies has required and may in the future require us to reduce or remove certain ingredients, substances or processing aids from the product portfolio and may result in significant costs or capital expenditures or require changes in business practice that could result in reduced margins or profitability.</w:t>
      </w:r>
    </w:p>
    <w:p>
      <w:pPr>
        <w:spacing w:after="0" w:line="287"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As concerns regarding safety, quality and environmental impact become more pressing, we may see new, more restrictive regulations adopted that impact our products. For example, the European Chemicals Agency has proposed that the European Commission adopt a ban on microplastics, including those found in personal care items, detergents and cosmetics, to reduce plastics pollution. If this ban is adopted, we will be required to modify our products and/or innovate new solutions to replace microplastics in our products. If we are unable to adapt to these new regulations or standards in a cost effective and timely manner, we may lose business to competitors who are able to provide compliant products, expose ourselves to customer claims, regulatory fines, litigation or reputational damage.</w:t>
      </w:r>
    </w:p>
    <w:p>
      <w:pPr>
        <w:spacing w:after="0" w:line="65" w:lineRule="exact"/>
        <w:rPr>
          <w:sz w:val="20"/>
          <w:szCs w:val="20"/>
          <w:color w:val="auto"/>
        </w:rPr>
      </w:pPr>
    </w:p>
    <w:p>
      <w:pPr>
        <w:jc w:val="both"/>
        <w:ind w:firstLine="329"/>
        <w:spacing w:after="0" w:line="260" w:lineRule="auto"/>
        <w:rPr>
          <w:sz w:val="20"/>
          <w:szCs w:val="20"/>
          <w:color w:val="auto"/>
        </w:rPr>
      </w:pPr>
      <w:r>
        <w:rPr>
          <w:rFonts w:ascii="Times New Roman" w:cs="Times New Roman" w:eastAsia="Times New Roman" w:hAnsi="Times New Roman"/>
          <w:sz w:val="18"/>
          <w:szCs w:val="18"/>
          <w:color w:val="auto"/>
        </w:rPr>
        <w:t>Gaps in our operational processes or those of our suppliers or distributors can result in products that do not meet our quality control or industry standards or fail to comply with the relevant regulatory requirements, which in turn can result in finished consumer goods that do not comply with applicable standards and requirements. Products that are mislabeled, contaminated or damaged could result in a regulatory non-compliance event or even a product recall by the FDA or a similar foreign agency. For instance, the Company determined that certain grades of microcrystalline cellulose (Avicel® PH 101, 102, and 200 NF and Avicel® RC-591 NF) were found to be out-of-specification. Although the Company does not expect the OOS conductivity issue to affect the functionality of Avicel® NF grades or to pose a human health hazard, corrective actions have been implemented to improve operational and laboratory conditions.</w:t>
      </w:r>
    </w:p>
    <w:p>
      <w:pPr>
        <w:spacing w:after="0" w:line="66"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We may also be exposed to serious adverse health claims related to undetected poor quality of raw materials, internal system failures to adequately reduce or eliminate certain hazards (such as pathogens, allergens, contaminants, pesticides, physical hazards, etc.) or products that are not in line with required or agreed specifications. Supply chain complexities, aging equipment and infrastructure, human errors, or other failures may exacerbate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880" w:h="15480" w:orient="portrait"/>
          <w:cols w:equalWidth="0" w:num="1">
            <w:col w:w="9360"/>
          </w:cols>
          <w:pgMar w:left="1260" w:top="1252" w:right="1260" w:bottom="254" w:gutter="0" w:footer="0" w:header="0"/>
        </w:sectPr>
      </w:pPr>
    </w:p>
    <w:bookmarkStart w:id="33" w:name="page34"/>
    <w:bookmarkEnd w:id="33"/>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Our contracts often require us to indemnify our customers for the costs associated with a product non-compliance event, including penalties, costs and settlements arising from litigation, remediation costs or loss of sales. As our offerings are used in many products intended for human use or consumption, these consequences would be exacerbated if we or our customer did not identify the defect before the product reaches the consumer and there was a resulting impact at the consumer level. Such a result could lead to potentially large -scale adverse publicity, negative effects on consumer’s health, recalls and potential litigation, fines, penalties, sanctions or other regulatory actions. In addition, if we do not have adequate insurance or contractual indemnification from suppliers or other third parties, or if insurance or indemnification is not available, the liability relating to product or possible third-party claims arising from mislabeled, contaminated or damaged products could adversely affect our business, financial condition or results of operations. Furthermore,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utilize significant resources to rebuild our reputation.</w:t>
      </w:r>
    </w:p>
    <w:p>
      <w:pPr>
        <w:spacing w:after="0" w:line="72" w:lineRule="exact"/>
        <w:rPr>
          <w:sz w:val="20"/>
          <w:szCs w:val="20"/>
          <w:color w:val="auto"/>
        </w:rPr>
      </w:pPr>
    </w:p>
    <w:p>
      <w:pPr>
        <w:jc w:val="both"/>
        <w:ind w:right="20"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Defects, quality issues (including product recalls), inadequate disclosure or misuse with respect to the products and capabilities could adversely affect our business, reputation and results of operations.</w:t>
      </w:r>
    </w:p>
    <w:p>
      <w:pPr>
        <w:spacing w:after="0" w:line="19" w:lineRule="exact"/>
        <w:rPr>
          <w:sz w:val="20"/>
          <w:szCs w:val="20"/>
          <w:color w:val="auto"/>
        </w:rPr>
      </w:pPr>
    </w:p>
    <w:p>
      <w:pPr>
        <w:jc w:val="both"/>
        <w:ind w:right="20" w:firstLine="328"/>
        <w:spacing w:after="0" w:line="269" w:lineRule="auto"/>
        <w:rPr>
          <w:sz w:val="20"/>
          <w:szCs w:val="20"/>
          <w:color w:val="auto"/>
        </w:rPr>
      </w:pPr>
      <w:r>
        <w:rPr>
          <w:rFonts w:ascii="Times New Roman" w:cs="Times New Roman" w:eastAsia="Times New Roman" w:hAnsi="Times New Roman"/>
          <w:sz w:val="18"/>
          <w:szCs w:val="18"/>
          <w:color w:val="auto"/>
        </w:rPr>
        <w:t>Defects in, misuse of, quality issues with respect to (including products recalls) or inadequate disclosure of risks relating to our products, could lead to lost profits and other economic damage, property damage, personal injury or other liability resulting in third-party claims, criminal liability, significant costs, damage to our reputation and loss of business. Any of these factors could adversely affect our business, financial condition and our results of operations.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results of operations may be negatively impacted by the outcome of uncertainties related to litigation.</w:t>
      </w:r>
    </w:p>
    <w:p>
      <w:pPr>
        <w:spacing w:after="0" w:line="125" w:lineRule="exact"/>
        <w:rPr>
          <w:sz w:val="20"/>
          <w:szCs w:val="20"/>
          <w:color w:val="auto"/>
        </w:rPr>
      </w:pPr>
    </w:p>
    <w:p>
      <w:pPr>
        <w:jc w:val="both"/>
        <w:ind w:right="20" w:firstLine="328"/>
        <w:spacing w:after="0" w:line="265" w:lineRule="auto"/>
        <w:rPr>
          <w:sz w:val="20"/>
          <w:szCs w:val="20"/>
          <w:color w:val="auto"/>
        </w:rPr>
      </w:pPr>
      <w:r>
        <w:rPr>
          <w:rFonts w:ascii="Times New Roman" w:cs="Times New Roman" w:eastAsia="Times New Roman" w:hAnsi="Times New Roman"/>
          <w:sz w:val="18"/>
          <w:szCs w:val="18"/>
          <w:color w:val="auto"/>
        </w:rPr>
        <w:t>From time to time we are involved in a number of legal claims, regulatory investigations and litigation, including claims related to intellectual property, product liability, environmental matters and indirect taxes. For instance, product liability claims may arise due to the fact that we supply products to the food and beverage, functional food, pharma/nutraceutical and personal care industries. Our manufacturing and other facilities may expose us to environmental claims and regulatory investigations and potential fines.</w:t>
      </w:r>
    </w:p>
    <w:p>
      <w:pPr>
        <w:spacing w:after="0" w:line="61" w:lineRule="exact"/>
        <w:rPr>
          <w:sz w:val="20"/>
          <w:szCs w:val="20"/>
          <w:color w:val="auto"/>
        </w:rPr>
      </w:pPr>
    </w:p>
    <w:p>
      <w:pPr>
        <w:jc w:val="both"/>
        <w:ind w:right="20" w:firstLine="328"/>
        <w:spacing w:after="0" w:line="262" w:lineRule="auto"/>
        <w:rPr>
          <w:sz w:val="20"/>
          <w:szCs w:val="20"/>
          <w:color w:val="auto"/>
        </w:rPr>
      </w:pPr>
      <w:r>
        <w:rPr>
          <w:rFonts w:ascii="Times New Roman" w:cs="Times New Roman" w:eastAsia="Times New Roman" w:hAnsi="Times New Roman"/>
          <w:sz w:val="18"/>
          <w:szCs w:val="18"/>
          <w:color w:val="auto"/>
        </w:rPr>
        <w:t>In addition, in light of our product offerings into functional food, nutraceuticals, and natural antioxidants, we may also be subject to claims of false or deceptive advertising claims relating to the efficacy, health benefits or other performance attributes of such offerings in the U.S., Europe and other foreign jurisdictions in which we offer these types of products. These claims can arise as a result of function claims, health claims, nutrient content claims and other claims that impermissibly suggest such benefits or attributes for certain foods or food components. The cost of defending these claims or our obligations for direct damages and indemnification if we were found liable could adversely affect our results of operations.</w:t>
      </w:r>
    </w:p>
    <w:p>
      <w:pPr>
        <w:spacing w:after="0" w:line="66" w:lineRule="exact"/>
        <w:rPr>
          <w:sz w:val="20"/>
          <w:szCs w:val="20"/>
          <w:color w:val="auto"/>
        </w:rPr>
      </w:pPr>
    </w:p>
    <w:p>
      <w:pPr>
        <w:jc w:val="both"/>
        <w:ind w:right="20" w:firstLine="328"/>
        <w:spacing w:after="0" w:line="262" w:lineRule="auto"/>
        <w:rPr>
          <w:sz w:val="20"/>
          <w:szCs w:val="20"/>
          <w:color w:val="auto"/>
        </w:rPr>
      </w:pPr>
      <w:r>
        <w:rPr>
          <w:rFonts w:ascii="Times New Roman" w:cs="Times New Roman" w:eastAsia="Times New Roman" w:hAnsi="Times New Roman"/>
          <w:sz w:val="18"/>
          <w:szCs w:val="18"/>
          <w:color w:val="auto"/>
        </w:rPr>
        <w:t>As a result of the N&amp;B Transaction and the Frutarom acquisition, we assumed legal or environmental claims, regulatory investigations, and litigation, including product liability, patent infringement, commercial litigation and other actions. We have and will continue to become involved in additional actions arising from the acquired operations. Specifically, as the N&amp;B Business and Frutarom had a significant number of facilities located globally and a large number of customers, our exposure to legal claims, regulatory and environmental investigations and litigation is increased. This will likely result in an increase in our cost for defense, settlement of claims or indemnification obligations as compared to our historical experience.</w:t>
      </w:r>
    </w:p>
    <w:p>
      <w:pPr>
        <w:spacing w:after="0" w:line="66" w:lineRule="exact"/>
        <w:rPr>
          <w:sz w:val="20"/>
          <w:szCs w:val="20"/>
          <w:color w:val="auto"/>
        </w:rPr>
      </w:pPr>
    </w:p>
    <w:p>
      <w:pPr>
        <w:jc w:val="both"/>
        <w:ind w:right="20" w:firstLine="328"/>
        <w:spacing w:after="0" w:line="276" w:lineRule="auto"/>
        <w:rPr>
          <w:sz w:val="20"/>
          <w:szCs w:val="20"/>
          <w:color w:val="auto"/>
        </w:rPr>
      </w:pPr>
      <w:r>
        <w:rPr>
          <w:rFonts w:ascii="Times New Roman" w:cs="Times New Roman" w:eastAsia="Times New Roman" w:hAnsi="Times New Roman"/>
          <w:sz w:val="18"/>
          <w:szCs w:val="18"/>
          <w:color w:val="auto"/>
        </w:rPr>
        <w:t>Our insurance may not be adequate to protect us from potential material expenses related to pending and future claims and our current levels of insurance may not be available in the future at commercially reasonable prices. Any of these factors could adversely affect our profitability and results of operations.</w:t>
      </w:r>
    </w:p>
    <w:p>
      <w:pPr>
        <w:spacing w:after="0" w:line="49" w:lineRule="exact"/>
        <w:rPr>
          <w:sz w:val="20"/>
          <w:szCs w:val="20"/>
          <w:color w:val="auto"/>
        </w:rPr>
      </w:pPr>
    </w:p>
    <w:p>
      <w:pPr>
        <w:jc w:val="both"/>
        <w:ind w:right="20" w:firstLine="328"/>
        <w:spacing w:after="0" w:line="280" w:lineRule="auto"/>
        <w:rPr>
          <w:sz w:val="20"/>
          <w:szCs w:val="20"/>
          <w:color w:val="auto"/>
        </w:rPr>
      </w:pPr>
      <w:r>
        <w:rPr>
          <w:rFonts w:ascii="Times New Roman" w:cs="Times New Roman" w:eastAsia="Times New Roman" w:hAnsi="Times New Roman"/>
          <w:sz w:val="18"/>
          <w:szCs w:val="18"/>
          <w:b w:val="1"/>
          <w:bCs w:val="1"/>
          <w:color w:val="auto"/>
        </w:rPr>
        <w:t>Failure to comply with environmental protection laws may cause us to close, relocate or operate one or more of our plants at reduced production levels, and expose us to civil or criminal liability, which could adversely affect our operating results and future growth.</w:t>
      </w:r>
    </w:p>
    <w:p>
      <w:pPr>
        <w:spacing w:after="0" w:line="46" w:lineRule="exact"/>
        <w:rPr>
          <w:sz w:val="20"/>
          <w:szCs w:val="20"/>
          <w:color w:val="auto"/>
        </w:rPr>
      </w:pPr>
    </w:p>
    <w:p>
      <w:pPr>
        <w:jc w:val="both"/>
        <w:ind w:right="20" w:firstLine="328"/>
        <w:spacing w:after="0" w:line="269" w:lineRule="auto"/>
        <w:rPr>
          <w:sz w:val="20"/>
          <w:szCs w:val="20"/>
          <w:color w:val="auto"/>
        </w:rPr>
      </w:pPr>
      <w:r>
        <w:rPr>
          <w:rFonts w:ascii="Times New Roman" w:cs="Times New Roman" w:eastAsia="Times New Roman" w:hAnsi="Times New Roman"/>
          <w:sz w:val="18"/>
          <w:szCs w:val="18"/>
          <w:color w:val="auto"/>
        </w:rPr>
        <w:t>Our business operations and properties procure, make use of, manufacture, sell, and distribute substances that are sometimes considered hazardous and are therefore subject to extensive and increasingly stringent federal, state, local and foreign laws and regulations pertaining to protection of the environment, including air emissions, sewage discharges, the use of hazardous materials, waste disposal practices and clean-up of existing environmental contamination.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880" w:h="15480" w:orient="portrait"/>
          <w:cols w:equalWidth="0" w:num="1">
            <w:col w:w="9380"/>
          </w:cols>
          <w:pgMar w:left="1260" w:top="1255" w:right="1240" w:bottom="254" w:gutter="0" w:footer="0" w:header="0"/>
        </w:sectPr>
      </w:pPr>
    </w:p>
    <w:bookmarkStart w:id="34" w:name="page35"/>
    <w:bookmarkEnd w:id="34"/>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Failure to comply with these laws and regulations or any future changes to them may result in significant consequences to us, including the need to close or relocate one or more of our production facilities, administrative, civil and criminal penalties, fines, sanctions, litigation, costly remediation measures, liability for damages and negative publicity. If we are unable to meet production requirements, we can lose customer orders, which can adversely affect our future growth or we may be required to make incremental capital investments to ensure supply. Idling of facilities or production modifications has caused or may cause customers to seek alternate suppliers due to concerns regarding supply interruptions and these customers may not return or may order at reduced levels even once issues are remediated. If these non-compliance issues reoccur in China or occur or in any other jurisdiction, we may lose business and may be required to incur capital spending above previous expectations, close a plant, or operate a plant at significantly reduced production levels on a permanent basis, and our operating results and cash flows from operations may be adversely affected.</w:t>
      </w:r>
    </w:p>
    <w:p>
      <w:pPr>
        <w:spacing w:after="0" w:line="69" w:lineRule="exact"/>
        <w:rPr>
          <w:sz w:val="20"/>
          <w:szCs w:val="20"/>
          <w:color w:val="auto"/>
        </w:rPr>
      </w:pPr>
    </w:p>
    <w:p>
      <w:pPr>
        <w:jc w:val="both"/>
        <w:ind w:firstLine="328"/>
        <w:spacing w:after="0" w:line="280" w:lineRule="auto"/>
        <w:rPr>
          <w:sz w:val="20"/>
          <w:szCs w:val="20"/>
          <w:color w:val="auto"/>
        </w:rPr>
      </w:pPr>
      <w:r>
        <w:rPr>
          <w:rFonts w:ascii="Times New Roman" w:cs="Times New Roman" w:eastAsia="Times New Roman" w:hAnsi="Times New Roman"/>
          <w:sz w:val="18"/>
          <w:szCs w:val="18"/>
          <w:b w:val="1"/>
          <w:bCs w:val="1"/>
          <w:color w:val="auto"/>
        </w:rPr>
        <w:t>We could be adversely affected by violations, by us or our counterparties, of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44"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The global nature of our business, our increased size and employee count, the significance of our international revenue, our focus on emerging markets and presence in regulated industries create various domestic and local regulatory challenges and subject us to risks associated with our international operations. The U.S. Foreign Corrupt Practices Act (the “FCPA”) and similar anti-bribery and anti-corruption laws and regulations in other countries generally prohibit companies and their intermediaries from making improper payments to foreign officials for the purpose of obtaining or keeping business or for other commercial advantage. In addition, U.S. public companies are required to maintain records that accurately and fairly represent their transactions and have an adequate system of internal accounting controls. Under the FCPA, U.S. companies may be held liable for the corrupt actions taken by directors, officers, employees, agents, or other strategic or local partners or representatives. As such, if we or our intermediaries fail to comply with the requirements of the FCPA or similar legislation, governmental authorities in the U.S. and elsewhere could seek to impose substantial civil and/or criminal fines and penalties which could have a material adverse effect on our business, reputation, operating results and financial condition.</w:t>
      </w:r>
    </w:p>
    <w:p>
      <w:pPr>
        <w:spacing w:after="0" w:line="68"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We operate or may pursue opportunities in some jurisdictions, such as China, India, Brazil, Russia and Africa, that pose potentially elevated risks of fraud or corruption or increased risk of internal control issues. In certain jurisdictions, compliance with anti-bribery laws may conflict with local customs and practices. From time to time, we have conducted and will conduct internal investigations of the relevant facts and circumstances, control testing and compliance reviews, and take remedial actions, when appropriate, to help ensure that we are in compliance with applicable corruption and similar laws and regulations. For example, in August 2019, during the integration of Frutarom, we were made aware of allegations that two Frutarom businesses operating principally in Russia and Ukraine made certain improper payments, including to representatives of a number of customers. Our investigation substantiated the allegations that improper payments to representatives of customers were made and that key members of Frutarom’s senior management at the time were aware of such payments. We did not uncover any evidence suggesting that such payments had any connection to the U.S. In addition, Frutarom grew through rapid acquisition and, as part of our integration efforts, we have implemented our anti-corruption and similar policies throughout a number of those acquired companies, many of which were not previously subject to these U.S. laws.</w:t>
      </w:r>
    </w:p>
    <w:p>
      <w:pPr>
        <w:spacing w:after="0" w:line="75"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Given the international scope of our business, we also sell certain of our products to countries that are subject to U.S. and other sanctions under general licenses and authorizations related to such products, technologies and transactions. For example, the U.S., the European Union and other countries have imposed sanctions and export controls on Russia, Belarus and occupied regions of Ukraine. As a result, we have limited our export of ingredients to customers in Russia, Belarus and occupied regions of Ukraine to only those that meet the essential needs of people. Compliance with sanctions laws is highly technical and requires careful oversight, and it is possible that actions taken by us, our subsidiaries or our suppliers may cause us to be in breach with these laws, which could have a material adverse effect to our business. Detecting, investigating and resolving actual or alleged violations of the FCPA or other anti-bribery and anti-corruption laws and regulations is expensive, could consume significant time and attention of our senior management and could subject us to investigations and inquiries by governmental and other regulatory bodies. Any allegations of non-compliance with such laws and regulations could have a disruptive effect on our operations in such jurisdiction, including interruptions of business or loss of third-party relationships, which may negatively impact our results of operations or financial condition. Any determination that our operations or activities are not in compliance with such laws and regulations could expose us to severe criminal or civil penalties or other sanctions, significant fines, termination of necessary licenses and permits and penalties or other sanctions that may harm our business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880" w:h="15480" w:orient="portrait"/>
          <w:cols w:equalWidth="0" w:num="1">
            <w:col w:w="9360"/>
          </w:cols>
          <w:pgMar w:left="1260" w:top="1255" w:right="1260" w:bottom="254" w:gutter="0" w:footer="0" w:header="0"/>
        </w:sectPr>
      </w:pPr>
    </w:p>
    <w:bookmarkStart w:id="35" w:name="page36"/>
    <w:bookmarkEnd w:id="35"/>
    <w:p>
      <w:pPr>
        <w:jc w:val="both"/>
        <w:ind w:firstLine="329"/>
        <w:spacing w:after="0" w:line="258" w:lineRule="auto"/>
        <w:rPr>
          <w:sz w:val="20"/>
          <w:szCs w:val="20"/>
          <w:color w:val="auto"/>
        </w:rPr>
      </w:pPr>
      <w:r>
        <w:rPr>
          <w:rFonts w:ascii="Times New Roman" w:cs="Times New Roman" w:eastAsia="Times New Roman" w:hAnsi="Times New Roman"/>
          <w:sz w:val="18"/>
          <w:szCs w:val="18"/>
          <w:color w:val="auto"/>
        </w:rPr>
        <w:t>In addition, our reputation and our customers’ willingness to purchase our products depend in part on our compliance by our suppliers, distributors, customers or other counterparties with ethical employment practices, such as with respect to child labor, wages and benefits, forced labor, discrimination, safe and healthy working conditions, as well as with all legal and regulatory requirements relating to the conduct of their businesses (including the ones mentioned in the preceding paragraphs). While we require that third-parties we work with agree to our code of conduct, we do not exercise control over our suppliers, distributors, vendors and customers and due to the global nature of our business cannot guarantee their compliance with such ethical and lawful business practices or such legal requirements. If our counterparties fail to comply with applicable laws, regulations, safety codes, employment practices, human rights standards, quality standards, environmental standards, production practices, or other obligations, norms, or ethical standards, our reputation and brand image could be harmed, and we could be exposed to litigation, investigations, enforcement actions, monetary liability, and additional costs that would harm our reputation, business, financial condition, results of operations and prospects.</w:t>
      </w:r>
    </w:p>
    <w:p>
      <w:pPr>
        <w:spacing w:after="0" w:line="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ability to compete effectively depends on our ability to protect our intellectual property rights.</w:t>
      </w:r>
    </w:p>
    <w:p>
      <w:pPr>
        <w:spacing w:after="0" w:line="124" w:lineRule="exact"/>
        <w:rPr>
          <w:sz w:val="20"/>
          <w:szCs w:val="20"/>
          <w:color w:val="auto"/>
        </w:rPr>
      </w:pPr>
    </w:p>
    <w:p>
      <w:pPr>
        <w:jc w:val="both"/>
        <w:ind w:firstLine="329"/>
        <w:spacing w:after="0" w:line="257" w:lineRule="auto"/>
        <w:rPr>
          <w:sz w:val="20"/>
          <w:szCs w:val="20"/>
          <w:color w:val="auto"/>
        </w:rPr>
      </w:pPr>
      <w:r>
        <w:rPr>
          <w:rFonts w:ascii="Times New Roman" w:cs="Times New Roman" w:eastAsia="Times New Roman" w:hAnsi="Times New Roman"/>
          <w:sz w:val="18"/>
          <w:szCs w:val="18"/>
          <w:color w:val="auto"/>
        </w:rPr>
        <w:t>We rely on patents, trademarks, copyrights and trade secrets to protect our intellectual property rights. We often rely on trade secrets to protect our products, manufacturing processes, extract methodologies and other processes, as this does not require us to publicly file information regarding our intellectual property. From time to time, a third party may claim that we have infringed upon or misappropriated their intellectual property rights, or a third party may infringe upon or misappropriate our intellectual property rights. We could incur significant costs in connection with legal actions to assert our intellectual property rights against third parties or to defend ourselves from third-party assertions of invalidity, infringement, misappropriation or other claims. Any settlement or adverse judgment resulting from such litigation could require us to obtain a license to continue to use the intellectual property rights that are the subject of the claim, or otherwise restrict or prohibit our use of such intellectual property rights. Any required licensing fees may not be available to us on acceptable terms, if at all. For those intellectual property rights that are protected as trade secrets, this litigation could result in even higher costs, and potentially the loss of certain rights, since we would not have a perfected intellectual property right that precludes others from making, using or selling our products or processes. The ongoing trend among our customers towards more transparent labeling could further diminish our ability to effectively protect our products.</w:t>
      </w:r>
    </w:p>
    <w:p>
      <w:pPr>
        <w:spacing w:after="0" w:line="72"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We vigilantly protect our intellectual property rights, including trade secrets. We have designed and implemented internal controls intended to restrict access to and distribution of our respective intellectual property. Despite these precautions, our intellectual property is vulnerable to unauthorized access through employee error or actions, theft and cybersecurity incidents, and other security breaches. Protecting intellectual property related to biotechnology is particularly challenging because theft is difficult to detect and biotechnology can be self-replicating. Accordingly, the impact of such theft can be significant.</w:t>
      </w:r>
    </w:p>
    <w:p>
      <w:pPr>
        <w:spacing w:after="0" w:line="61" w:lineRule="exact"/>
        <w:rPr>
          <w:sz w:val="20"/>
          <w:szCs w:val="20"/>
          <w:color w:val="auto"/>
        </w:rPr>
      </w:pPr>
    </w:p>
    <w:p>
      <w:pPr>
        <w:jc w:val="both"/>
        <w:ind w:firstLine="328"/>
        <w:spacing w:after="0" w:line="253" w:lineRule="auto"/>
        <w:rPr>
          <w:sz w:val="20"/>
          <w:szCs w:val="20"/>
          <w:color w:val="auto"/>
        </w:rPr>
      </w:pPr>
      <w:r>
        <w:rPr>
          <w:rFonts w:ascii="Times New Roman" w:cs="Times New Roman" w:eastAsia="Times New Roman" w:hAnsi="Times New Roman"/>
          <w:sz w:val="18"/>
          <w:szCs w:val="18"/>
          <w:color w:val="auto"/>
        </w:rPr>
        <w:t>For intellectual property rights that we seek to protect through patents, we cannot be certain that these rights, if obtained, will not later be opposed, invalidated or circumvented. In addition, even if such rights are obtained in the U.S., the laws of some other countries in which our products are or may be sold may not protect intellectual property rights to the same extent as the laws of the U.S. If other parties were to infringe on our intellectual property rights, or if our intellectual property rights were the subject of unauthorized access leading to competitive pressure or if a third party successfully asserted that we had infringed on their intellectual property rights, it could materially and adversely affect our future results of operations by, among other things,</w:t>
      </w:r>
    </w:p>
    <w:p>
      <w:pPr>
        <w:spacing w:after="0" w:line="3" w:lineRule="exact"/>
        <w:rPr>
          <w:sz w:val="20"/>
          <w:szCs w:val="20"/>
          <w:color w:val="auto"/>
        </w:rPr>
      </w:pPr>
    </w:p>
    <w:p>
      <w:pPr>
        <w:jc w:val="both"/>
        <w:ind w:firstLine="5"/>
        <w:spacing w:after="0" w:line="269" w:lineRule="auto"/>
        <w:tabs>
          <w:tab w:leader="none" w:pos="22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cease production and marketing or reducing the price that we could obtain in the marketplace for products which are based on such rights, (ii) increasing the royalty or other fees that we may be required to pay in connection with such rights, (iii) limiting the volume, if any, of such products that we can sell or (iv) resulting in significant litigation costs and potential liability.</w:t>
      </w:r>
    </w:p>
    <w:p>
      <w:pPr>
        <w:spacing w:after="0" w:line="54"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Changes in our tax rates, the adoption of new U.S. or international tax legislation, or changes in existing tax laws could expose us to additional tax liabilities that may affect our future results.</w:t>
      </w:r>
    </w:p>
    <w:p>
      <w:pPr>
        <w:spacing w:after="0" w:line="19"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We are subject to taxes in the U.S.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Any of these changes could have a material adverse effect on our profitability.</w:t>
      </w:r>
    </w:p>
    <w:p>
      <w:pPr>
        <w:spacing w:after="0" w:line="57"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We have and will continue to implement transfer pricing policies among our various operations located in different countries. These transfer pricing policies are a significant component of the management and compliance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However, governmental authorities could challenge these policies more aggressively in the future and, if challenged, we may not prevail. We could suffer significant costs related to one or more challenges to our transfer pricing policies.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880" w:h="15480" w:orient="portrait"/>
          <w:cols w:equalWidth="0" w:num="1">
            <w:col w:w="9360"/>
          </w:cols>
          <w:pgMar w:left="1260" w:top="1255" w:right="1260" w:bottom="254" w:gutter="0" w:footer="0" w:header="0"/>
        </w:sectPr>
      </w:pPr>
    </w:p>
    <w:bookmarkStart w:id="36" w:name="page37"/>
    <w:bookmarkEnd w:id="36"/>
    <w:p>
      <w:pPr>
        <w:jc w:val="both"/>
        <w:ind w:right="20" w:firstLine="328"/>
        <w:spacing w:after="0" w:line="262" w:lineRule="auto"/>
        <w:rPr>
          <w:sz w:val="20"/>
          <w:szCs w:val="20"/>
          <w:color w:val="auto"/>
        </w:rPr>
      </w:pPr>
      <w:r>
        <w:rPr>
          <w:rFonts w:ascii="Times New Roman" w:cs="Times New Roman" w:eastAsia="Times New Roman" w:hAnsi="Times New Roman"/>
          <w:sz w:val="18"/>
          <w:szCs w:val="18"/>
          <w:color w:val="auto"/>
        </w:rPr>
        <w:t>We are subject to the continual examination of our income tax returns by the Internal Revenue Service, state tax authorities and foreign tax authorities in those countries in which we operate, and we may be subject to assessments or audits in the future in any of the 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66" w:lineRule="exact"/>
        <w:rPr>
          <w:sz w:val="20"/>
          <w:szCs w:val="20"/>
          <w:color w:val="auto"/>
        </w:rPr>
      </w:pPr>
    </w:p>
    <w:p>
      <w:pPr>
        <w:jc w:val="both"/>
        <w:ind w:right="20" w:firstLine="328"/>
        <w:spacing w:after="0" w:line="260" w:lineRule="auto"/>
        <w:rPr>
          <w:sz w:val="20"/>
          <w:szCs w:val="20"/>
          <w:color w:val="auto"/>
        </w:rPr>
      </w:pPr>
      <w:r>
        <w:rPr>
          <w:rFonts w:ascii="Times New Roman" w:cs="Times New Roman" w:eastAsia="Times New Roman" w:hAnsi="Times New Roman"/>
          <w:sz w:val="18"/>
          <w:szCs w:val="18"/>
          <w:color w:val="auto"/>
        </w:rPr>
        <w:t>In addition, a number of international legislative and regulatory bodies have proposed legislation and begun investigations of the tax practices of multi-national companies and, in the European Union, the tax policies of certain European Union member states. One of these efforts has been led by the Organization for Economic Co-operation and Development, an international association of 34 countries including the U.S., which has finalized recommendations to revise corporate tax, transfer pricing, and tax treaty provisions in member countries. On December 15, 2022, European Union member states unanimously adopted the Minimum Tax Directive ensuring a global minimum level of taxation for multi-national companies. Member States have until December 31, 2023 to transpose the Directive into national legislation. The enactment of the new legislation could have a material effect on our effective tax rate, income tax expense, net income or cash flows.</w:t>
      </w:r>
    </w:p>
    <w:p>
      <w:pPr>
        <w:spacing w:after="0" w:line="66" w:lineRule="exact"/>
        <w:rPr>
          <w:sz w:val="20"/>
          <w:szCs w:val="20"/>
          <w:color w:val="auto"/>
        </w:rPr>
      </w:pPr>
    </w:p>
    <w:p>
      <w:pPr>
        <w:jc w:val="both"/>
        <w:ind w:right="20" w:firstLine="328"/>
        <w:spacing w:after="0" w:line="258" w:lineRule="auto"/>
        <w:rPr>
          <w:sz w:val="20"/>
          <w:szCs w:val="20"/>
          <w:color w:val="auto"/>
        </w:rPr>
      </w:pPr>
      <w:r>
        <w:rPr>
          <w:rFonts w:ascii="Times New Roman" w:cs="Times New Roman" w:eastAsia="Times New Roman" w:hAnsi="Times New Roman"/>
          <w:sz w:val="18"/>
          <w:szCs w:val="18"/>
          <w:color w:val="auto"/>
        </w:rPr>
        <w:t>Since 2013, the European Commission (“EC”) has been investigating tax rulings granted by tax authorities in a number of European Union member states with respect to specific multi-national corporations to determine whether such rulings comply with European Union rules on state aid, as well as more recent investigations of the tax regimes of certain European Union member states. Under European Union law, selective tax advantages for particular taxpayers that are not sufficiently grounded in economic realities may constitute impermissible state aid. If the EC determines that a tax ruling or tax regime violates the state aid restrictions, the tax authorities of the affected European Union member state may be required to collect back taxes for the period of time covered by the ruling. In late 2015 and early 2016, the EC declared that tax rulings, related to other companies, by tax authorities in Luxembourg, the Netherlands and Belgium did not comply with the European Union state aid restrictions. If the EC or tax authorities in other jurisdictions were to successfully challenge tax rulings applicable to us in any of the member states in which we are subject to taxation or our internal intercompany arrangements, we could be exposed to increased tax liabilities.</w:t>
      </w:r>
    </w:p>
    <w:p>
      <w:pPr>
        <w:spacing w:after="0" w:line="291" w:lineRule="exact"/>
        <w:rPr>
          <w:sz w:val="20"/>
          <w:szCs w:val="20"/>
          <w:color w:val="auto"/>
        </w:rPr>
      </w:pPr>
    </w:p>
    <w:p>
      <w:pPr>
        <w:jc w:val="both"/>
        <w:ind w:right="20" w:firstLine="328"/>
        <w:spacing w:after="0" w:line="265" w:lineRule="auto"/>
        <w:rPr>
          <w:sz w:val="20"/>
          <w:szCs w:val="20"/>
          <w:color w:val="auto"/>
        </w:rPr>
      </w:pPr>
      <w:r>
        <w:rPr>
          <w:rFonts w:ascii="Times New Roman" w:cs="Times New Roman" w:eastAsia="Times New Roman" w:hAnsi="Times New Roman"/>
          <w:sz w:val="18"/>
          <w:szCs w:val="18"/>
          <w:color w:val="auto"/>
        </w:rPr>
        <w:t>In December 2017, the U.S. government enacted comprehensive tax legislation commonly referred to as the Tax Cuts and Jobs Act (the “Tax Act”) that significantly revised the U.S. tax code effective January 1, 2018. The Tax Act impacted our consolidated results of operations during 2022 and is expected to continue to impact our consolidated results of operations in future periods. The ultimate impact of the Tax Act, including for future periods, may depend on additional regulatory or accounting guidance that may be issued with respect to the Tax Act.</w:t>
      </w:r>
    </w:p>
    <w:p>
      <w:pPr>
        <w:spacing w:after="0" w:line="61" w:lineRule="exact"/>
        <w:rPr>
          <w:sz w:val="20"/>
          <w:szCs w:val="20"/>
          <w:color w:val="auto"/>
        </w:rPr>
      </w:pPr>
    </w:p>
    <w:p>
      <w:pPr>
        <w:jc w:val="both"/>
        <w:ind w:right="20" w:firstLine="328"/>
        <w:spacing w:after="0" w:line="262" w:lineRule="auto"/>
        <w:rPr>
          <w:sz w:val="20"/>
          <w:szCs w:val="20"/>
          <w:color w:val="auto"/>
        </w:rPr>
      </w:pPr>
      <w:r>
        <w:rPr>
          <w:rFonts w:ascii="Times New Roman" w:cs="Times New Roman" w:eastAsia="Times New Roman" w:hAnsi="Times New Roman"/>
          <w:sz w:val="18"/>
          <w:szCs w:val="18"/>
          <w:color w:val="auto"/>
        </w:rPr>
        <w:t>In August 2022, the U.S. government enacted legislation commonly referred to as the “Inflation Reduction Act”, which, among other things, imposes a minimum “book” tax on certain corporations effective for taxable years beginning after December 31, 2022 and creates a new excise tax on stock repurchases made by certain publicly traded corporations after December 31, 2022. The impact of the Inflation Reduction Act on our operations will depend on multiple factors, many of which cannot be determined at this time. As a result, it is uncertain what the extent of the impact of the new law will be on our operations. The application of the minimum book tax or the excise tax on us could adversely affect our results of operations.</w:t>
      </w:r>
    </w:p>
    <w:p>
      <w:pPr>
        <w:spacing w:after="0" w:line="63" w:lineRule="exact"/>
        <w:rPr>
          <w:sz w:val="20"/>
          <w:szCs w:val="20"/>
          <w:color w:val="auto"/>
        </w:rPr>
      </w:pPr>
    </w:p>
    <w:p>
      <w:pPr>
        <w:jc w:val="both"/>
        <w:ind w:right="20"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The N&amp;B Transaction could result in significant tax liability, and we may be obligated to indemnify DuPont for any such tax liability imposed on DuPont.</w:t>
      </w:r>
    </w:p>
    <w:p>
      <w:pPr>
        <w:spacing w:after="0" w:line="19" w:lineRule="exact"/>
        <w:rPr>
          <w:sz w:val="20"/>
          <w:szCs w:val="20"/>
          <w:color w:val="auto"/>
        </w:rPr>
      </w:pPr>
    </w:p>
    <w:p>
      <w:pPr>
        <w:jc w:val="both"/>
        <w:ind w:right="20" w:firstLine="328"/>
        <w:spacing w:after="0" w:line="262" w:lineRule="auto"/>
        <w:rPr>
          <w:sz w:val="20"/>
          <w:szCs w:val="20"/>
          <w:color w:val="auto"/>
        </w:rPr>
      </w:pPr>
      <w:r>
        <w:rPr>
          <w:rFonts w:ascii="Times New Roman" w:cs="Times New Roman" w:eastAsia="Times New Roman" w:hAnsi="Times New Roman"/>
          <w:sz w:val="18"/>
          <w:szCs w:val="18"/>
          <w:color w:val="auto"/>
        </w:rPr>
        <w:t>The completion of the N&amp;B Transaction in 2021 was conditioned upon the receipt by DuPont of an opinion that the transaction generally will qualify as a tax-free reorganization. The tax opinion was based upon various factual representations and assumptions, as well as certain undertakings made by DuPont, IFF and N&amp;B. If any of those factual representations or assumptions were untrue or incomplete in any material respect, any undertaking was or is not complied with, or the facts upon which the opinion was based are materially different from the facts at the closing of the N&amp;B Transaction, the transaction may not qualify (in whole or part) for tax-free treatment.</w:t>
      </w:r>
    </w:p>
    <w:p>
      <w:pPr>
        <w:spacing w:after="0" w:line="66"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The N&amp;B spin-off and certain aspects of the pre-spin-off internal reorganizations to form N&amp;B could be taxable to DuPont if N&amp;B or we were to engage in a “Spinco Tainting Act” (as defined in the Tax Matters Agreement, by and among DuPont, N&amp;B and IFF, a form of which is attached to IFF’s registration statement on Form S-4 (Registration Number 333-238072)). A Spinco Tainting Act is generally any action (or inaction) within our control or under the control of N&amp;B or their affiliates, any event involving our common stock or the common stock of N&amp;B or any assets of N&amp;B or its subsidiaries, or any breach by N&amp;B or any of its subsidiaries of any factual representations, assumptions, or undertakings made by it, in each case, that would affect the non-recognition treatment of the spin-off and internal reorganizations for U.S. federal income tax purposes, as described above. Under the Tax Matters Agreement, we and N&amp;B will be required to indemnify DuPont for any taxes resulting from a Spinco Tainting Act. If we or N&amp;B were required to indemnify DuPont pursuant to the Tax Matters Agreement as described above, this indemnification obligation may be substantial and could have a material adverse effect on us, including with respect to our financial condition and results of operations.</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880" w:h="15480" w:orient="portrait"/>
          <w:cols w:equalWidth="0" w:num="1">
            <w:col w:w="9380"/>
          </w:cols>
          <w:pgMar w:left="1260" w:top="1255" w:right="1240" w:bottom="254" w:gutter="0" w:footer="0" w:header="0"/>
        </w:sectPr>
      </w:pPr>
    </w:p>
    <w:bookmarkStart w:id="37" w:name="page38"/>
    <w:bookmarkEnd w:id="37"/>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Moreover, we are not indemnified by N&amp;B for tax liabilities related to pre-spin-off periods. Tax liabilities could increase as an outcome of final determination of tax examinations and could adversely impact our financial results.</w:t>
      </w:r>
    </w:p>
    <w:p>
      <w:pPr>
        <w:spacing w:after="0" w:line="27" w:lineRule="exact"/>
        <w:rPr>
          <w:sz w:val="20"/>
          <w:szCs w:val="20"/>
          <w:color w:val="auto"/>
        </w:rPr>
      </w:pPr>
    </w:p>
    <w:p>
      <w:pPr>
        <w:jc w:val="both"/>
        <w:ind w:firstLine="328"/>
        <w:spacing w:after="0" w:line="308" w:lineRule="auto"/>
        <w:rPr>
          <w:sz w:val="20"/>
          <w:szCs w:val="20"/>
          <w:color w:val="auto"/>
        </w:rPr>
      </w:pPr>
      <w:r>
        <w:rPr>
          <w:rFonts w:ascii="Times New Roman" w:cs="Times New Roman" w:eastAsia="Times New Roman" w:hAnsi="Times New Roman"/>
          <w:sz w:val="18"/>
          <w:szCs w:val="18"/>
          <w:b w:val="1"/>
          <w:bCs w:val="1"/>
          <w:color w:val="auto"/>
        </w:rPr>
        <w:t>If we fail to comply with data protection laws in the U.S. and abroad, we may be subject to fines, penalties and other costs.</w:t>
      </w:r>
    </w:p>
    <w:p>
      <w:pPr>
        <w:spacing w:after="0" w:line="19"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Legal requirements relating to the collection, storage, handling, use, disclosure, transfer, and security of personal data continue to evolve, and regulatory scrutiny in this area is increasing around the world. This regulatory environment is increasingly challenging and may present material obligations and risks to our business, including significantly expanded compliance burdens, restrictions on transfer of personal data, costs and enforcement risks. For example, the European Union’s GDPR, which became effective in May 2018, greatly increases the jurisdictional reach of EU law and adds a broad array of requirements related to personal data, including individual notice and opt-out preferences, restrictions on and requirements for transfer of personal data and the public disclosure of significant data breaches. Additionally, violations of the GDPR can result in fines of as much as 4% of a company’s annual revenue. Other governments have enacted or are enacting similar data protection laws, including data localization laws that require data to stay within their borders. All of these evolving compliance and operational requirements, restrictions on use of personal data, as well as the uncertain interpretation and enforcement of laws, impose significant costs and regulatory risks that are likely to increase over time. Our failure to comply with these evolving regulations could expose us to fines, sanctions, penalties and other costs that could harm our reputation and adversely impact our financial results.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3500" w:type="dxa"/>
            <w:vAlign w:val="bottom"/>
            <w:gridSpan w:val="9"/>
          </w:tcPr>
          <w:p>
            <w:pPr>
              <w:ind w:left="100"/>
              <w:spacing w:after="0"/>
              <w:rPr>
                <w:sz w:val="20"/>
                <w:szCs w:val="20"/>
                <w:color w:val="auto"/>
              </w:rPr>
            </w:pPr>
            <w:r>
              <w:rPr>
                <w:rFonts w:ascii="Times New Roman" w:cs="Times New Roman" w:eastAsia="Times New Roman" w:hAnsi="Times New Roman"/>
                <w:sz w:val="18"/>
                <w:szCs w:val="18"/>
                <w:b w:val="1"/>
                <w:bCs w:val="1"/>
                <w:color w:val="auto"/>
              </w:rPr>
              <w:t>UNRESOLVED STAFF COMMENTS.</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480" w:type="dxa"/>
            <w:vAlign w:val="bottom"/>
            <w:gridSpan w:val="16"/>
          </w:tcPr>
          <w:p>
            <w:pPr>
              <w:ind w:left="340"/>
              <w:spacing w:after="0"/>
              <w:rPr>
                <w:sz w:val="20"/>
                <w:szCs w:val="20"/>
                <w:color w:val="auto"/>
              </w:rPr>
            </w:pPr>
            <w:r>
              <w:rPr>
                <w:rFonts w:ascii="Times New Roman" w:cs="Times New Roman" w:eastAsia="Times New Roman" w:hAnsi="Times New Roman"/>
                <w:sz w:val="18"/>
                <w:szCs w:val="18"/>
                <w:color w:val="auto"/>
              </w:rPr>
              <w:t>Our principal owned and leased properties as of December 31, 2022, are as follows:</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7"/>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4"/>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Europe, Africa &amp; the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3"/>
            <w:vMerge w:val="restart"/>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60" w:type="dxa"/>
            <w:vAlign w:val="bottom"/>
          </w:tcPr>
          <w:p>
            <w:pPr>
              <w:spacing w:after="0"/>
              <w:rPr>
                <w:sz w:val="24"/>
                <w:szCs w:val="24"/>
                <w:color w:val="auto"/>
              </w:rPr>
            </w:pPr>
          </w:p>
        </w:tc>
        <w:tc>
          <w:tcPr>
            <w:tcW w:w="1920" w:type="dxa"/>
            <w:vAlign w:val="bottom"/>
            <w:gridSpan w:val="4"/>
            <w:vMerge w:val="restart"/>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Greater Asia</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0" w:type="dxa"/>
            <w:vAlign w:val="bottom"/>
          </w:tcPr>
          <w:p>
            <w:pPr>
              <w:spacing w:after="0"/>
              <w:rPr>
                <w:sz w:val="1"/>
                <w:szCs w:val="1"/>
                <w:color w:val="auto"/>
              </w:rPr>
            </w:pPr>
          </w:p>
        </w:tc>
      </w:tr>
      <w:tr>
        <w:trPr>
          <w:trHeight w:val="245"/>
        </w:trPr>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Borders>
              <w:bottom w:val="single" w:sz="8" w:color="auto"/>
            </w:tcBorders>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1920" w:type="dxa"/>
            <w:vAlign w:val="bottom"/>
            <w:tcBorders>
              <w:bottom w:val="single" w:sz="8" w:color="auto"/>
            </w:tcBorders>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0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9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60" w:type="dxa"/>
            <w:vAlign w:val="bottom"/>
          </w:tcPr>
          <w:p>
            <w:pPr>
              <w:spacing w:after="0"/>
              <w:rPr>
                <w:sz w:val="22"/>
                <w:szCs w:val="22"/>
                <w:color w:val="auto"/>
              </w:rPr>
            </w:pPr>
          </w:p>
        </w:tc>
        <w:tc>
          <w:tcPr>
            <w:tcW w:w="10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Owned</w:t>
            </w:r>
          </w:p>
        </w:tc>
        <w:tc>
          <w:tcPr>
            <w:tcW w:w="6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0" w:type="dxa"/>
            <w:vAlign w:val="bottom"/>
          </w:tcPr>
          <w:p>
            <w:pPr>
              <w:spacing w:after="0"/>
              <w:rPr>
                <w:sz w:val="1"/>
                <w:szCs w:val="1"/>
                <w:color w:val="auto"/>
              </w:rPr>
            </w:pPr>
          </w:p>
        </w:tc>
      </w:tr>
      <w:tr>
        <w:trPr>
          <w:trHeight w:val="271"/>
        </w:trPr>
        <w:tc>
          <w:tcPr>
            <w:tcW w:w="940" w:type="dxa"/>
            <w:vAlign w:val="bottom"/>
            <w:tcBorders>
              <w:top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Plant</w:t>
            </w:r>
          </w:p>
        </w:tc>
        <w:tc>
          <w:tcPr>
            <w:tcW w:w="60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9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top w:val="single" w:sz="8" w:color="DDDDDD"/>
            </w:tcBorders>
            <w:shd w:val="clear" w:color="auto" w:fill="DDDDDD"/>
          </w:tcPr>
          <w:p>
            <w:pPr>
              <w:spacing w:after="0"/>
              <w:rPr>
                <w:sz w:val="23"/>
                <w:szCs w:val="23"/>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DDDDDD"/>
            </w:tcBorders>
            <w:shd w:val="clear" w:color="auto" w:fill="DDDDDD"/>
          </w:tcPr>
          <w:p>
            <w:pPr>
              <w:spacing w:after="0"/>
              <w:rPr>
                <w:sz w:val="23"/>
                <w:szCs w:val="23"/>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top w:val="single" w:sz="8" w:color="DDDDDD"/>
            </w:tcBorders>
            <w:shd w:val="clear" w:color="auto" w:fill="DDDDDD"/>
          </w:tcPr>
          <w:p>
            <w:pPr>
              <w:spacing w:after="0"/>
              <w:rPr>
                <w:sz w:val="23"/>
                <w:szCs w:val="23"/>
                <w:color w:val="auto"/>
              </w:rPr>
            </w:pPr>
          </w:p>
        </w:tc>
        <w:tc>
          <w:tcPr>
            <w:tcW w:w="20" w:type="dxa"/>
            <w:vAlign w:val="bottom"/>
            <w:tcBorders>
              <w:top w:val="single" w:sz="8" w:color="DDDDDD"/>
            </w:tcBorders>
            <w:shd w:val="clear" w:color="auto" w:fill="DDDDDD"/>
          </w:tcPr>
          <w:p>
            <w:pPr>
              <w:spacing w:after="0"/>
              <w:rPr>
                <w:sz w:val="23"/>
                <w:szCs w:val="23"/>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Borders>
              <w:top w:val="single" w:sz="8" w:color="DDDDDD"/>
            </w:tcBorders>
            <w:shd w:val="clear" w:color="auto" w:fill="DDDDDD"/>
          </w:tcPr>
          <w:p>
            <w:pPr>
              <w:spacing w:after="0"/>
              <w:rPr>
                <w:sz w:val="23"/>
                <w:szCs w:val="23"/>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82"/>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91"/>
        </w:trPr>
        <w:tc>
          <w:tcPr>
            <w:tcW w:w="9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Laboratory</w:t>
            </w:r>
          </w:p>
        </w:tc>
        <w:tc>
          <w:tcPr>
            <w:tcW w:w="6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4"/>
        </w:trPr>
        <w:tc>
          <w:tcPr>
            <w:tcW w:w="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Warehouse</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87"/>
        </w:trPr>
        <w:tc>
          <w:tcPr>
            <w:tcW w:w="94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9"/>
        </w:trPr>
        <w:tc>
          <w:tcPr>
            <w:tcW w:w="94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-210820</wp:posOffset>
                </wp:positionV>
                <wp:extent cx="98044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044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6.5999pt" to="77.5pt,-16.5999pt" o:allowincell="f" strokecolor="#FFFFFF" strokeweight="0.876pt"/>
            </w:pict>
          </mc:Fallback>
        </mc:AlternateContent>
      </w:r>
    </w:p>
    <w:p>
      <w:pPr>
        <w:spacing w:after="0" w:line="43"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Our principal executive offices are located at 521 West 57th Street, New York, New York and 200 Powder Mill Road, Wilmington, Delaware. Our principal sites include facilities which, in the opinion of its management, are suitable and adequate for their use and have sufficient capacity for its current business needs and expected near-term growth.</w:t>
      </w:r>
    </w:p>
    <w:p>
      <w:pPr>
        <w:spacing w:after="0" w:line="200" w:lineRule="exact"/>
        <w:rPr>
          <w:sz w:val="20"/>
          <w:szCs w:val="20"/>
          <w:color w:val="auto"/>
        </w:rPr>
      </w:pPr>
    </w:p>
    <w:p>
      <w:pPr>
        <w:spacing w:after="0" w:line="23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We are subject to various claims and legal actions in the ordinary course of our business. The Company’s material legal proceedings are described in Part II, Item 8 of this Form 10-K in the Notes to Consolidated Financial Statements in Note 19, “Commitments and Contingencies” under the heading “Litigation.”</w:t>
      </w:r>
    </w:p>
    <w:p>
      <w:pPr>
        <w:spacing w:after="0" w:line="200" w:lineRule="exact"/>
        <w:rPr>
          <w:sz w:val="20"/>
          <w:szCs w:val="20"/>
          <w:color w:val="auto"/>
        </w:rPr>
      </w:pPr>
    </w:p>
    <w:p>
      <w:pPr>
        <w:spacing w:after="0" w:line="2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8" w:lineRule="exact"/>
        <w:rPr>
          <w:sz w:val="20"/>
          <w:szCs w:val="20"/>
          <w:color w:val="auto"/>
        </w:rPr>
      </w:pPr>
    </w:p>
    <w:p>
      <w:pPr>
        <w:ind w:right="500"/>
        <w:spacing w:after="0" w:line="30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880" w:h="15480" w:orient="portrait"/>
          <w:cols w:equalWidth="0" w:num="1">
            <w:col w:w="9360"/>
          </w:cols>
          <w:pgMar w:left="1260" w:top="1255" w:right="1260" w:bottom="254" w:gutter="0" w:footer="0" w:header="0"/>
        </w:sectPr>
      </w:pPr>
    </w:p>
    <w:bookmarkStart w:id="38" w:name="page39"/>
    <w:bookmarkEnd w:id="38"/>
    <w:p>
      <w:pPr>
        <w:spacing w:after="0" w:line="225" w:lineRule="auto"/>
        <w:framePr w:w="760" w:h="194" w:wrap="auto" w:vAnchor="page" w:hAnchor="page" w:x="1220" w:y="1348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ITEM 7.</w:t>
      </w:r>
    </w:p>
    <w:p>
      <w:pPr>
        <w:ind w:left="380"/>
        <w:spacing w:after="0"/>
        <w:rPr>
          <w:sz w:val="20"/>
          <w:szCs w:val="20"/>
          <w:color w:val="auto"/>
        </w:rPr>
      </w:pPr>
      <w:r>
        <w:rPr>
          <w:rFonts w:ascii="Times New Roman" w:cs="Times New Roman" w:eastAsia="Times New Roman" w:hAnsi="Times New Roman"/>
          <w:sz w:val="18"/>
          <w:szCs w:val="18"/>
          <w:color w:val="auto"/>
        </w:rPr>
        <w:t>Our common stock is principally traded on the New York Stock Exchange under the ticker symbol “IFF”.</w:t>
      </w:r>
    </w:p>
    <w:p>
      <w:pPr>
        <w:spacing w:after="0" w:line="118" w:lineRule="exact"/>
        <w:rPr>
          <w:rFonts w:ascii="Times New Roman" w:cs="Times New Roman" w:eastAsia="Times New Roman" w:hAnsi="Times New Roman"/>
          <w:sz w:val="18"/>
          <w:szCs w:val="18"/>
          <w:b w:val="1"/>
          <w:bCs w:val="1"/>
          <w:color w:val="auto"/>
        </w:rPr>
      </w:pPr>
    </w:p>
    <w:tbl>
      <w:tblPr>
        <w:tblLayout w:type="fixed"/>
        <w:tblInd w:w="0" w:type="dxa"/>
        <w:tblCellMar>
          <w:top w:w="0" w:type="dxa"/>
          <w:left w:w="0" w:type="dxa"/>
          <w:bottom w:w="0" w:type="dxa"/>
          <w:right w:w="0" w:type="dxa"/>
        </w:tblCellMar>
      </w:tblPr>
      <w:tr>
        <w:trPr>
          <w:trHeight w:val="254"/>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Approximate Number of Equity Security Holders.</w:t>
            </w:r>
          </w:p>
        </w:tc>
        <w:tc>
          <w:tcPr>
            <w:tcW w:w="80" w:type="dxa"/>
            <w:vAlign w:val="bottom"/>
          </w:tcPr>
          <w:p>
            <w:pPr>
              <w:spacing w:after="0"/>
              <w:rPr>
                <w:sz w:val="22"/>
                <w:szCs w:val="22"/>
                <w:color w:val="auto"/>
              </w:rPr>
            </w:pPr>
          </w:p>
        </w:tc>
        <w:tc>
          <w:tcPr>
            <w:tcW w:w="4640" w:type="dxa"/>
            <w:vAlign w:val="bottom"/>
          </w:tcPr>
          <w:p>
            <w:pPr>
              <w:spacing w:after="0"/>
              <w:rPr>
                <w:sz w:val="22"/>
                <w:szCs w:val="22"/>
                <w:color w:val="auto"/>
              </w:rPr>
            </w:pPr>
          </w:p>
        </w:tc>
      </w:tr>
      <w:tr>
        <w:trPr>
          <w:trHeight w:val="277"/>
        </w:trPr>
        <w:tc>
          <w:tcPr>
            <w:tcW w:w="464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80" w:type="dxa"/>
            <w:vAlign w:val="bottom"/>
          </w:tcPr>
          <w:p>
            <w:pPr>
              <w:spacing w:after="0"/>
              <w:rPr>
                <w:sz w:val="24"/>
                <w:szCs w:val="24"/>
                <w:color w:val="auto"/>
              </w:rPr>
            </w:pP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shareholders of record as of February 21, 2023</w:t>
            </w:r>
          </w:p>
        </w:tc>
      </w:tr>
      <w:tr>
        <w:trPr>
          <w:trHeight w:val="246"/>
        </w:trPr>
        <w:tc>
          <w:tcPr>
            <w:tcW w:w="46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 xml:space="preserve">Common stock, par value 12 </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/2¢ per share</w:t>
            </w:r>
          </w:p>
        </w:tc>
        <w:tc>
          <w:tcPr>
            <w:tcW w:w="4720" w:type="dxa"/>
            <w:vAlign w:val="bottom"/>
            <w:gridSpan w:val="2"/>
          </w:tcPr>
          <w:p>
            <w:pPr>
              <w:jc w:val="right"/>
              <w:ind w:right="2008"/>
              <w:spacing w:after="0"/>
              <w:rPr>
                <w:sz w:val="20"/>
                <w:szCs w:val="20"/>
                <w:color w:val="auto"/>
              </w:rPr>
            </w:pPr>
            <w:r>
              <w:rPr>
                <w:rFonts w:ascii="Times New Roman" w:cs="Times New Roman" w:eastAsia="Times New Roman" w:hAnsi="Times New Roman"/>
                <w:sz w:val="18"/>
                <w:szCs w:val="18"/>
                <w:color w:val="auto"/>
              </w:rPr>
              <w:t>3,431</w:t>
            </w:r>
          </w:p>
        </w:tc>
      </w:tr>
      <w:tr>
        <w:trPr>
          <w:trHeight w:val="319"/>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24"/>
        </w:trPr>
        <w:tc>
          <w:tcPr>
            <w:tcW w:w="4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None.</w:t>
            </w:r>
          </w:p>
        </w:tc>
        <w:tc>
          <w:tcPr>
            <w:tcW w:w="80" w:type="dxa"/>
            <w:vAlign w:val="bottom"/>
          </w:tcPr>
          <w:p>
            <w:pPr>
              <w:spacing w:after="0"/>
              <w:rPr>
                <w:sz w:val="24"/>
                <w:szCs w:val="24"/>
                <w:color w:val="auto"/>
              </w:rPr>
            </w:pPr>
          </w:p>
        </w:tc>
        <w:tc>
          <w:tcPr>
            <w:tcW w:w="4640" w:type="dxa"/>
            <w:vAlign w:val="bottom"/>
          </w:tcPr>
          <w:p>
            <w:pPr>
              <w:spacing w:after="0"/>
              <w:rPr>
                <w:sz w:val="24"/>
                <w:szCs w:val="24"/>
                <w:color w:val="auto"/>
              </w:rPr>
            </w:pPr>
          </w:p>
        </w:tc>
      </w:tr>
      <w:tr>
        <w:trPr>
          <w:trHeight w:val="332"/>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Performance Graph.</w:t>
            </w:r>
          </w:p>
        </w:tc>
        <w:tc>
          <w:tcPr>
            <w:tcW w:w="8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line="77" w:lineRule="exact"/>
        <w:rPr>
          <w:rFonts w:ascii="Times New Roman" w:cs="Times New Roman" w:eastAsia="Times New Roman" w:hAnsi="Times New Roman"/>
          <w:sz w:val="18"/>
          <w:szCs w:val="18"/>
          <w:b w:val="1"/>
          <w:bCs w:val="1"/>
          <w:color w:val="auto"/>
        </w:rPr>
      </w:pPr>
    </w:p>
    <w:p>
      <w:pPr>
        <w:jc w:val="both"/>
        <w:ind w:left="40" w:firstLine="328"/>
        <w:spacing w:after="0" w:line="263" w:lineRule="auto"/>
        <w:rPr>
          <w:sz w:val="20"/>
          <w:szCs w:val="20"/>
          <w:color w:val="auto"/>
        </w:rPr>
      </w:pPr>
      <w:r>
        <w:rPr>
          <w:rFonts w:ascii="Times New Roman" w:cs="Times New Roman" w:eastAsia="Times New Roman" w:hAnsi="Times New Roman"/>
          <w:sz w:val="18"/>
          <w:szCs w:val="18"/>
          <w:color w:val="auto"/>
        </w:rPr>
        <w:t>The following graph compares a shareholder’s cumulative total return for the last five fiscal years as if such amounts had been invested in: (i) our common stock; (ii) the stocks included in the S&amp;P 500 Index; (iii) the stocks included in the S&amp;P 500 Consumer Staples Index; and (iv) the stocks included in the S&amp;P 500 Specialty Chemicals Index. The graph is based on historical stock prices and measures total shareholder return, which takes into account both changes in stock price and dividends. The total return assumes that dividends were reinvested daily and is based on a $100 investment on December 31, 2017.</w:t>
      </w:r>
    </w:p>
    <w:p>
      <w:pPr>
        <w:spacing w:after="0" w:line="20" w:lineRule="exact"/>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column">
              <wp:posOffset>287020</wp:posOffset>
            </wp:positionH>
            <wp:positionV relativeFrom="paragraph">
              <wp:posOffset>179070</wp:posOffset>
            </wp:positionV>
            <wp:extent cx="5426075" cy="3599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5426075" cy="359981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31" w:lineRule="exact"/>
        <w:rPr>
          <w:rFonts w:ascii="Times New Roman" w:cs="Times New Roman" w:eastAsia="Times New Roman" w:hAnsi="Times New Roman"/>
          <w:sz w:val="18"/>
          <w:szCs w:val="18"/>
          <w:b w:val="1"/>
          <w:bCs w:val="1"/>
          <w:color w:val="auto"/>
        </w:rPr>
      </w:pPr>
    </w:p>
    <w:tbl>
      <w:tblPr>
        <w:tblLayout w:type="fixed"/>
        <w:tblInd w:w="40" w:type="dxa"/>
        <w:tblCellMar>
          <w:top w:w="0" w:type="dxa"/>
          <w:left w:w="0" w:type="dxa"/>
          <w:bottom w:w="0" w:type="dxa"/>
          <w:right w:w="0" w:type="dxa"/>
        </w:tblCellMar>
      </w:tblPr>
      <w:tr>
        <w:trPr>
          <w:trHeight w:val="247"/>
        </w:trPr>
        <w:tc>
          <w:tcPr>
            <w:tcW w:w="3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S&amp;P Capital IQ</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90" w:type="dxa"/>
            <w:vAlign w:val="bottom"/>
          </w:tcPr>
          <w:p>
            <w:pPr>
              <w:spacing w:after="0"/>
              <w:rPr>
                <w:sz w:val="21"/>
                <w:szCs w:val="21"/>
                <w:color w:val="auto"/>
              </w:rPr>
            </w:pPr>
          </w:p>
        </w:tc>
        <w:tc>
          <w:tcPr>
            <w:tcW w:w="33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31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30" w:type="dxa"/>
            <w:vAlign w:val="bottom"/>
          </w:tcPr>
          <w:p>
            <w:pPr>
              <w:spacing w:after="0"/>
              <w:rPr>
                <w:sz w:val="21"/>
                <w:szCs w:val="21"/>
                <w:color w:val="auto"/>
              </w:rPr>
            </w:pPr>
          </w:p>
        </w:tc>
        <w:tc>
          <w:tcPr>
            <w:tcW w:w="31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90"/>
        </w:trPr>
        <w:tc>
          <w:tcPr>
            <w:tcW w:w="20" w:type="dxa"/>
            <w:vAlign w:val="bottom"/>
          </w:tcPr>
          <w:p>
            <w:pPr>
              <w:spacing w:after="0"/>
              <w:rPr>
                <w:sz w:val="24"/>
                <w:szCs w:val="24"/>
                <w:color w:val="auto"/>
              </w:rPr>
            </w:pPr>
          </w:p>
        </w:tc>
        <w:tc>
          <w:tcPr>
            <w:tcW w:w="3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Year-end Data</w:t>
            </w: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bottom w:val="single" w:sz="8" w:color="auto"/>
            </w:tcBorders>
          </w:tcPr>
          <w:p>
            <w:pPr>
              <w:spacing w:after="0"/>
              <w:rPr>
                <w:sz w:val="24"/>
                <w:szCs w:val="24"/>
                <w:color w:val="auto"/>
              </w:rPr>
            </w:pPr>
          </w:p>
        </w:tc>
        <w:tc>
          <w:tcPr>
            <w:tcW w:w="69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330" w:type="dxa"/>
            <w:vAlign w:val="bottom"/>
            <w:tcBorders>
              <w:bottom w:val="single" w:sz="8" w:color="auto"/>
            </w:tcBorders>
          </w:tcPr>
          <w:p>
            <w:pPr>
              <w:spacing w:after="0"/>
              <w:rPr>
                <w:sz w:val="24"/>
                <w:szCs w:val="24"/>
                <w:color w:val="auto"/>
              </w:rPr>
            </w:pPr>
          </w:p>
        </w:tc>
        <w:tc>
          <w:tcPr>
            <w:tcW w:w="7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1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4"/>
                <w:szCs w:val="24"/>
                <w:color w:val="auto"/>
              </w:rPr>
            </w:pPr>
          </w:p>
        </w:tc>
        <w:tc>
          <w:tcPr>
            <w:tcW w:w="7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1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3"/>
        </w:trPr>
        <w:tc>
          <w:tcPr>
            <w:tcW w:w="20" w:type="dxa"/>
            <w:vAlign w:val="bottom"/>
          </w:tcPr>
          <w:p>
            <w:pPr>
              <w:spacing w:after="0"/>
              <w:rPr>
                <w:sz w:val="21"/>
                <w:szCs w:val="21"/>
                <w:color w:val="auto"/>
              </w:rPr>
            </w:pPr>
          </w:p>
        </w:tc>
        <w:tc>
          <w:tcPr>
            <w:tcW w:w="3020" w:type="dxa"/>
            <w:vAlign w:val="bottom"/>
            <w:gridSpan w:val="2"/>
            <w:shd w:val="clear" w:color="auto" w:fill="E0E1E2"/>
          </w:tcPr>
          <w:p>
            <w:pPr>
              <w:ind w:left="40"/>
              <w:spacing w:after="0"/>
              <w:rPr>
                <w:sz w:val="20"/>
                <w:szCs w:val="20"/>
                <w:color w:val="auto"/>
              </w:rPr>
            </w:pPr>
            <w:r>
              <w:rPr>
                <w:rFonts w:ascii="Times New Roman" w:cs="Times New Roman" w:eastAsia="Times New Roman" w:hAnsi="Times New Roman"/>
                <w:sz w:val="18"/>
                <w:szCs w:val="18"/>
                <w:color w:val="auto"/>
              </w:rPr>
              <w:t>International Flavors &amp; Fragrances</w:t>
            </w:r>
          </w:p>
        </w:tc>
        <w:tc>
          <w:tcPr>
            <w:tcW w:w="300" w:type="dxa"/>
            <w:vAlign w:val="bottom"/>
            <w:shd w:val="clear" w:color="auto" w:fill="E0E1E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E0E1E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330" w:type="dxa"/>
            <w:vAlign w:val="bottom"/>
            <w:shd w:val="clear" w:color="auto" w:fill="E0E1E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310" w:type="dxa"/>
            <w:vAlign w:val="bottom"/>
            <w:shd w:val="clear" w:color="auto" w:fill="E0E1E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320" w:type="dxa"/>
            <w:vAlign w:val="bottom"/>
            <w:shd w:val="clear" w:color="auto" w:fill="E0E1E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310" w:type="dxa"/>
            <w:vAlign w:val="bottom"/>
            <w:shd w:val="clear" w:color="auto" w:fill="E0E1E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77.68</w:t>
            </w:r>
          </w:p>
        </w:tc>
      </w:tr>
      <w:tr>
        <w:trPr>
          <w:trHeight w:val="258"/>
        </w:trPr>
        <w:tc>
          <w:tcPr>
            <w:tcW w:w="20" w:type="dxa"/>
            <w:vAlign w:val="bottom"/>
          </w:tcPr>
          <w:p>
            <w:pPr>
              <w:spacing w:after="0"/>
              <w:rPr>
                <w:sz w:val="22"/>
                <w:szCs w:val="22"/>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33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31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31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w:t>
            </w:r>
          </w:p>
        </w:tc>
      </w:tr>
      <w:tr>
        <w:trPr>
          <w:trHeight w:val="259"/>
        </w:trPr>
        <w:tc>
          <w:tcPr>
            <w:tcW w:w="20" w:type="dxa"/>
            <w:vAlign w:val="bottom"/>
          </w:tcPr>
          <w:p>
            <w:pPr>
              <w:spacing w:after="0"/>
              <w:rPr>
                <w:sz w:val="22"/>
                <w:szCs w:val="22"/>
                <w:color w:val="auto"/>
              </w:rPr>
            </w:pPr>
          </w:p>
        </w:tc>
        <w:tc>
          <w:tcPr>
            <w:tcW w:w="720" w:type="dxa"/>
            <w:vAlign w:val="bottom"/>
            <w:shd w:val="clear" w:color="auto" w:fill="E0E1E2"/>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2300" w:type="dxa"/>
            <w:vAlign w:val="bottom"/>
            <w:shd w:val="clear" w:color="auto" w:fill="E0E1E2"/>
          </w:tcPr>
          <w:p>
            <w:pPr>
              <w:ind w:left="20"/>
              <w:spacing w:after="0"/>
              <w:rPr>
                <w:sz w:val="20"/>
                <w:szCs w:val="20"/>
                <w:color w:val="auto"/>
              </w:rPr>
            </w:pPr>
            <w:r>
              <w:rPr>
                <w:rFonts w:ascii="Times New Roman" w:cs="Times New Roman" w:eastAsia="Times New Roman" w:hAnsi="Times New Roman"/>
                <w:sz w:val="18"/>
                <w:szCs w:val="18"/>
                <w:color w:val="auto"/>
              </w:rPr>
              <w:t>Consumer Staples Index</w:t>
            </w:r>
          </w:p>
        </w:tc>
        <w:tc>
          <w:tcPr>
            <w:tcW w:w="300" w:type="dxa"/>
            <w:vAlign w:val="bottom"/>
            <w:shd w:val="clear" w:color="auto" w:fill="E0E1E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E0E1E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330" w:type="dxa"/>
            <w:vAlign w:val="bottom"/>
            <w:shd w:val="clear" w:color="auto" w:fill="E0E1E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310" w:type="dxa"/>
            <w:vAlign w:val="bottom"/>
            <w:shd w:val="clear" w:color="auto" w:fill="E0E1E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320" w:type="dxa"/>
            <w:vAlign w:val="bottom"/>
            <w:shd w:val="clear" w:color="auto" w:fill="E0E1E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310" w:type="dxa"/>
            <w:vAlign w:val="bottom"/>
            <w:shd w:val="clear" w:color="auto" w:fill="E0E1E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E0E1E2"/>
          </w:tcPr>
          <w:p>
            <w:pPr>
              <w:jc w:val="right"/>
              <w:spacing w:after="0"/>
              <w:rPr>
                <w:sz w:val="20"/>
                <w:szCs w:val="20"/>
                <w:color w:val="auto"/>
              </w:rPr>
            </w:pPr>
            <w:r>
              <w:rPr>
                <w:rFonts w:ascii="Times New Roman" w:cs="Times New Roman" w:eastAsia="Times New Roman" w:hAnsi="Times New Roman"/>
                <w:sz w:val="18"/>
                <w:szCs w:val="18"/>
                <w:color w:val="auto"/>
              </w:rPr>
              <w:t>152.65</w:t>
            </w:r>
          </w:p>
        </w:tc>
      </w:tr>
      <w:tr>
        <w:trPr>
          <w:trHeight w:val="262"/>
        </w:trPr>
        <w:tc>
          <w:tcPr>
            <w:tcW w:w="20" w:type="dxa"/>
            <w:vAlign w:val="bottom"/>
          </w:tcPr>
          <w:p>
            <w:pPr>
              <w:spacing w:after="0"/>
              <w:rPr>
                <w:sz w:val="22"/>
                <w:szCs w:val="22"/>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S&amp;P 500</w:t>
            </w:r>
          </w:p>
        </w:tc>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Chemicals Index</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w:t>
            </w:r>
          </w:p>
        </w:tc>
        <w:tc>
          <w:tcPr>
            <w:tcW w:w="33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31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7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168.56</w:t>
            </w:r>
          </w:p>
        </w:tc>
        <w:tc>
          <w:tcPr>
            <w:tcW w:w="31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122.29</w:t>
            </w:r>
          </w:p>
        </w:tc>
      </w:tr>
      <w:tr>
        <w:trPr>
          <w:trHeight w:val="712"/>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3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30" w:type="dxa"/>
            <w:vAlign w:val="bottom"/>
          </w:tcPr>
          <w:p>
            <w:pPr>
              <w:spacing w:after="0"/>
              <w:rPr>
                <w:sz w:val="24"/>
                <w:szCs w:val="24"/>
                <w:color w:val="auto"/>
              </w:rPr>
            </w:pPr>
          </w:p>
        </w:tc>
        <w:tc>
          <w:tcPr>
            <w:tcW w:w="31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0" w:lineRule="exact"/>
        <w:rPr>
          <w:rFonts w:ascii="Times New Roman" w:cs="Times New Roman" w:eastAsia="Times New Roman" w:hAnsi="Times New Roman"/>
          <w:sz w:val="18"/>
          <w:szCs w:val="18"/>
          <w:b w:val="1"/>
          <w:bCs w:val="1"/>
          <w:color w:val="auto"/>
        </w:rPr>
      </w:pPr>
    </w:p>
    <w:p>
      <w:pPr>
        <w:spacing w:after="0" w:line="369" w:lineRule="exact"/>
        <w:rPr>
          <w:rFonts w:ascii="Times New Roman" w:cs="Times New Roman" w:eastAsia="Times New Roman" w:hAnsi="Times New Roman"/>
          <w:sz w:val="18"/>
          <w:szCs w:val="18"/>
          <w:b w:val="1"/>
          <w:bCs w:val="1"/>
          <w:color w:val="auto"/>
        </w:rPr>
      </w:pPr>
    </w:p>
    <w:p>
      <w:pPr>
        <w:ind w:left="1080" w:right="180"/>
        <w:spacing w:after="0" w:line="215"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 w:lineRule="exact"/>
        <w:rPr>
          <w:rFonts w:ascii="Times New Roman" w:cs="Times New Roman" w:eastAsia="Times New Roman" w:hAnsi="Times New Roman"/>
          <w:sz w:val="18"/>
          <w:szCs w:val="18"/>
          <w:b w:val="1"/>
          <w:bCs w:val="1"/>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(UNLESS INDICATED OTHERWISE, DOLLARS IN MILLIONS EXCEPT PER SHARE AMOUNTS)</w:t>
      </w:r>
    </w:p>
    <w:p>
      <w:pPr>
        <w:spacing w:after="0" w:line="400" w:lineRule="exact"/>
        <w:rPr>
          <w:rFonts w:ascii="Times New Roman" w:cs="Times New Roman" w:eastAsia="Times New Roman" w:hAnsi="Times New Roman"/>
          <w:sz w:val="18"/>
          <w:szCs w:val="18"/>
          <w:b w:val="1"/>
          <w:bCs w:val="1"/>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880" w:h="15480" w:orient="portrait"/>
          <w:cols w:equalWidth="0" w:num="1">
            <w:col w:w="9400"/>
          </w:cols>
          <w:pgMar w:left="1220" w:top="1255" w:right="1260" w:bottom="254"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4" w:lineRule="exact"/>
        <w:rPr>
          <w:sz w:val="20"/>
          <w:szCs w:val="20"/>
          <w:color w:val="auto"/>
        </w:rPr>
      </w:pPr>
    </w:p>
    <w:p>
      <w:pPr>
        <w:jc w:val="both"/>
        <w:ind w:firstLine="329"/>
        <w:spacing w:after="0" w:line="260" w:lineRule="auto"/>
        <w:rPr>
          <w:sz w:val="20"/>
          <w:szCs w:val="20"/>
          <w:color w:val="auto"/>
        </w:rPr>
      </w:pPr>
      <w:r>
        <w:rPr>
          <w:rFonts w:ascii="Times New Roman" w:cs="Times New Roman" w:eastAsia="Times New Roman" w:hAnsi="Times New Roman"/>
          <w:sz w:val="18"/>
          <w:szCs w:val="18"/>
          <w:color w:val="101010"/>
        </w:rPr>
        <w:t xml:space="preserve">On February 1, 2021, one of our wholly owned subsidiaries merged with and into the N&amp;B Business (the “Merger”), pursuant to a Merger Agreement with DuPont. The shares issued in the Merger represented approximately 55.4% of the common stock of IFF on a fully diluted basis, after giving effect to the Merger, as of February 1, 2021. </w:t>
      </w:r>
      <w:r>
        <w:rPr>
          <w:rFonts w:ascii="Times New Roman" w:cs="Times New Roman" w:eastAsia="Times New Roman" w:hAnsi="Times New Roman"/>
          <w:sz w:val="18"/>
          <w:szCs w:val="18"/>
          <w:color w:val="000000"/>
        </w:rPr>
        <w:t>The N&amp;B Business is an</w:t>
      </w:r>
      <w:r>
        <w:rPr>
          <w:rFonts w:ascii="Times New Roman" w:cs="Times New Roman" w:eastAsia="Times New Roman" w:hAnsi="Times New Roman"/>
          <w:sz w:val="18"/>
          <w:szCs w:val="18"/>
          <w:color w:val="101010"/>
        </w:rPr>
        <w:t xml:space="preserve"> </w:t>
      </w:r>
      <w:r>
        <w:rPr>
          <w:rFonts w:ascii="Times New Roman" w:cs="Times New Roman" w:eastAsia="Times New Roman" w:hAnsi="Times New Roman"/>
          <w:sz w:val="18"/>
          <w:szCs w:val="18"/>
          <w:color w:val="000000"/>
        </w:rPr>
        <w:t>innovation-driven and customer-focused business that provides solutions for the global food and beverage, dietary supplements, home and personal care, energy, animal nutrition and pharma markets. The transaction was made in order to strengthen IFF's customer base and market presence, with an enhanced position in the food &amp; beverage, home &amp; personal care and health &amp; wellness markets. See Note 3 to the Consolidated Financial Statements for additional information related to the N&amp;B Transaction.</w:t>
      </w:r>
    </w:p>
    <w:p>
      <w:pPr>
        <w:spacing w:after="0" w:line="66"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101010"/>
        </w:rPr>
        <w:t>As a result of the N&amp;B Transaction, and following our 2018 acquisition of Frutarom Industries Ltd., we have expanded our global leadership positions, which now include high-value ingredients and solutions in the Food &amp; Beverage, Home &amp; Personal Care and Health &amp; Wellness markets, and across key Taste, Texture, Scent, Nutrition, Enzymes, Cultures, Soy Proteins, Pharmaceutical Excipients and Probiotics categories.</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101010"/>
        </w:rPr>
        <w:t>We are organized into four segments: Nourish, Health &amp; Biosciences, Scent and Pharma Solutions. The Company’s consolidated financial information for the year ended December 31, 2022 reflects the results of N&amp;B for the full twelve months of 2022, whereas the Company’s consolidated financial information for the year ended December 31, 2021 reflects the results of N&amp;B for eleven months of 2021, and 2020 does not include any amounts related to N&amp;B.</w:t>
      </w:r>
    </w:p>
    <w:p>
      <w:pPr>
        <w:spacing w:after="0" w:line="57"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Our Nourish segment consists of an innovative and broad portfolio of natural-based ingredients to enhance nutritional value, texture and functionality in a wide range of beverage, dairy, bakery, confectionery and culinary applications and consists of three business units: Ingredients, Flavors and Food Designs.</w:t>
      </w:r>
    </w:p>
    <w:p>
      <w:pPr>
        <w:spacing w:after="0" w:line="52"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Our Health &amp; Biosciences segment consists of the development and production of an advanced biotechnology-derived portfolio of enzymes, food cultures, probiotics and specialty ingredients for food and non-food applications. Among many other applications, this biotechnology-driven portfolio includes cultures for use in fermented foods such as yogurt, cheese and fermented beverages, probiotic strains, many with documented clinical health claims for use as dietary supplements and through industrial fermentation the production of enzymes and microorganisms that provide product and process performance benefits to household detergents, animal feed, ethanol production and brewing. Health &amp; Biosciences is comprised of five business units: Health, Cultures &amp; Food Enzymes, Home &amp; Personal Care, Animal Nutrition and Grain Processing. On July 1, 2022, we completed the divestiture of our Microbial Control business unit (formerly a part of the Health &amp; Biosciences segment).</w:t>
      </w:r>
    </w:p>
    <w:p>
      <w:pPr>
        <w:spacing w:after="0" w:line="29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Our Scent segment creates fragrance compounds, fragrance ingredients and cosmetic ingredients that are integral elements in the world’s finest perfumes and best-known household and personal care products. Consumer insights science and creativity are at the heart of our Scent business, and, along with our unique portfolio of natural and synthetic ingredients, global footprint, innovative technologies and know-how, and customer intimacy, we believe make us a market leader in scent products. The Scent segment is comprised of three business units: Fragrance Compounds, Fragrance Ingredients and Cosmetic Actives.</w:t>
      </w:r>
    </w:p>
    <w:p>
      <w:pPr>
        <w:spacing w:after="0" w:line="61"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Our Pharma Solutions segment produces, among other things, a vast portfolio of cellulosics and seaweed-based pharmaceutical excipients, used to improve the functionality and delivery of active pharmaceutical ingredients, including controlled or modified drug release formulations, and enabling the development of more effective pharmaceutical finished dosage formulations. Our excipients are used in prescription and over-the-counter pharmaceuticals and dietary supplements. Our Pharma Solutions products also serve a variety of other specialty and industrial end-uses including coatings, inks, electronics, agriculture, and consumer products.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 — Currency Neutral</w:t>
      </w:r>
    </w:p>
    <w:p>
      <w:pPr>
        <w:spacing w:after="0" w:line="12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101010"/>
        </w:rPr>
        <w:t>Our financial results include the impact of foreign currency exchange rates. We provide currency neutral calculations in this report to remove the impact of these items. We calculate currency neutral numbers by translating current year invoiced sale amounts at the exchange rates used for the corresponding prior year period. We use currency neutral results in our analysis of subsidiary and/or segment performance. We also use currency neutral numbers when analyzing our performance against our competitors.</w:t>
      </w:r>
    </w:p>
    <w:p>
      <w:pPr>
        <w:spacing w:after="0" w:line="6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101010"/>
        </w:rPr>
        <w:t>Due to the Merger with N&amp;B, for the fiscal year 2022 we will not be presenting currency neutral impacts for the Nourish, Health &amp; Biosciences and Pharma Solutions operating segments as the performance in these operating segments includes effects of N&amp;B for the full twelve months of 2022 while the 2021 period does not, and thus the periods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101010"/>
        </w:rPr>
        <w:t xml:space="preserve"> results are not equally comparable. We present the currency neutral impacts for the Scent operating segment as this operating segment does not have any effects of N&amp;B.</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880" w:h="15480" w:orient="portrait"/>
          <w:cols w:equalWidth="0" w:num="1">
            <w:col w:w="9360"/>
          </w:cols>
          <w:pgMar w:left="1260" w:top="1418" w:right="1260" w:bottom="254"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24"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For the third quarter of 2022, we determined that goodwill impairment triggering events occurred for our Nourish, Health &amp; Biosciences and Pharma Solutions reporting units, which required us to complete an interim impairment assessment.</w:t>
      </w:r>
    </w:p>
    <w:p>
      <w:pPr>
        <w:spacing w:after="0" w:line="30"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 xml:space="preserve">In performing the quantitative impairment test, we determined that the fair value of the Nourish and Pharma Solutions reporting units exceeded their carrying values, and determined that there was no impairment of goodwill relating to these reporting units. We determined that the carrying value of the Health &amp; Biosciences reporting unit exceeded its fair value and recorded a goodwill impairment charge of $2.250 billion in the Consolidated Statements of (Loss) Income and Comprehensive (Loss) Income for the year ended December 31, 2022. See </w:t>
      </w:r>
      <w:r>
        <w:rPr>
          <w:rFonts w:ascii="Times New Roman" w:cs="Times New Roman" w:eastAsia="Times New Roman" w:hAnsi="Times New Roman"/>
          <w:sz w:val="18"/>
          <w:szCs w:val="18"/>
          <w:color w:val="101010"/>
        </w:rPr>
        <w:t>“Critical Accounting Policies and Use of Estimates” and</w:t>
      </w:r>
      <w:r>
        <w:rPr>
          <w:rFonts w:ascii="Times New Roman" w:cs="Times New Roman" w:eastAsia="Times New Roman" w:hAnsi="Times New Roman"/>
          <w:sz w:val="18"/>
          <w:szCs w:val="18"/>
          <w:color w:val="auto"/>
        </w:rPr>
        <w:t xml:space="preserve"> Note 6 to the Consolidated Financial Statements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Events in Russia and Ukraine</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We maintain operations in both Russia and Ukraine and, additionally, export products to customers in Russia and Ukraine from operations outside the region. In response to the events in Ukraine, we have limited the production and supply of ingredients in and to Russia to only those that meet the essential needs of people, including food, hygiene and medicine.</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In 2021, total sales to Russian customers were approximately 2% of total sales. For the year ended December 31, 2022, sales to Russian customers were also approximately 2% of total sales.</w:t>
      </w:r>
    </w:p>
    <w:p>
      <w:pPr>
        <w:spacing w:after="0" w:line="30"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In 2021, total sales to Ukrainian customers were less than 1% of total sales. For the year ended December 31, 2022, sales to Ukrainian customers were also less than 1% of total sales.</w:t>
      </w:r>
    </w:p>
    <w:p>
      <w:pPr>
        <w:spacing w:after="0" w:line="30" w:lineRule="exact"/>
        <w:rPr>
          <w:sz w:val="20"/>
          <w:szCs w:val="20"/>
          <w:color w:val="auto"/>
        </w:rPr>
      </w:pPr>
    </w:p>
    <w:p>
      <w:pPr>
        <w:ind w:right="1780" w:firstLine="328"/>
        <w:spacing w:after="0" w:line="380" w:lineRule="auto"/>
        <w:rPr>
          <w:sz w:val="20"/>
          <w:szCs w:val="20"/>
          <w:color w:val="auto"/>
        </w:rPr>
      </w:pPr>
      <w:r>
        <w:rPr>
          <w:rFonts w:ascii="Times New Roman" w:cs="Times New Roman" w:eastAsia="Times New Roman" w:hAnsi="Times New Roman"/>
          <w:sz w:val="18"/>
          <w:szCs w:val="18"/>
          <w:color w:val="auto"/>
        </w:rPr>
        <w:t xml:space="preserve">See Note 1, Note 5 and Note 6 to the Consolidated Financial Statements for additional information. </w:t>
      </w:r>
      <w:r>
        <w:rPr>
          <w:rFonts w:ascii="Times New Roman" w:cs="Times New Roman" w:eastAsia="Times New Roman" w:hAnsi="Times New Roman"/>
          <w:sz w:val="18"/>
          <w:szCs w:val="18"/>
          <w:b w:val="1"/>
          <w:bCs w:val="1"/>
          <w:color w:val="auto"/>
        </w:rPr>
        <w:t>Impact of COVID-19 Pandemic</w:t>
      </w:r>
    </w:p>
    <w:p>
      <w:pPr>
        <w:spacing w:after="0" w:line="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On March 11, 2020, the World Health Organization designated COVID-19 as a global pandemic. Various policies and initiatives have been implemented around the world to reduce the global transmission of COVID-19. Although there continue to be minor operational disruptions, all of IFF’s manufacturing facilities remain open and continue to manufacture products.</w:t>
      </w:r>
    </w:p>
    <w:p>
      <w:pPr>
        <w:spacing w:after="0" w:line="52"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The COVID-19 pandemic remains a serious threat to the health of the world’s population and certain countries and regions continue to suffer from outbreaks or have seen a recurrence of infections, especially with the emergence of new variants of the virus. Accordingly, the Company continues to take the threat from COVID-19 seriously. The impact that COVID-19 will have on our consolidated results of operations for the remainder of 2023 remains uncertain. Due to the length and severity of the COVID-19 pandemic, there is continued volatility as a result of retail and travel, consumer shopping and consumption behavior. Moreover, as a result of disruptions or uncertainty relating to the COVID-19 pandemic, we are experiencing, and may continue to experience, increased costs, delays or limited availability related to raw materials, strain on shipping and transportation resources, and higher energy prices, which have negatively impacted, and may continue to negatively impact, our margins and operating results. We will continue to evaluate the nature and extent of these potential impacts to our business, consolidated results of operations, segment results, liquidity and capital resources.</w:t>
      </w:r>
    </w:p>
    <w:p>
      <w:pPr>
        <w:spacing w:after="0" w:line="7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Although IFF has not experienced and does not currently anticipate any impairment charges related to COVID-19, the continuing effects of a prolonged pandemic could result in increased risk of asset write -downs and impairments. Any of these events could potentially result in a material adverse impact on IFF’s business and results of operations.</w:t>
      </w:r>
    </w:p>
    <w:p>
      <w:pPr>
        <w:spacing w:after="0" w:line="5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 xml:space="preserve">For more detailed information about risks related to COVID-19, refer to Item 1A, “Risk Factors” - </w:t>
      </w:r>
      <w:r>
        <w:rPr>
          <w:rFonts w:ascii="Times New Roman" w:cs="Times New Roman" w:eastAsia="Times New Roman" w:hAnsi="Times New Roman"/>
          <w:sz w:val="18"/>
          <w:szCs w:val="18"/>
          <w:i w:val="1"/>
          <w:iCs w:val="1"/>
          <w:color w:val="auto"/>
        </w:rPr>
        <w:t>Global health crises,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such as the COVID-19 pandemic, have had an impact on our supply chain and could have a material impact on global operations, our customers and our suppliers, which could adversely impact our business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Restructuring Program</w:t>
      </w:r>
    </w:p>
    <w:p>
      <w:pPr>
        <w:spacing w:after="0" w:line="124"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In December 2022, we announced a restructuring program mainly related to headcount reduction to improve our organizational and operating structure, drive efficiencies and achieve cost savings (the “Program”). Once the Program is finalized we expect to incur one-time costs of approximately $70 million and expect to achieve run-rate savings of approximately $100 million, with approximately $75 million targeted to be realized in 2023. We expect to complete the program by the end of 2023. The final amount and timing of this charge will be determined once the plan is finalized.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Financial Performance Overview</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reconciliation between reported and adjusted figures, please refer to the “Non-GAAP Financial Measures”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880" w:h="15480" w:orient="portrait"/>
          <w:cols w:equalWidth="0" w:num="1">
            <w:col w:w="9360"/>
          </w:cols>
          <w:pgMar w:left="1260" w:top="1252" w:right="1260" w:bottom="254"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118"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Sales in 2022 increased $784 million, or 7% on a reported basis, to $12.440 billion compared to $11.656 billion in the 2021 period. Sales included approximately $568 million of incremental sales attributable to N&amp;B for the month of January in the 2022 period. In addition, the increase in sales was primarily driven by price increases across various businesses, offset in part by the net impact of the divestiture of the Microbial Control business unit and acquisition of Health Wright Products, Inc. (“change in business portfolio mix”) and volume decreases across various businesses.</w:t>
      </w:r>
    </w:p>
    <w:p>
      <w:pPr>
        <w:spacing w:after="0" w:line="61"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Our 25 largest customers accounted for approximately 28% of total sales in 2022. In 2022, no customer accounted for more than 10% of sales. A key factor for commercial success is our inclusion on strategic customers’ core supplier lists, which provides opportunities to expand and win new business. We are on the core supplier lists of a large majority of our global and strategic customers.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8"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Gross profit in 2022 increased $416 million, or 11% on a reported basis, to $4.151 billion (33.4% of sales) compared to $3.735 billion (32.0% of sales) in the 2021 period. Approximately $179 million of gross profit was attributable to N&amp;B for the month of January in the 2022 period. The increase in gross profit was primarily driven by favorable net pricing across various businesses and the impact of N&amp;B inventory step-up costs from the prior year period, offset in part by the change in business portfolio mix and volume decreases.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880" w:h="15480" w:orient="portrait"/>
          <w:cols w:equalWidth="0" w:num="1">
            <w:col w:w="9360"/>
          </w:cols>
          <w:pgMar w:left="1260" w:top="1258" w:right="1260" w:bottom="254"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 vs. 2020</w:t>
            </w:r>
          </w:p>
        </w:tc>
        <w:tc>
          <w:tcPr>
            <w:tcW w:w="0" w:type="dxa"/>
            <w:vAlign w:val="bottom"/>
          </w:tcPr>
          <w:p>
            <w:pPr>
              <w:spacing w:after="0"/>
              <w:rPr>
                <w:sz w:val="1"/>
                <w:szCs w:val="1"/>
                <w:color w:val="auto"/>
              </w:rPr>
            </w:pPr>
          </w:p>
        </w:tc>
      </w:tr>
      <w:tr>
        <w:trPr>
          <w:trHeight w:val="53"/>
        </w:trPr>
        <w:tc>
          <w:tcPr>
            <w:tcW w:w="40" w:type="dxa"/>
            <w:vAlign w:val="bottom"/>
            <w:tcBorders>
              <w:bottom w:val="single" w:sz="8" w:color="DDDDDD"/>
            </w:tcBorders>
          </w:tcPr>
          <w:p>
            <w:pPr>
              <w:spacing w:after="0"/>
              <w:rPr>
                <w:sz w:val="4"/>
                <w:szCs w:val="4"/>
                <w:color w:val="auto"/>
              </w:rPr>
            </w:pPr>
          </w:p>
        </w:tc>
        <w:tc>
          <w:tcPr>
            <w:tcW w:w="20" w:type="dxa"/>
            <w:vAlign w:val="bottom"/>
            <w:tcBorders>
              <w:top w:val="single" w:sz="8" w:color="auto"/>
              <w:bottom w:val="single" w:sz="8" w:color="DDDDDD"/>
            </w:tcBorders>
          </w:tcPr>
          <w:p>
            <w:pPr>
              <w:spacing w:after="0"/>
              <w:rPr>
                <w:sz w:val="4"/>
                <w:szCs w:val="4"/>
                <w:color w:val="auto"/>
              </w:rPr>
            </w:pPr>
          </w:p>
        </w:tc>
        <w:tc>
          <w:tcPr>
            <w:tcW w:w="1300" w:type="dxa"/>
            <w:vAlign w:val="bottom"/>
            <w:tcBorders>
              <w:top w:val="single" w:sz="8" w:color="auto"/>
              <w:bottom w:val="single" w:sz="8" w:color="DDDDDD"/>
            </w:tcBorders>
          </w:tcPr>
          <w:p>
            <w:pPr>
              <w:spacing w:after="0"/>
              <w:rPr>
                <w:sz w:val="4"/>
                <w:szCs w:val="4"/>
                <w:color w:val="auto"/>
              </w:rPr>
            </w:pPr>
          </w:p>
        </w:tc>
        <w:tc>
          <w:tcPr>
            <w:tcW w:w="2340" w:type="dxa"/>
            <w:vAlign w:val="bottom"/>
            <w:tcBorders>
              <w:top w:val="single" w:sz="8" w:color="auto"/>
              <w:bottom w:val="single" w:sz="8" w:color="DDDDDD"/>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DDDDDD"/>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370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40" w:type="dxa"/>
            <w:vAlign w:val="bottom"/>
            <w:tcBorders>
              <w:top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DDDDD"/>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12,440</w:t>
            </w: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60" w:type="dxa"/>
            <w:vAlign w:val="bottom"/>
            <w:tcBorders>
              <w:top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DDDDD"/>
            </w:tcBorders>
            <w:shd w:val="clear" w:color="auto" w:fill="DDDDDD"/>
          </w:tcPr>
          <w:p>
            <w:pPr>
              <w:jc w:val="right"/>
              <w:ind w:right="129"/>
              <w:spacing w:after="0"/>
              <w:rPr>
                <w:sz w:val="20"/>
                <w:szCs w:val="20"/>
                <w:color w:val="auto"/>
              </w:rPr>
            </w:pPr>
            <w:r>
              <w:rPr>
                <w:rFonts w:ascii="Times New Roman" w:cs="Times New Roman" w:eastAsia="Times New Roman" w:hAnsi="Times New Roman"/>
                <w:sz w:val="18"/>
                <w:szCs w:val="18"/>
                <w:color w:val="auto"/>
              </w:rPr>
              <w:t>11,656</w:t>
            </w: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6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80" w:type="dxa"/>
            <w:vAlign w:val="bottom"/>
            <w:tcBorders>
              <w:top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DDDDDD"/>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6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760" w:type="dxa"/>
            <w:vAlign w:val="bottom"/>
            <w:tcBorders>
              <w:top w:val="single" w:sz="8" w:color="DDDDDD"/>
            </w:tcBorders>
            <w:shd w:val="clear" w:color="auto" w:fill="DDDDDD"/>
          </w:tcPr>
          <w:p>
            <w:pPr>
              <w:jc w:val="right"/>
              <w:ind w:right="9"/>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6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760" w:type="dxa"/>
            <w:vAlign w:val="bottom"/>
            <w:tcBorders>
              <w:top w:val="single" w:sz="8" w:color="DDDDDD"/>
            </w:tcBorders>
            <w:shd w:val="clear" w:color="auto" w:fill="DDDDDD"/>
          </w:tcPr>
          <w:p>
            <w:pPr>
              <w:jc w:val="right"/>
              <w:ind w:right="29"/>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8"/>
                <w:szCs w:val="18"/>
                <w:color w:val="auto"/>
              </w:rPr>
              <w:t>8,289</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8"/>
                <w:szCs w:val="18"/>
                <w:color w:val="auto"/>
              </w:rPr>
              <w:t>2,998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DDDDDD"/>
            </w:tcBorders>
            <w:gridSpan w:val="2"/>
          </w:tcPr>
          <w:p>
            <w:pPr>
              <w:spacing w:after="0"/>
              <w:rPr>
                <w:sz w:val="22"/>
                <w:szCs w:val="22"/>
                <w:color w:val="auto"/>
              </w:rPr>
            </w:pPr>
          </w:p>
        </w:tc>
        <w:tc>
          <w:tcPr>
            <w:tcW w:w="760" w:type="dxa"/>
            <w:vAlign w:val="bottom"/>
            <w:tcBorders>
              <w:bottom w:val="single" w:sz="8" w:color="DDDDDD"/>
            </w:tcBorders>
          </w:tcPr>
          <w:p>
            <w:pPr>
              <w:jc w:val="right"/>
              <w:ind w:right="9"/>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2"/>
                <w:szCs w:val="22"/>
                <w:color w:val="auto"/>
              </w:rPr>
            </w:pPr>
          </w:p>
        </w:tc>
        <w:tc>
          <w:tcPr>
            <w:tcW w:w="80" w:type="dxa"/>
            <w:vAlign w:val="bottom"/>
            <w:tcBorders>
              <w:bottom w:val="single" w:sz="8" w:color="DDDDDD"/>
            </w:tcBorders>
            <w:gridSpan w:val="2"/>
          </w:tcPr>
          <w:p>
            <w:pPr>
              <w:spacing w:after="0"/>
              <w:rPr>
                <w:sz w:val="22"/>
                <w:szCs w:val="22"/>
                <w:color w:val="auto"/>
              </w:rPr>
            </w:pPr>
          </w:p>
        </w:tc>
        <w:tc>
          <w:tcPr>
            <w:tcW w:w="760" w:type="dxa"/>
            <w:vAlign w:val="bottom"/>
            <w:tcBorders>
              <w:bottom w:val="single" w:sz="8" w:color="DDDDDD"/>
            </w:tcBorders>
          </w:tcPr>
          <w:p>
            <w:pPr>
              <w:jc w:val="right"/>
              <w:ind w:right="29"/>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4,151</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3,735</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78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2,086</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780" w:type="dxa"/>
            <w:vAlign w:val="bottom"/>
            <w:gridSpan w:val="2"/>
            <w:shd w:val="clear" w:color="auto" w:fill="DDDDDD"/>
          </w:tcPr>
          <w:p>
            <w:pPr>
              <w:jc w:val="right"/>
              <w:ind w:right="9"/>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760" w:type="dxa"/>
            <w:vAlign w:val="bottom"/>
            <w:shd w:val="clear" w:color="auto" w:fill="DDDDDD"/>
          </w:tcPr>
          <w:p>
            <w:pPr>
              <w:jc w:val="right"/>
              <w:ind w:right="29"/>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760" w:type="dxa"/>
            <w:vAlign w:val="bottom"/>
            <w:tcBorders>
              <w:bottom w:val="single" w:sz="8" w:color="DDDDDD"/>
            </w:tcBorders>
            <w:gridSpan w:val="6"/>
          </w:tcPr>
          <w:p>
            <w:pPr>
              <w:spacing w:after="0"/>
              <w:rPr>
                <w:sz w:val="20"/>
                <w:szCs w:val="20"/>
                <w:color w:val="auto"/>
              </w:rPr>
            </w:pPr>
            <w:r>
              <w:rPr>
                <w:rFonts w:ascii="Times New Roman" w:cs="Times New Roman" w:eastAsia="Times New Roman" w:hAnsi="Times New Roman"/>
                <w:sz w:val="18"/>
                <w:szCs w:val="18"/>
                <w:color w:val="auto"/>
              </w:rPr>
              <w:t>Research and development (R&amp;D) expenses</w:t>
            </w: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603</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78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3"/>
          </w:tcPr>
          <w:p>
            <w:pPr>
              <w:jc w:val="right"/>
              <w:ind w:right="29"/>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Selling and administrative (S&amp;A) expenses</w:t>
            </w: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1,768</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1,749</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78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949</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0" w:type="dxa"/>
            <w:vAlign w:val="bottom"/>
            <w:gridSpan w:val="2"/>
            <w:shd w:val="clear" w:color="auto" w:fill="DDDDDD"/>
          </w:tcPr>
          <w:p>
            <w:pPr>
              <w:jc w:val="right"/>
              <w:ind w:right="9"/>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29"/>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760" w:type="dxa"/>
            <w:vAlign w:val="bottom"/>
            <w:tcBorders>
              <w:bottom w:val="single" w:sz="8" w:color="DDDDDD"/>
            </w:tcBorders>
            <w:gridSpan w:val="6"/>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78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gridSpan w:val="2"/>
          </w:tcPr>
          <w:p>
            <w:pPr>
              <w:spacing w:after="0"/>
              <w:rPr>
                <w:sz w:val="24"/>
                <w:szCs w:val="24"/>
                <w:color w:val="auto"/>
              </w:rPr>
            </w:pPr>
          </w:p>
        </w:tc>
        <w:tc>
          <w:tcPr>
            <w:tcW w:w="7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gridSpan w:val="2"/>
          </w:tcPr>
          <w:p>
            <w:pPr>
              <w:spacing w:after="0"/>
              <w:rPr>
                <w:sz w:val="24"/>
                <w:szCs w:val="24"/>
                <w:color w:val="auto"/>
              </w:rPr>
            </w:pPr>
          </w:p>
        </w:tc>
        <w:tc>
          <w:tcPr>
            <w:tcW w:w="760" w:type="dxa"/>
            <w:vAlign w:val="bottom"/>
            <w:tcBorders>
              <w:bottom w:val="single" w:sz="8" w:color="DDDDDD"/>
            </w:tcBorders>
          </w:tcPr>
          <w:p>
            <w:pPr>
              <w:jc w:val="right"/>
              <w:ind w:right="29"/>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78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7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29"/>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2,250</w:t>
            </w:r>
          </w:p>
        </w:tc>
        <w:tc>
          <w:tcPr>
            <w:tcW w:w="20" w:type="dxa"/>
            <w:vAlign w:val="bottom"/>
            <w:tcBorders>
              <w:top w:val="single" w:sz="8" w:color="DDDDDD"/>
            </w:tcBorders>
          </w:tcPr>
          <w:p>
            <w:pPr>
              <w:spacing w:after="0"/>
              <w:rPr>
                <w:sz w:val="21"/>
                <w:szCs w:val="21"/>
                <w:color w:val="auto"/>
              </w:rPr>
            </w:pP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tcBorders>
              <w:top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3"/>
                <w:szCs w:val="23"/>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4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80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9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980" w:type="dxa"/>
            <w:vAlign w:val="bottom"/>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93"/>
        </w:trPr>
        <w:tc>
          <w:tcPr>
            <w:tcW w:w="4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3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(Gains) losses on sale of fixed assets</w:t>
            </w:r>
          </w:p>
        </w:tc>
        <w:tc>
          <w:tcPr>
            <w:tcW w:w="2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top w:val="single" w:sz="8" w:color="DDDDDD"/>
              <w:bottom w:val="single" w:sz="8" w:color="auto"/>
            </w:tcBorders>
          </w:tcPr>
          <w:p>
            <w:pPr>
              <w:spacing w:after="0"/>
              <w:rPr>
                <w:sz w:val="24"/>
                <w:szCs w:val="24"/>
                <w:color w:val="auto"/>
              </w:rPr>
            </w:pPr>
          </w:p>
        </w:tc>
        <w:tc>
          <w:tcPr>
            <w:tcW w:w="4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DDDDDD"/>
              <w:bottom w:val="single" w:sz="8" w:color="auto"/>
            </w:tcBorders>
          </w:tcPr>
          <w:p>
            <w:pPr>
              <w:spacing w:after="0"/>
              <w:rPr>
                <w:sz w:val="24"/>
                <w:szCs w:val="24"/>
                <w:color w:val="auto"/>
              </w:rPr>
            </w:pPr>
          </w:p>
        </w:tc>
        <w:tc>
          <w:tcPr>
            <w:tcW w:w="6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DDDDDD"/>
              <w:bottom w:val="single" w:sz="8" w:color="auto"/>
            </w:tcBorders>
          </w:tcPr>
          <w:p>
            <w:pPr>
              <w:spacing w:after="0"/>
              <w:rPr>
                <w:sz w:val="24"/>
                <w:szCs w:val="24"/>
                <w:color w:val="auto"/>
              </w:rPr>
            </w:pPr>
          </w:p>
        </w:tc>
        <w:tc>
          <w:tcPr>
            <w:tcW w:w="80" w:type="dxa"/>
            <w:vAlign w:val="bottom"/>
            <w:tcBorders>
              <w:top w:val="single" w:sz="8" w:color="DDDDDD"/>
              <w:bottom w:val="single" w:sz="8" w:color="DDDDDD"/>
            </w:tcBorders>
            <w:gridSpan w:val="2"/>
          </w:tcPr>
          <w:p>
            <w:pPr>
              <w:spacing w:after="0"/>
              <w:rPr>
                <w:sz w:val="24"/>
                <w:szCs w:val="24"/>
                <w:color w:val="auto"/>
              </w:rPr>
            </w:pPr>
          </w:p>
        </w:tc>
        <w:tc>
          <w:tcPr>
            <w:tcW w:w="760" w:type="dxa"/>
            <w:vAlign w:val="bottom"/>
            <w:tcBorders>
              <w:bottom w:val="single" w:sz="8" w:color="DDDDDD"/>
            </w:tcBorders>
          </w:tcPr>
          <w:p>
            <w:pPr>
              <w:jc w:val="right"/>
              <w:ind w:right="9"/>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DDDDDD"/>
            </w:tcBorders>
          </w:tcPr>
          <w:p>
            <w:pPr>
              <w:spacing w:after="0"/>
              <w:rPr>
                <w:sz w:val="24"/>
                <w:szCs w:val="24"/>
                <w:color w:val="auto"/>
              </w:rPr>
            </w:pPr>
          </w:p>
        </w:tc>
        <w:tc>
          <w:tcPr>
            <w:tcW w:w="80" w:type="dxa"/>
            <w:vAlign w:val="bottom"/>
            <w:tcBorders>
              <w:top w:val="single" w:sz="8" w:color="DDDDDD"/>
              <w:bottom w:val="single" w:sz="8" w:color="DDDDDD"/>
            </w:tcBorders>
            <w:gridSpan w:val="2"/>
          </w:tcPr>
          <w:p>
            <w:pPr>
              <w:spacing w:after="0"/>
              <w:rPr>
                <w:sz w:val="24"/>
                <w:szCs w:val="24"/>
                <w:color w:val="auto"/>
              </w:rPr>
            </w:pPr>
          </w:p>
        </w:tc>
        <w:tc>
          <w:tcPr>
            <w:tcW w:w="7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370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Operating (loss) profit</w:t>
            </w: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40" w:type="dxa"/>
            <w:vAlign w:val="bottom"/>
            <w:tcBorders>
              <w:top w:val="single" w:sz="8" w:color="DDDDDD"/>
            </w:tcBorders>
            <w:shd w:val="clear" w:color="auto" w:fill="DDDDDD"/>
          </w:tcPr>
          <w:p>
            <w:pPr>
              <w:spacing w:after="0"/>
              <w:rPr>
                <w:sz w:val="19"/>
                <w:szCs w:val="19"/>
                <w:color w:val="auto"/>
              </w:rPr>
            </w:pPr>
          </w:p>
        </w:tc>
        <w:tc>
          <w:tcPr>
            <w:tcW w:w="820" w:type="dxa"/>
            <w:vAlign w:val="bottom"/>
            <w:tcBorders>
              <w:top w:val="single" w:sz="8" w:color="DDDDDD"/>
            </w:tcBorders>
            <w:shd w:val="clear" w:color="auto" w:fill="DDDDDD"/>
          </w:tcPr>
          <w:p>
            <w:pPr>
              <w:jc w:val="right"/>
              <w:ind w:right="49"/>
              <w:spacing w:after="0"/>
              <w:rPr>
                <w:sz w:val="20"/>
                <w:szCs w:val="20"/>
                <w:color w:val="auto"/>
              </w:rPr>
            </w:pPr>
            <w:r>
              <w:rPr>
                <w:rFonts w:ascii="Times New Roman" w:cs="Times New Roman" w:eastAsia="Times New Roman" w:hAnsi="Times New Roman"/>
                <w:sz w:val="18"/>
                <w:szCs w:val="18"/>
                <w:color w:val="auto"/>
              </w:rPr>
              <w:t>(1,326)</w:t>
            </w: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DDDDDD"/>
            </w:tcBorders>
            <w:shd w:val="clear" w:color="auto" w:fill="DDDDDD"/>
          </w:tcPr>
          <w:p>
            <w:pPr>
              <w:spacing w:after="0"/>
              <w:rPr>
                <w:sz w:val="19"/>
                <w:szCs w:val="19"/>
                <w:color w:val="auto"/>
              </w:rPr>
            </w:pPr>
          </w:p>
        </w:tc>
        <w:tc>
          <w:tcPr>
            <w:tcW w:w="820" w:type="dxa"/>
            <w:vAlign w:val="bottom"/>
            <w:tcBorders>
              <w:top w:val="single" w:sz="8" w:color="DDDDDD"/>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DDDDDD"/>
            </w:tcBorders>
            <w:shd w:val="clear" w:color="auto" w:fill="DDDDDD"/>
          </w:tcPr>
          <w:p>
            <w:pPr>
              <w:spacing w:after="0"/>
              <w:rPr>
                <w:sz w:val="19"/>
                <w:szCs w:val="19"/>
                <w:color w:val="auto"/>
              </w:rPr>
            </w:pPr>
          </w:p>
        </w:tc>
        <w:tc>
          <w:tcPr>
            <w:tcW w:w="780" w:type="dxa"/>
            <w:vAlign w:val="bottom"/>
            <w:tcBorders>
              <w:top w:val="single" w:sz="8" w:color="DDDDDD"/>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566</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98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760" w:type="dxa"/>
            <w:vAlign w:val="bottom"/>
            <w:tcBorders>
              <w:top w:val="single" w:sz="8" w:color="DDDDDD"/>
            </w:tcBorders>
            <w:shd w:val="clear" w:color="auto" w:fill="DDDDDD"/>
          </w:tcPr>
          <w:p>
            <w:pPr>
              <w:jc w:val="right"/>
              <w:ind w:right="29"/>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7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tcBorders>
            <w:shd w:val="clear" w:color="auto" w:fill="DDDDDD"/>
          </w:tcPr>
          <w:p>
            <w:pPr>
              <w:jc w:val="right"/>
              <w:ind w:right="49"/>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tcBorders>
            <w:shd w:val="clear" w:color="auto" w:fill="DDDDDD"/>
          </w:tcPr>
          <w:p>
            <w:pPr>
              <w:jc w:val="right"/>
              <w:ind w:right="49"/>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ind w:right="49"/>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441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0" w:type="dxa"/>
            <w:vAlign w:val="bottom"/>
            <w:shd w:val="clear" w:color="auto" w:fill="DDDDDD"/>
          </w:tcPr>
          <w:p>
            <w:pPr>
              <w:spacing w:after="0"/>
              <w:rPr>
                <w:sz w:val="24"/>
                <w:szCs w:val="24"/>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60" w:type="dxa"/>
            <w:vAlign w:val="bottom"/>
            <w:shd w:val="clear" w:color="auto" w:fill="DDDDDD"/>
          </w:tcPr>
          <w:p>
            <w:pPr>
              <w:jc w:val="right"/>
              <w:ind w:right="9"/>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60" w:type="dxa"/>
            <w:vAlign w:val="bottom"/>
            <w:shd w:val="clear" w:color="auto" w:fill="DDDDDD"/>
          </w:tcPr>
          <w:p>
            <w:pPr>
              <w:jc w:val="right"/>
              <w:ind w:right="29"/>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Borders>
              <w:bottom w:val="single" w:sz="8" w:color="DDDDDD"/>
            </w:tcBorders>
          </w:tcPr>
          <w:p>
            <w:pPr>
              <w:spacing w:after="0"/>
              <w:rPr>
                <w:sz w:val="24"/>
                <w:szCs w:val="24"/>
                <w:color w:val="auto"/>
              </w:rPr>
            </w:pPr>
          </w:p>
        </w:tc>
        <w:tc>
          <w:tcPr>
            <w:tcW w:w="3760" w:type="dxa"/>
            <w:vAlign w:val="bottom"/>
            <w:tcBorders>
              <w:bottom w:val="single" w:sz="8" w:color="DDDDDD"/>
            </w:tcBorders>
            <w:gridSpan w:val="6"/>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49"/>
              <w:spacing w:after="0"/>
              <w:rPr>
                <w:sz w:val="20"/>
                <w:szCs w:val="20"/>
                <w:color w:val="auto"/>
              </w:rPr>
            </w:pPr>
            <w:r>
              <w:rPr>
                <w:rFonts w:ascii="Times New Roman" w:cs="Times New Roman" w:eastAsia="Times New Roman" w:hAnsi="Times New Roman"/>
                <w:sz w:val="18"/>
                <w:szCs w:val="18"/>
                <w:color w:val="auto"/>
              </w:rPr>
              <w:t>(1,864)</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78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00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840" w:type="dxa"/>
            <w:vAlign w:val="bottom"/>
            <w:tcBorders>
              <w:bottom w:val="single" w:sz="8" w:color="DDDDDD"/>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7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Net income attributable to non-controlling interest</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spacing w:after="0"/>
              <w:rPr>
                <w:sz w:val="20"/>
                <w:szCs w:val="20"/>
                <w:color w:val="auto"/>
              </w:rPr>
            </w:pPr>
          </w:p>
        </w:tc>
        <w:tc>
          <w:tcPr>
            <w:tcW w:w="82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spacing w:after="0"/>
              <w:rPr>
                <w:sz w:val="20"/>
                <w:szCs w:val="20"/>
                <w:color w:val="auto"/>
              </w:rPr>
            </w:pPr>
          </w:p>
        </w:tc>
        <w:tc>
          <w:tcPr>
            <w:tcW w:w="82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spacing w:after="0"/>
              <w:rPr>
                <w:sz w:val="20"/>
                <w:szCs w:val="20"/>
                <w:color w:val="auto"/>
              </w:rPr>
            </w:pPr>
          </w:p>
        </w:tc>
        <w:tc>
          <w:tcPr>
            <w:tcW w:w="78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760" w:type="dxa"/>
            <w:vAlign w:val="bottom"/>
            <w:tcBorders>
              <w:bottom w:val="single" w:sz="8" w:color="DDDDDD"/>
            </w:tcBorders>
            <w:shd w:val="clear" w:color="auto" w:fill="DDDDDD"/>
          </w:tcPr>
          <w:p>
            <w:pPr>
              <w:jc w:val="right"/>
              <w:ind w:right="29"/>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Net (loss) income attributable to IFF shareholders</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(1,871)</w:t>
            </w:r>
          </w:p>
        </w:tc>
        <w:tc>
          <w:tcPr>
            <w:tcW w:w="20" w:type="dxa"/>
            <w:vAlign w:val="bottom"/>
          </w:tcPr>
          <w:p>
            <w:pPr>
              <w:spacing w:after="0"/>
              <w:rPr>
                <w:sz w:val="23"/>
                <w:szCs w:val="23"/>
                <w:color w:val="auto"/>
              </w:rPr>
            </w:pPr>
          </w:p>
        </w:tc>
        <w:tc>
          <w:tcPr>
            <w:tcW w:w="3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3"/>
                <w:szCs w:val="23"/>
                <w:color w:val="auto"/>
              </w:rPr>
            </w:pP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Borders>
              <w:top w:val="single" w:sz="8" w:color="DDDDDD"/>
            </w:tcBorders>
            <w:shd w:val="clear" w:color="auto" w:fill="DDDDDD"/>
          </w:tcPr>
          <w:p>
            <w:pPr>
              <w:spacing w:after="0"/>
              <w:rPr>
                <w:sz w:val="18"/>
                <w:szCs w:val="18"/>
                <w:color w:val="auto"/>
              </w:rPr>
            </w:pPr>
          </w:p>
        </w:tc>
        <w:tc>
          <w:tcPr>
            <w:tcW w:w="3760" w:type="dxa"/>
            <w:vAlign w:val="bottom"/>
            <w:tcBorders>
              <w:top w:val="single" w:sz="8" w:color="DDDDDD"/>
            </w:tcBorders>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20" w:type="dxa"/>
            <w:vAlign w:val="bottom"/>
            <w:tcBorders>
              <w:top w:val="single" w:sz="8" w:color="auto"/>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DDDDDD"/>
          </w:tcPr>
          <w:p>
            <w:pPr>
              <w:jc w:val="right"/>
              <w:ind w:right="49"/>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Borders>
              <w:top w:val="single" w:sz="8" w:color="auto"/>
            </w:tcBorders>
            <w:shd w:val="clear" w:color="auto" w:fill="DDDDDD"/>
          </w:tcPr>
          <w:p>
            <w:pPr>
              <w:spacing w:after="0"/>
              <w:rPr>
                <w:sz w:val="18"/>
                <w:szCs w:val="18"/>
                <w:color w:val="auto"/>
              </w:rPr>
            </w:pPr>
          </w:p>
        </w:tc>
        <w:tc>
          <w:tcPr>
            <w:tcW w:w="4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c>
          <w:tcPr>
            <w:tcW w:w="260" w:type="dxa"/>
            <w:vAlign w:val="bottom"/>
            <w:tcBorders>
              <w:top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top w:val="single" w:sz="8" w:color="auto"/>
            </w:tcBorders>
            <w:shd w:val="clear" w:color="auto" w:fill="DDDDDD"/>
          </w:tcPr>
          <w:p>
            <w:pPr>
              <w:spacing w:after="0"/>
              <w:rPr>
                <w:sz w:val="18"/>
                <w:szCs w:val="18"/>
                <w:color w:val="auto"/>
              </w:rPr>
            </w:pPr>
          </w:p>
        </w:tc>
        <w:tc>
          <w:tcPr>
            <w:tcW w:w="6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280" w:type="dxa"/>
            <w:vAlign w:val="bottom"/>
            <w:tcBorders>
              <w:top w:val="single" w:sz="8" w:color="auto"/>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top w:val="single" w:sz="8" w:color="auto"/>
            </w:tcBorders>
            <w:shd w:val="clear" w:color="auto" w:fill="DDDDDD"/>
          </w:tcPr>
          <w:p>
            <w:pPr>
              <w:spacing w:after="0"/>
              <w:rPr>
                <w:sz w:val="18"/>
                <w:szCs w:val="18"/>
                <w:color w:val="auto"/>
              </w:rPr>
            </w:pPr>
          </w:p>
        </w:tc>
        <w:tc>
          <w:tcPr>
            <w:tcW w:w="6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98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tcBorders>
              <w:top w:val="single" w:sz="8" w:color="DDDDDD"/>
            </w:tcBorders>
            <w:shd w:val="clear" w:color="auto" w:fill="DDDDDD"/>
          </w:tcPr>
          <w:p>
            <w:pPr>
              <w:spacing w:after="0"/>
              <w:rPr>
                <w:sz w:val="18"/>
                <w:szCs w:val="18"/>
                <w:color w:val="auto"/>
              </w:rPr>
            </w:pPr>
          </w:p>
        </w:tc>
        <w:tc>
          <w:tcPr>
            <w:tcW w:w="80" w:type="dxa"/>
            <w:vAlign w:val="bottom"/>
            <w:tcBorders>
              <w:top w:val="single" w:sz="8" w:color="DDDDDD"/>
            </w:tcBorders>
            <w:gridSpan w:val="2"/>
            <w:shd w:val="clear" w:color="auto" w:fill="DDDDDD"/>
          </w:tcPr>
          <w:p>
            <w:pPr>
              <w:spacing w:after="0"/>
              <w:rPr>
                <w:sz w:val="18"/>
                <w:szCs w:val="18"/>
                <w:color w:val="auto"/>
              </w:rPr>
            </w:pPr>
          </w:p>
        </w:tc>
        <w:tc>
          <w:tcPr>
            <w:tcW w:w="7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top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760" w:type="dxa"/>
            <w:vAlign w:val="bottom"/>
            <w:tcBorders>
              <w:bottom w:val="single" w:sz="8" w:color="DDDDDD"/>
            </w:tcBorders>
            <w:gridSpan w:val="6"/>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33.4 %</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32.0 %</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80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41.0 %</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00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 bps</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98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R&amp;D as a percentage of sales</w:t>
            </w: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9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980" w:type="dxa"/>
            <w:vAlign w:val="bottom"/>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(160) bps</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760" w:type="dxa"/>
            <w:vAlign w:val="bottom"/>
            <w:tcBorders>
              <w:bottom w:val="single" w:sz="8" w:color="DDDDDD"/>
            </w:tcBorders>
            <w:gridSpan w:val="6"/>
          </w:tcPr>
          <w:p>
            <w:pPr>
              <w:spacing w:after="0"/>
              <w:rPr>
                <w:sz w:val="20"/>
                <w:szCs w:val="20"/>
                <w:color w:val="auto"/>
              </w:rPr>
            </w:pPr>
            <w:r>
              <w:rPr>
                <w:rFonts w:ascii="Times New Roman" w:cs="Times New Roman" w:eastAsia="Times New Roman" w:hAnsi="Times New Roman"/>
                <w:sz w:val="18"/>
                <w:szCs w:val="18"/>
                <w:color w:val="auto"/>
              </w:rPr>
              <w:t>S&amp;A as a percentage of sales</w:t>
            </w: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14.2 %</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15.0 %</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80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18.7 %</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00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 bps</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98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(10.7) %</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8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9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980" w:type="dxa"/>
            <w:vAlign w:val="bottom"/>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77"/>
        </w:trPr>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w w:val="99"/>
              </w:rPr>
              <w:t>Segment net sales</w:t>
            </w:r>
          </w:p>
        </w:tc>
        <w:tc>
          <w:tcPr>
            <w:tcW w:w="2400" w:type="dxa"/>
            <w:vAlign w:val="bottom"/>
            <w:tcBorders>
              <w:bottom w:val="single" w:sz="8" w:color="DDDDDD"/>
            </w:tcBorders>
            <w:gridSpan w:val="2"/>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7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7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Nourish</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6,829</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6,264</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2,886</w:t>
            </w:r>
          </w:p>
        </w:tc>
        <w:tc>
          <w:tcPr>
            <w:tcW w:w="2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gridSpan w:val="2"/>
          </w:tcPr>
          <w:p>
            <w:pPr>
              <w:spacing w:after="0"/>
              <w:rPr>
                <w:sz w:val="24"/>
                <w:szCs w:val="24"/>
                <w:color w:val="auto"/>
              </w:rPr>
            </w:pPr>
          </w:p>
        </w:tc>
        <w:tc>
          <w:tcPr>
            <w:tcW w:w="760" w:type="dxa"/>
            <w:vAlign w:val="bottom"/>
            <w:tcBorders>
              <w:bottom w:val="single" w:sz="8" w:color="DDDDDD"/>
            </w:tcBorders>
          </w:tcPr>
          <w:p>
            <w:pPr>
              <w:jc w:val="right"/>
              <w:ind w:right="9"/>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gridSpan w:val="2"/>
          </w:tcPr>
          <w:p>
            <w:pPr>
              <w:spacing w:after="0"/>
              <w:rPr>
                <w:sz w:val="24"/>
                <w:szCs w:val="24"/>
                <w:color w:val="auto"/>
              </w:rPr>
            </w:pPr>
          </w:p>
        </w:tc>
        <w:tc>
          <w:tcPr>
            <w:tcW w:w="760" w:type="dxa"/>
            <w:vAlign w:val="bottom"/>
            <w:tcBorders>
              <w:bottom w:val="single" w:sz="8" w:color="DDDDDD"/>
            </w:tcBorders>
          </w:tcPr>
          <w:p>
            <w:pPr>
              <w:jc w:val="right"/>
              <w:ind w:right="29"/>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7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Health &amp; Biosciences</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2,339</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2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2,329</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780" w:type="dxa"/>
            <w:vAlign w:val="bottom"/>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9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760" w:type="dxa"/>
            <w:vAlign w:val="bottom"/>
            <w:tcBorders>
              <w:bottom w:val="single" w:sz="8" w:color="DDDDDD"/>
            </w:tcBorders>
            <w:gridSpan w:val="6"/>
          </w:tcPr>
          <w:p>
            <w:pPr>
              <w:spacing w:after="0"/>
              <w:rPr>
                <w:sz w:val="20"/>
                <w:szCs w:val="20"/>
                <w:color w:val="auto"/>
              </w:rPr>
            </w:pPr>
            <w:r>
              <w:rPr>
                <w:rFonts w:ascii="Times New Roman" w:cs="Times New Roman" w:eastAsia="Times New Roman" w:hAnsi="Times New Roman"/>
                <w:sz w:val="18"/>
                <w:szCs w:val="18"/>
                <w:color w:val="auto"/>
              </w:rPr>
              <w:t>Scent</w:t>
            </w: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780" w:type="dxa"/>
            <w:vAlign w:val="bottom"/>
            <w:tcBorders>
              <w:bottom w:val="single" w:sz="8" w:color="DDDDDD"/>
            </w:tcBorders>
          </w:tcPr>
          <w:p>
            <w:pPr>
              <w:jc w:val="right"/>
              <w:ind w:right="109"/>
              <w:spacing w:after="0"/>
              <w:rPr>
                <w:sz w:val="20"/>
                <w:szCs w:val="20"/>
                <w:color w:val="auto"/>
              </w:rPr>
            </w:pPr>
            <w:r>
              <w:rPr>
                <w:rFonts w:ascii="Times New Roman" w:cs="Times New Roman" w:eastAsia="Times New Roman" w:hAnsi="Times New Roman"/>
                <w:sz w:val="18"/>
                <w:szCs w:val="18"/>
                <w:color w:val="auto"/>
              </w:rPr>
              <w:t>2,064</w:t>
            </w:r>
          </w:p>
        </w:tc>
        <w:tc>
          <w:tcPr>
            <w:tcW w:w="2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840" w:type="dxa"/>
            <w:vAlign w:val="bottom"/>
            <w:tcBorders>
              <w:bottom w:val="single" w:sz="8" w:color="DDDDDD"/>
            </w:tcBorders>
            <w:gridSpan w:val="3"/>
          </w:tcPr>
          <w:p>
            <w:pPr>
              <w:jc w:val="right"/>
              <w:ind w:right="29"/>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760" w:type="dxa"/>
            <w:vAlign w:val="bottom"/>
            <w:gridSpan w:val="6"/>
            <w:shd w:val="clear" w:color="auto" w:fill="DDDDDD"/>
          </w:tcPr>
          <w:p>
            <w:pPr>
              <w:spacing w:after="0"/>
              <w:rPr>
                <w:sz w:val="20"/>
                <w:szCs w:val="20"/>
                <w:color w:val="auto"/>
              </w:rPr>
            </w:pPr>
            <w:r>
              <w:rPr>
                <w:rFonts w:ascii="Times New Roman" w:cs="Times New Roman" w:eastAsia="Times New Roman" w:hAnsi="Times New Roman"/>
                <w:sz w:val="18"/>
                <w:szCs w:val="18"/>
                <w:color w:val="auto"/>
              </w:rPr>
              <w:t>Pharma Solutions</w:t>
            </w:r>
          </w:p>
        </w:tc>
        <w:tc>
          <w:tcPr>
            <w:tcW w:w="20" w:type="dxa"/>
            <w:vAlign w:val="bottom"/>
            <w:tcBorders>
              <w:bottom w:val="single" w:sz="8" w:color="auto"/>
            </w:tcBorders>
            <w:shd w:val="clear" w:color="auto" w:fill="DDDDDD"/>
          </w:tcPr>
          <w:p>
            <w:pPr>
              <w:spacing w:after="0"/>
              <w:rPr>
                <w:sz w:val="19"/>
                <w:szCs w:val="19"/>
                <w:color w:val="auto"/>
              </w:rPr>
            </w:pPr>
          </w:p>
        </w:tc>
        <w:tc>
          <w:tcPr>
            <w:tcW w:w="240" w:type="dxa"/>
            <w:vAlign w:val="bottom"/>
            <w:tcBorders>
              <w:bottom w:val="single" w:sz="8" w:color="auto"/>
            </w:tcBorders>
            <w:shd w:val="clear" w:color="auto" w:fill="DDDDDD"/>
          </w:tcPr>
          <w:p>
            <w:pPr>
              <w:spacing w:after="0"/>
              <w:rPr>
                <w:sz w:val="19"/>
                <w:szCs w:val="19"/>
                <w:color w:val="auto"/>
              </w:rPr>
            </w:pPr>
          </w:p>
        </w:tc>
        <w:tc>
          <w:tcPr>
            <w:tcW w:w="82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tcBorders>
              <w:bottom w:val="single" w:sz="8" w:color="auto"/>
            </w:tcBorders>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820" w:type="dxa"/>
            <w:vAlign w:val="bottom"/>
            <w:tcBorders>
              <w:bottom w:val="single" w:sz="8" w:color="auto"/>
            </w:tcBorders>
            <w:shd w:val="clear" w:color="auto" w:fill="DDDDDD"/>
          </w:tcPr>
          <w:p>
            <w:pPr>
              <w:jc w:val="right"/>
              <w:ind w:right="109"/>
              <w:spacing w:after="0"/>
              <w:rPr>
                <w:sz w:val="20"/>
                <w:szCs w:val="20"/>
                <w:color w:val="auto"/>
              </w:rPr>
            </w:pPr>
            <w:r>
              <w:rPr>
                <w:rFonts w:ascii="Times New Roman" w:cs="Times New Roman" w:eastAsia="Times New Roman" w:hAnsi="Times New Roman"/>
                <w:sz w:val="18"/>
                <w:szCs w:val="18"/>
                <w:color w:val="auto"/>
              </w:rPr>
              <w:t>809</w:t>
            </w:r>
          </w:p>
        </w:tc>
        <w:tc>
          <w:tcPr>
            <w:tcW w:w="20" w:type="dxa"/>
            <w:vAlign w:val="bottom"/>
            <w:tcBorders>
              <w:bottom w:val="single" w:sz="8" w:color="auto"/>
            </w:tcBorders>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800" w:type="dxa"/>
            <w:vAlign w:val="bottom"/>
            <w:tcBorders>
              <w:bottom w:val="single" w:sz="8" w:color="auto"/>
            </w:tcBorders>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780" w:type="dxa"/>
            <w:vAlign w:val="bottom"/>
            <w:gridSpan w:val="2"/>
            <w:shd w:val="clear" w:color="auto" w:fill="DDDDDD"/>
          </w:tcPr>
          <w:p>
            <w:pPr>
              <w:jc w:val="right"/>
              <w:ind w:right="9"/>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980" w:type="dxa"/>
            <w:vAlign w:val="bottom"/>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7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12,440</w:t>
            </w:r>
          </w:p>
        </w:tc>
        <w:tc>
          <w:tcPr>
            <w:tcW w:w="20" w:type="dxa"/>
            <w:vAlign w:val="bottom"/>
          </w:tcPr>
          <w:p>
            <w:pPr>
              <w:spacing w:after="0"/>
              <w:rPr>
                <w:sz w:val="19"/>
                <w:szCs w:val="19"/>
                <w:color w:val="auto"/>
              </w:rPr>
            </w:pPr>
          </w:p>
        </w:tc>
        <w:tc>
          <w:tcPr>
            <w:tcW w:w="3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9"/>
              <w:spacing w:after="0"/>
              <w:rPr>
                <w:sz w:val="20"/>
                <w:szCs w:val="20"/>
                <w:color w:val="auto"/>
              </w:rPr>
            </w:pPr>
            <w:r>
              <w:rPr>
                <w:rFonts w:ascii="Times New Roman" w:cs="Times New Roman" w:eastAsia="Times New Roman" w:hAnsi="Times New Roman"/>
                <w:sz w:val="18"/>
                <w:szCs w:val="18"/>
                <w:color w:val="auto"/>
              </w:rPr>
              <w:t>11,656</w:t>
            </w:r>
          </w:p>
        </w:tc>
        <w:tc>
          <w:tcPr>
            <w:tcW w:w="20" w:type="dxa"/>
            <w:vAlign w:val="bottom"/>
          </w:tcPr>
          <w:p>
            <w:pPr>
              <w:spacing w:after="0"/>
              <w:rPr>
                <w:sz w:val="19"/>
                <w:szCs w:val="19"/>
                <w:color w:val="auto"/>
              </w:rPr>
            </w:pP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8"/>
                <w:szCs w:val="18"/>
                <w:color w:val="auto"/>
              </w:rPr>
              <w:t>5,084</w:t>
            </w:r>
          </w:p>
        </w:tc>
        <w:tc>
          <w:tcPr>
            <w:tcW w:w="20" w:type="dxa"/>
            <w:vAlign w:val="bottom"/>
          </w:tcPr>
          <w:p>
            <w:pPr>
              <w:spacing w:after="0"/>
              <w:rPr>
                <w:sz w:val="19"/>
                <w:szCs w:val="19"/>
                <w:color w:val="auto"/>
              </w:rPr>
            </w:pPr>
          </w:p>
        </w:tc>
        <w:tc>
          <w:tcPr>
            <w:tcW w:w="840" w:type="dxa"/>
            <w:vAlign w:val="bottom"/>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40" w:type="dxa"/>
            <w:vAlign w:val="bottom"/>
            <w:gridSpan w:val="3"/>
          </w:tcPr>
          <w:p>
            <w:pPr>
              <w:jc w:val="right"/>
              <w:ind w:right="29"/>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36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3115310</wp:posOffset>
                </wp:positionH>
                <wp:positionV relativeFrom="paragraph">
                  <wp:posOffset>-4134485</wp:posOffset>
                </wp:positionV>
                <wp:extent cx="0" cy="17272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5.3pt,-325.5499pt" to="245.3pt,-311.9499pt" o:allowincell="f" strokecolor="#FFFFFF" strokeweight="1.0939pt"/>
            </w:pict>
          </mc:Fallback>
        </mc:AlternateContent>
        <mc:AlternateContent>
          <mc:Choice Requires="wps">
            <w:drawing>
              <wp:anchor simplePos="0" relativeHeight="251657728" behindDoc="1" locked="0" layoutInCell="0" allowOverlap="1">
                <wp:simplePos x="0" y="0"/>
                <wp:positionH relativeFrom="column">
                  <wp:posOffset>3853180</wp:posOffset>
                </wp:positionH>
                <wp:positionV relativeFrom="paragraph">
                  <wp:posOffset>-4134485</wp:posOffset>
                </wp:positionV>
                <wp:extent cx="0" cy="17272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3.4pt,-325.5499pt" to="303.4pt,-311.94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-3086735</wp:posOffset>
                </wp:positionV>
                <wp:extent cx="241490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490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43.0499pt" to="190.05pt,-243.04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4584065</wp:posOffset>
                </wp:positionH>
                <wp:positionV relativeFrom="paragraph">
                  <wp:posOffset>-3086735</wp:posOffset>
                </wp:positionV>
                <wp:extent cx="135318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5pt,-243.0499pt" to="467.5pt,-243.04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4584065</wp:posOffset>
                </wp:positionH>
                <wp:positionV relativeFrom="paragraph">
                  <wp:posOffset>-2739390</wp:posOffset>
                </wp:positionV>
                <wp:extent cx="67754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5pt,-215.6999pt" to="414.3pt,-215.69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-2392045</wp:posOffset>
                </wp:positionV>
                <wp:extent cx="241490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4905" cy="4763"/>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88.3499pt" to="190.05pt,-188.34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4584065</wp:posOffset>
                </wp:positionH>
                <wp:positionV relativeFrom="paragraph">
                  <wp:posOffset>-2392045</wp:posOffset>
                </wp:positionV>
                <wp:extent cx="135318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4763"/>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5pt,-188.3499pt" to="467.5pt,-188.34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4584065</wp:posOffset>
                </wp:positionH>
                <wp:positionV relativeFrom="paragraph">
                  <wp:posOffset>-307340</wp:posOffset>
                </wp:positionV>
                <wp:extent cx="67754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7545" cy="4763"/>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95pt,-24.1999pt" to="414.3pt,-24.1999pt" o:allowincell="f" strokecolor="#FFFFFF" strokeweight="0.875pt"/>
            </w:pict>
          </mc:Fallback>
        </mc:AlternateConten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NMF: Not meaningful</w:t>
      </w:r>
    </w:p>
    <w:p>
      <w:pPr>
        <w:spacing w:after="0" w:line="106"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Cost of goods sold includes the cost of materials and manufacturing expenses. R&amp;D includes expenses related to the development of new and improved products and technical product support. S&amp;A expenses include expenses necessary to support our commercial activities and administrative expenses supporting our overall operating activities including compliance with governmental regulations.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2022 IN COMPARISON TO 2021</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24" w:lineRule="exact"/>
        <w:rPr>
          <w:sz w:val="20"/>
          <w:szCs w:val="20"/>
          <w:color w:val="auto"/>
        </w:rPr>
      </w:pPr>
    </w:p>
    <w:p>
      <w:pPr>
        <w:jc w:val="both"/>
        <w:ind w:left="40" w:firstLine="329"/>
        <w:spacing w:after="0" w:line="269" w:lineRule="auto"/>
        <w:rPr>
          <w:sz w:val="20"/>
          <w:szCs w:val="20"/>
          <w:color w:val="auto"/>
        </w:rPr>
      </w:pPr>
      <w:r>
        <w:rPr>
          <w:rFonts w:ascii="Times New Roman" w:cs="Times New Roman" w:eastAsia="Times New Roman" w:hAnsi="Times New Roman"/>
          <w:sz w:val="18"/>
          <w:szCs w:val="18"/>
          <w:color w:val="auto"/>
        </w:rPr>
        <w:t>Sales for 2022 increased $784 million, or 7% on a reported basis, to $12.440 billion compared to $11.656 billion in the 2021 period. Sales included approximately $568 million of incremental sales attributable to N&amp;B for the month of January in the 2022 period. In addition, the increase in sales was primarily driven by price increases across various businesses, offset in part by the change in business portfolio mix and volume decreases across various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880" w:h="15480" w:orient="portrait"/>
          <w:cols w:equalWidth="0" w:num="1">
            <w:col w:w="9400"/>
          </w:cols>
          <w:pgMar w:left="1220" w:top="1362" w:right="1260" w:bottom="254" w:gutter="0" w:footer="0" w:header="0"/>
        </w:sectPr>
      </w:pPr>
    </w:p>
    <w:bookmarkStart w:id="43" w:name="page44"/>
    <w:bookmarkEnd w:id="43"/>
    <w:p>
      <w:pPr>
        <w:ind w:left="380"/>
        <w:spacing w:after="0"/>
        <w:rPr>
          <w:sz w:val="20"/>
          <w:szCs w:val="20"/>
          <w:color w:val="auto"/>
        </w:rPr>
      </w:pPr>
      <w:r>
        <w:rPr>
          <w:rFonts w:ascii="Times New Roman" w:cs="Times New Roman" w:eastAsia="Times New Roman" w:hAnsi="Times New Roman"/>
          <w:sz w:val="18"/>
          <w:szCs w:val="18"/>
          <w:color w:val="auto"/>
        </w:rPr>
        <w:t>Sales performance by segment was as follows:</w:t>
      </w:r>
    </w:p>
    <w:p>
      <w:pPr>
        <w:spacing w:after="0" w:line="79"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 Change in Sales - 2022 vs. 2021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40" w:type="dxa"/>
            <w:vAlign w:val="bottom"/>
            <w:tcBorders>
              <w:bottom w:val="single" w:sz="8" w:color="DDDDDD"/>
            </w:tcBorders>
          </w:tcPr>
          <w:p>
            <w:pPr>
              <w:spacing w:after="0"/>
              <w:rPr>
                <w:sz w:val="24"/>
                <w:szCs w:val="24"/>
                <w:color w:val="auto"/>
              </w:rPr>
            </w:pPr>
          </w:p>
        </w:tc>
        <w:tc>
          <w:tcPr>
            <w:tcW w:w="588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12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DDDDDD"/>
            </w:tcBorders>
          </w:tcPr>
          <w:p>
            <w:pPr>
              <w:spacing w:after="0"/>
              <w:rPr>
                <w:sz w:val="24"/>
                <w:szCs w:val="24"/>
                <w:color w:val="auto"/>
              </w:rPr>
            </w:pPr>
          </w:p>
        </w:tc>
        <w:tc>
          <w:tcPr>
            <w:tcW w:w="16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Currency Neutral</w:t>
            </w:r>
            <w:r>
              <w:rPr>
                <w:rFonts w:ascii="Times New Roman" w:cs="Times New Roman" w:eastAsia="Times New Roman" w:hAnsi="Times New Roman"/>
                <w:sz w:val="11"/>
                <w:szCs w:val="11"/>
                <w:b w:val="1"/>
                <w:bCs w:val="1"/>
                <w:color w:val="auto"/>
              </w:rPr>
              <w:t>(1)</w:t>
            </w: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58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Nourish</w:t>
            </w:r>
          </w:p>
        </w:tc>
        <w:tc>
          <w:tcPr>
            <w:tcW w:w="40" w:type="dxa"/>
            <w:vAlign w:val="bottom"/>
            <w:tcBorders>
              <w:top w:val="single" w:sz="8" w:color="DDDDDD"/>
            </w:tcBorders>
            <w:shd w:val="clear" w:color="auto" w:fill="DDDDDD"/>
          </w:tcPr>
          <w:p>
            <w:pPr>
              <w:spacing w:after="0"/>
              <w:rPr>
                <w:sz w:val="19"/>
                <w:szCs w:val="19"/>
                <w:color w:val="auto"/>
              </w:rPr>
            </w:pPr>
          </w:p>
        </w:tc>
        <w:tc>
          <w:tcPr>
            <w:tcW w:w="1240" w:type="dxa"/>
            <w:vAlign w:val="bottom"/>
            <w:tcBorders>
              <w:top w:val="single" w:sz="8" w:color="DDDDDD"/>
            </w:tcBorders>
            <w:shd w:val="clear" w:color="auto" w:fill="DDDDDD"/>
          </w:tcPr>
          <w:p>
            <w:pPr>
              <w:spacing w:after="0"/>
              <w:rPr>
                <w:sz w:val="19"/>
                <w:szCs w:val="19"/>
                <w:color w:val="auto"/>
              </w:rPr>
            </w:pPr>
          </w:p>
        </w:tc>
        <w:tc>
          <w:tcPr>
            <w:tcW w:w="4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16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b w:val="1"/>
                <w:bCs w:val="1"/>
                <w:color w:val="auto"/>
              </w:rPr>
              <w:t>NMF</w:t>
            </w:r>
          </w:p>
        </w:tc>
        <w:tc>
          <w:tcPr>
            <w:tcW w:w="20" w:type="dxa"/>
            <w:vAlign w:val="bottom"/>
            <w:tcBorders>
              <w:top w:val="single" w:sz="8" w:color="DDDDDD"/>
            </w:tcBorders>
            <w:shd w:val="clear" w:color="auto" w:fill="DDDDDD"/>
          </w:tcPr>
          <w:p>
            <w:pPr>
              <w:spacing w:after="0"/>
              <w:rPr>
                <w:sz w:val="19"/>
                <w:szCs w:val="19"/>
                <w:color w:val="auto"/>
              </w:rPr>
            </w:pPr>
          </w:p>
        </w:tc>
      </w:tr>
      <w:tr>
        <w:trPr>
          <w:trHeight w:val="282"/>
        </w:trPr>
        <w:tc>
          <w:tcPr>
            <w:tcW w:w="7200" w:type="dxa"/>
            <w:vAlign w:val="bottom"/>
            <w:tcBorders>
              <w:bottom w:val="single" w:sz="8" w:color="DDDDDD"/>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Health &amp; Biosciences</w:t>
            </w:r>
          </w:p>
        </w:tc>
        <w:tc>
          <w:tcPr>
            <w:tcW w:w="4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0 %</w:t>
            </w:r>
          </w:p>
        </w:tc>
        <w:tc>
          <w:tcPr>
            <w:tcW w:w="60" w:type="dxa"/>
            <w:vAlign w:val="bottom"/>
            <w:tcBorders>
              <w:bottom w:val="single" w:sz="8" w:color="DDDDDD"/>
            </w:tcBorders>
          </w:tcPr>
          <w:p>
            <w:pPr>
              <w:spacing w:after="0"/>
              <w:rPr>
                <w:sz w:val="24"/>
                <w:szCs w:val="24"/>
                <w:color w:val="auto"/>
              </w:rPr>
            </w:pPr>
          </w:p>
        </w:tc>
        <w:tc>
          <w:tcPr>
            <w:tcW w:w="166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NMF</w:t>
            </w:r>
          </w:p>
        </w:tc>
      </w:tr>
      <w:tr>
        <w:trPr>
          <w:trHeight w:val="219"/>
        </w:trPr>
        <w:tc>
          <w:tcPr>
            <w:tcW w:w="5960" w:type="dxa"/>
            <w:vAlign w:val="bottom"/>
            <w:gridSpan w:val="3"/>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Scent</w:t>
            </w:r>
          </w:p>
        </w:tc>
        <w:tc>
          <w:tcPr>
            <w:tcW w:w="1240" w:type="dxa"/>
            <w:vAlign w:val="bottom"/>
            <w:shd w:val="clear" w:color="auto" w:fill="DDDDDD"/>
          </w:tcPr>
          <w:p>
            <w:pPr>
              <w:spacing w:after="0"/>
              <w:rPr>
                <w:sz w:val="19"/>
                <w:szCs w:val="19"/>
                <w:color w:val="auto"/>
              </w:rPr>
            </w:pPr>
          </w:p>
        </w:tc>
        <w:tc>
          <w:tcPr>
            <w:tcW w:w="4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2 %</w:t>
            </w:r>
          </w:p>
        </w:tc>
        <w:tc>
          <w:tcPr>
            <w:tcW w:w="60" w:type="dxa"/>
            <w:vAlign w:val="bottom"/>
            <w:shd w:val="clear" w:color="auto" w:fill="DDDDDD"/>
          </w:tcPr>
          <w:p>
            <w:pPr>
              <w:spacing w:after="0"/>
              <w:rPr>
                <w:sz w:val="19"/>
                <w:szCs w:val="19"/>
                <w:color w:val="auto"/>
              </w:rPr>
            </w:pPr>
          </w:p>
        </w:tc>
        <w:tc>
          <w:tcPr>
            <w:tcW w:w="16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282"/>
        </w:trPr>
        <w:tc>
          <w:tcPr>
            <w:tcW w:w="7200" w:type="dxa"/>
            <w:vAlign w:val="bottom"/>
            <w:tcBorders>
              <w:bottom w:val="single" w:sz="8" w:color="DDDDDD"/>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Pharma Solutions</w:t>
            </w:r>
          </w:p>
        </w:tc>
        <w:tc>
          <w:tcPr>
            <w:tcW w:w="4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20 %</w:t>
            </w:r>
          </w:p>
        </w:tc>
        <w:tc>
          <w:tcPr>
            <w:tcW w:w="60" w:type="dxa"/>
            <w:vAlign w:val="bottom"/>
            <w:tcBorders>
              <w:bottom w:val="single" w:sz="8" w:color="DDDDDD"/>
            </w:tcBorders>
          </w:tcPr>
          <w:p>
            <w:pPr>
              <w:spacing w:after="0"/>
              <w:rPr>
                <w:sz w:val="24"/>
                <w:szCs w:val="24"/>
                <w:color w:val="auto"/>
              </w:rPr>
            </w:pPr>
          </w:p>
        </w:tc>
        <w:tc>
          <w:tcPr>
            <w:tcW w:w="166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NMF</w:t>
            </w:r>
          </w:p>
        </w:tc>
      </w:tr>
      <w:tr>
        <w:trPr>
          <w:trHeight w:val="219"/>
        </w:trPr>
        <w:tc>
          <w:tcPr>
            <w:tcW w:w="40" w:type="dxa"/>
            <w:vAlign w:val="bottom"/>
            <w:shd w:val="clear" w:color="auto" w:fill="DDDDDD"/>
          </w:tcPr>
          <w:p>
            <w:pPr>
              <w:spacing w:after="0"/>
              <w:rPr>
                <w:sz w:val="19"/>
                <w:szCs w:val="19"/>
                <w:color w:val="auto"/>
              </w:rPr>
            </w:pPr>
          </w:p>
        </w:tc>
        <w:tc>
          <w:tcPr>
            <w:tcW w:w="5880" w:type="dxa"/>
            <w:vAlign w:val="bottom"/>
            <w:tcBorders>
              <w:bottom w:val="single" w:sz="8" w:color="DDDDDD"/>
            </w:tcBorders>
            <w:shd w:val="clear" w:color="auto" w:fill="DDDDDD"/>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40" w:type="dxa"/>
            <w:vAlign w:val="bottom"/>
            <w:shd w:val="clear" w:color="auto" w:fill="DDDDDD"/>
          </w:tcPr>
          <w:p>
            <w:pPr>
              <w:spacing w:after="0"/>
              <w:rPr>
                <w:sz w:val="19"/>
                <w:szCs w:val="19"/>
                <w:color w:val="auto"/>
              </w:rPr>
            </w:pPr>
          </w:p>
        </w:tc>
        <w:tc>
          <w:tcPr>
            <w:tcW w:w="124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7 %</w:t>
            </w:r>
          </w:p>
        </w:tc>
        <w:tc>
          <w:tcPr>
            <w:tcW w:w="20" w:type="dxa"/>
            <w:vAlign w:val="bottom"/>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16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NMF</w:t>
            </w:r>
          </w:p>
        </w:tc>
        <w:tc>
          <w:tcPr>
            <w:tcW w:w="20" w:type="dxa"/>
            <w:vAlign w:val="bottom"/>
            <w:shd w:val="clear" w:color="auto" w:fill="DDDDDD"/>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ind w:left="460" w:hanging="414"/>
        <w:spacing w:after="0" w:line="270" w:lineRule="auto"/>
        <w:tabs>
          <w:tab w:leader="none" w:pos="4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neutral sales growth is calculated by translating current year invoiced sale amounts at the exchange rates for the corresponding prior year period.</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NMF: Not meaningful</w:t>
      </w:r>
    </w:p>
    <w:p>
      <w:pPr>
        <w:spacing w:after="0" w:line="1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Nourish</w:t>
      </w:r>
    </w:p>
    <w:p>
      <w:pPr>
        <w:spacing w:after="0" w:line="118" w:lineRule="exact"/>
        <w:rPr>
          <w:sz w:val="20"/>
          <w:szCs w:val="20"/>
          <w:color w:val="auto"/>
        </w:rPr>
      </w:pPr>
    </w:p>
    <w:p>
      <w:pPr>
        <w:jc w:val="both"/>
        <w:ind w:left="40" w:firstLine="329"/>
        <w:spacing w:after="0" w:line="269" w:lineRule="auto"/>
        <w:rPr>
          <w:sz w:val="20"/>
          <w:szCs w:val="20"/>
          <w:color w:val="auto"/>
        </w:rPr>
      </w:pPr>
      <w:r>
        <w:rPr>
          <w:rFonts w:ascii="Times New Roman" w:cs="Times New Roman" w:eastAsia="Times New Roman" w:hAnsi="Times New Roman"/>
          <w:sz w:val="18"/>
          <w:szCs w:val="18"/>
          <w:color w:val="auto"/>
        </w:rPr>
        <w:t>Nourish sales in 2022 increased $565 million, or 9% on a reported basis, to $6.829 billion compared to $6.264 billion in the 2021 period. Nourish sales included approximately $293 million of incremental sales attributable to N&amp;B for the month of January in the 2022 period. In addition, performance in the Nourish operating segment was primarily driven by price increases, particularly in the Ingredients and Food Design business units, offset in part by volume decreases across various business units.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Health &amp; Biosciences</w:t>
      </w:r>
    </w:p>
    <w:p>
      <w:pPr>
        <w:spacing w:after="0" w:line="118" w:lineRule="exact"/>
        <w:rPr>
          <w:sz w:val="20"/>
          <w:szCs w:val="20"/>
          <w:color w:val="auto"/>
        </w:rPr>
      </w:pPr>
    </w:p>
    <w:p>
      <w:pPr>
        <w:jc w:val="both"/>
        <w:ind w:left="40" w:firstLine="329"/>
        <w:spacing w:after="0" w:line="265" w:lineRule="auto"/>
        <w:rPr>
          <w:sz w:val="20"/>
          <w:szCs w:val="20"/>
          <w:color w:val="auto"/>
        </w:rPr>
      </w:pPr>
      <w:r>
        <w:rPr>
          <w:rFonts w:ascii="Times New Roman" w:cs="Times New Roman" w:eastAsia="Times New Roman" w:hAnsi="Times New Roman"/>
          <w:sz w:val="18"/>
          <w:szCs w:val="18"/>
          <w:color w:val="auto"/>
        </w:rPr>
        <w:t>Health &amp; Biosciences sales in 2022 increased $10 million, or 0.4% on a reported basis, to $2.339 billion compared to $2.329 billion in the 2021 period. Health &amp; Biosciences sales included approximately $202 million of incremental sales attributable to N&amp;B for the month of January in the 2022 period. The decrease in Health &amp; Biosciences sales, excluding the impact of N&amp;B for the month of January in the 2022 period, was primarily driven by the change in business portfolio mix, offset in part by price increases across various business units.</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Scent</w:t>
      </w:r>
    </w:p>
    <w:p>
      <w:pPr>
        <w:spacing w:after="0" w:line="118"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Scent sales in 2022 increased $47 million, or 2% on a reported basis, to $2.301 billion compared to $2.254 billion in the 2021 period. Scent sales in 2022 also increased 8% on a currency neutral basis. Performance in the Scent operating segment was driven by price and volume increases in Fragrance Compounds and price increases in Fragrance Ingredients business units, offset in part by unfavorable impacts from exchange rate variations.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Pharma Solutions</w:t>
      </w:r>
    </w:p>
    <w:p>
      <w:pPr>
        <w:spacing w:after="0" w:line="118" w:lineRule="exact"/>
        <w:rPr>
          <w:sz w:val="20"/>
          <w:szCs w:val="20"/>
          <w:color w:val="auto"/>
        </w:rPr>
      </w:pPr>
    </w:p>
    <w:p>
      <w:pPr>
        <w:jc w:val="both"/>
        <w:ind w:left="40" w:firstLine="329"/>
        <w:spacing w:after="0" w:line="269" w:lineRule="auto"/>
        <w:rPr>
          <w:sz w:val="20"/>
          <w:szCs w:val="20"/>
          <w:color w:val="auto"/>
        </w:rPr>
      </w:pPr>
      <w:r>
        <w:rPr>
          <w:rFonts w:ascii="Times New Roman" w:cs="Times New Roman" w:eastAsia="Times New Roman" w:hAnsi="Times New Roman"/>
          <w:sz w:val="18"/>
          <w:szCs w:val="18"/>
          <w:color w:val="auto"/>
        </w:rPr>
        <w:t>Pharma Solutions sales in 2022 increased $162 million, or 20% on a reported basis, to $971 million compared to $809 million. Pharma Solutions sales included approximately $73 million of incremental sales attributable to N&amp;B for the month of January in the 2022 period. In addition, performance in the Pharma Solutions operating segment was primarily driven by price and volume increases.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4" w:lineRule="exact"/>
        <w:rPr>
          <w:sz w:val="20"/>
          <w:szCs w:val="20"/>
          <w:color w:val="auto"/>
        </w:rPr>
      </w:pPr>
    </w:p>
    <w:p>
      <w:pPr>
        <w:jc w:val="both"/>
        <w:ind w:left="40" w:firstLine="328"/>
        <w:spacing w:after="0" w:line="263" w:lineRule="auto"/>
        <w:rPr>
          <w:sz w:val="20"/>
          <w:szCs w:val="20"/>
          <w:color w:val="auto"/>
        </w:rPr>
      </w:pPr>
      <w:r>
        <w:rPr>
          <w:rFonts w:ascii="Times New Roman" w:cs="Times New Roman" w:eastAsia="Times New Roman" w:hAnsi="Times New Roman"/>
          <w:sz w:val="18"/>
          <w:szCs w:val="18"/>
          <w:color w:val="auto"/>
        </w:rPr>
        <w:t>Cost of goods sold increased $368 million to $8.289 billion (66.6% of sales) in 2022 compared to $7.921 billion (68.0% of sales) in 2021. Cost of goods sold included approximately $389 million of incremental costs attributable to N&amp;B for the month of January in the 2022 period. In addition, excluding the impact of N&amp;B for the month of January in the 2022 period and the N&amp;B inventory step-up costs from the prior year period, the increase in cost of goods sold was primarily driven by higher material costs, due to higher commodity prices, offset in part by the change in business portfolio mix and volume decreases in sales.</w:t>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 (R&amp;D) Expenses</w:t>
      </w:r>
    </w:p>
    <w:p>
      <w:pPr>
        <w:spacing w:after="0" w:line="124" w:lineRule="exact"/>
        <w:rPr>
          <w:sz w:val="20"/>
          <w:szCs w:val="20"/>
          <w:color w:val="auto"/>
        </w:rPr>
      </w:pPr>
    </w:p>
    <w:p>
      <w:pPr>
        <w:jc w:val="both"/>
        <w:ind w:left="40" w:firstLine="329"/>
        <w:spacing w:after="0" w:line="262" w:lineRule="auto"/>
        <w:rPr>
          <w:sz w:val="20"/>
          <w:szCs w:val="20"/>
          <w:color w:val="auto"/>
        </w:rPr>
      </w:pPr>
      <w:r>
        <w:rPr>
          <w:rFonts w:ascii="Times New Roman" w:cs="Times New Roman" w:eastAsia="Times New Roman" w:hAnsi="Times New Roman"/>
          <w:sz w:val="18"/>
          <w:szCs w:val="18"/>
          <w:color w:val="auto"/>
        </w:rPr>
        <w:t>R&amp;D expenses decreased $26 million to $603 million (4.8% of sales) in 2022 compared to $629 million (5.4% of sales) in 2021. R&amp;D expenses included approximately $20 million of incremental expenses attributable to N&amp;B for the month of January in the 2022 period, which consisted primarily of employee related expenses, including salaries, wages and bonuses and operating expenses for R&amp;D related activities. In addition, excluding the impact of N&amp;B for the month of January in the 2022 period, R&amp;D expenses decreased primarily due to lower employee related expenses, including salaries, wages and bonuses, and professional fees, including consulting costs, offset in part by higher operating expenses for R&amp;D related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880" w:h="15480" w:orient="portrait"/>
          <w:cols w:equalWidth="0" w:num="1">
            <w:col w:w="9400"/>
          </w:cols>
          <w:pgMar w:left="1220" w:top="1255" w:right="1260" w:bottom="254"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Selling and Administrative (S&amp;A) Expenses</w:t>
      </w:r>
    </w:p>
    <w:p>
      <w:pPr>
        <w:spacing w:after="0" w:line="124"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S&amp;A expenses increased $19 million to $1.768 billion (14.2% of sales) in 2022 compared to $1.749 billion (15.0% of sales) in 2021. S&amp;A expenses included approximately $51 million of incremental expenses attributable to N&amp;B for the month of January in the 2022 period, which consisted primarily of employee related expenses, including salaries, wages and bonuses, professional fees, including consulting costs, and operating expenses for S&amp;A related activities. In addition, excluding the impact of N&amp;B for the month of January in the 2022 period, S&amp;A expenses decreased primarily due to lower employee related expenses, including salaries, wages and bonuses, and professional fees, including consulting costs, offset in part by higher operating expenses for S&amp;A related activities.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124"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Restructuring and other charges decreased to $12 million in 2022 compared to $41 million in 2021. The decrease was primarily driven by lower severance costs incurred in 2022 (see Note 2 for additional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Acquisition-Related Intangibles</w:t>
      </w:r>
    </w:p>
    <w:p>
      <w:pPr>
        <w:spacing w:after="0" w:line="124"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Amortization expenses decreased to $727 million in 2022 compared to $732 million in 2021. Amortization expense included approximately $47 million attributable to N&amp;B for the month of January in the 2022 period related to the intangible assets acquired through the Merger with N&amp;B. Excluding the impact of N&amp;B for the month of January in the 2022 period, the decrease in amortization expense was primarily driven by the reduction in intangible assets as a result of the divestiture of the Microbial Control business unit and impairment of intangible assets of an asset group that operates primarily in Russia, offset in part by the impact of acquisitions of intangible assets from Health Wright Products, Inc. (see Note 3, Note 4 and Note 6 for additional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24" w:lineRule="exact"/>
        <w:rPr>
          <w:sz w:val="20"/>
          <w:szCs w:val="20"/>
          <w:color w:val="auto"/>
        </w:rPr>
      </w:pPr>
    </w:p>
    <w:p>
      <w:pPr>
        <w:jc w:val="both"/>
        <w:ind w:firstLine="329"/>
        <w:spacing w:after="0" w:line="300" w:lineRule="auto"/>
        <w:rPr>
          <w:sz w:val="20"/>
          <w:szCs w:val="20"/>
          <w:color w:val="auto"/>
        </w:rPr>
      </w:pPr>
      <w:r>
        <w:rPr>
          <w:rFonts w:ascii="Times New Roman" w:cs="Times New Roman" w:eastAsia="Times New Roman" w:hAnsi="Times New Roman"/>
          <w:sz w:val="18"/>
          <w:szCs w:val="18"/>
          <w:color w:val="auto"/>
        </w:rPr>
        <w:t>Impairment of goodwill was $2.250 billion in 2022, which was related to the Health &amp; Biosciences reporting unit. See Note 1 and Note 6 for additional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Impairment of long-lived assets was $120 million in 2022. The impairment charge was due to the uncertainties related to our operations in Russia and Ukraine and was allocated on a pro rata basis to intangible assets and property, plant and equipment (see Note 1, Note 5 and Note 6 for additional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Interest expense increased $47 million to $336 million in 2022 compared to $289 million in 2021. Interest expense included approximately $13 million attributable to N&amp;B for the month of January in the 2022 period, which included the impact of the additional debt assumed in the Merger with N&amp;B. In addition, the increase in interest expense was due to higher interest rates, which led to an increase in the cost for participating in our factoring programs (see Note 1 for additional information), higher effective interest rates on the outstanding Term Loan Facilities and an increase in draw downs of the Revolving Credit Facility and commercial paper (see Note 9 for additional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Other income, net, decreased $21 million to $37 million in 2022 versus $58 million in 2021. Other income, net includes approximately $6 million attributable to N&amp;B for the month of January in the 2022 period. Excluding the impact of N&amp;B for the month of January in the 2022 period, the decrease in other income, net was primarily due to foreign exchange losses in 2022 compared to foreign exchange gains in the 2021 period and lower pension income in 2022 compared to the 2021 period, due to the adjustment during the 2021 period to correct net income amounts related to certain defined benefit plans in prior years, offset in part by higher interest income.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effective tax rate in 2022 was (14.7)% compared to 21.2% in 2021. The year-over-year change was primarily due to the recording of non-tax-deductible impairment charges related to goodwill in the Health &amp; Biosciences operating segment and the tax effects of the divestiture of the Microbial Control business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880" w:h="15480" w:orient="portrait"/>
          <w:cols w:equalWidth="0" w:num="1">
            <w:col w:w="9360"/>
          </w:cols>
          <w:pgMar w:left="1260" w:top="1252" w:right="1260" w:bottom="254"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8"/>
          <w:szCs w:val="18"/>
          <w:b w:val="1"/>
          <w:bCs w:val="1"/>
          <w:color w:val="auto"/>
        </w:rPr>
        <w:t>Segment Adjusted Operating EBITDA Results by Business Unit</w:t>
      </w:r>
    </w:p>
    <w:p>
      <w:pPr>
        <w:spacing w:after="0" w:line="124" w:lineRule="exact"/>
        <w:rPr>
          <w:sz w:val="20"/>
          <w:szCs w:val="20"/>
          <w:color w:val="auto"/>
        </w:rPr>
      </w:pPr>
    </w:p>
    <w:p>
      <w:pPr>
        <w:jc w:val="both"/>
        <w:ind w:left="40" w:firstLine="329"/>
        <w:spacing w:after="0" w:line="262" w:lineRule="auto"/>
        <w:rPr>
          <w:sz w:val="20"/>
          <w:szCs w:val="20"/>
          <w:color w:val="auto"/>
        </w:rPr>
      </w:pPr>
      <w:r>
        <w:rPr>
          <w:rFonts w:ascii="Times New Roman" w:cs="Times New Roman" w:eastAsia="Times New Roman" w:hAnsi="Times New Roman"/>
          <w:sz w:val="18"/>
          <w:szCs w:val="18"/>
          <w:color w:val="auto"/>
        </w:rPr>
        <w:t>We use Segment Adjusted Operating EBITDA for internal reporting and performance measurement purposes. Segment Adjusted Operating EBITDA is defined as (Loss) Income Before Taxes before depreciation and amortization expense, interest expense, restructuring and other charges and certain non-recurring items.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28"/>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34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4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580" w:type="dxa"/>
            <w:vAlign w:val="bottom"/>
            <w:tcBorders>
              <w:bottom w:val="single" w:sz="8" w:color="DDDDDD"/>
            </w:tcBorders>
          </w:tcPr>
          <w:p>
            <w:pPr>
              <w:spacing w:after="0" w:line="20" w:lineRule="exact"/>
              <w:rPr>
                <w:sz w:val="1"/>
                <w:szCs w:val="1"/>
                <w:color w:val="auto"/>
              </w:rPr>
            </w:pPr>
          </w:p>
        </w:tc>
        <w:tc>
          <w:tcPr>
            <w:tcW w:w="508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03"/>
        </w:trPr>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1580" w:type="dxa"/>
            <w:vAlign w:val="bottom"/>
            <w:shd w:val="clear" w:color="auto" w:fill="DDDDDD"/>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Segment Adjusted</w:t>
            </w:r>
          </w:p>
        </w:tc>
        <w:tc>
          <w:tcPr>
            <w:tcW w:w="5080" w:type="dxa"/>
            <w:vAlign w:val="bottom"/>
            <w:shd w:val="clear" w:color="auto" w:fill="DDDDDD"/>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Operating EBITDA</w:t>
            </w:r>
          </w:p>
        </w:tc>
        <w:tc>
          <w:tcPr>
            <w:tcW w:w="4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9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960" w:type="dxa"/>
            <w:vAlign w:val="bottom"/>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Nourish</w:t>
            </w:r>
          </w:p>
        </w:tc>
        <w:tc>
          <w:tcPr>
            <w:tcW w:w="40" w:type="dxa"/>
            <w:vAlign w:val="bottom"/>
          </w:tcPr>
          <w:p>
            <w:pPr>
              <w:spacing w:after="0"/>
              <w:rPr>
                <w:sz w:val="21"/>
                <w:szCs w:val="21"/>
                <w:color w:val="auto"/>
              </w:rPr>
            </w:pPr>
          </w:p>
        </w:tc>
        <w:tc>
          <w:tcPr>
            <w:tcW w:w="32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1,176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1,172</w:t>
            </w:r>
          </w:p>
        </w:tc>
        <w:tc>
          <w:tcPr>
            <w:tcW w:w="20" w:type="dxa"/>
            <w:vAlign w:val="bottom"/>
          </w:tcPr>
          <w:p>
            <w:pPr>
              <w:spacing w:after="0"/>
              <w:rPr>
                <w:sz w:val="21"/>
                <w:szCs w:val="21"/>
                <w:color w:val="auto"/>
              </w:rPr>
            </w:pPr>
          </w:p>
        </w:tc>
      </w:tr>
      <w:tr>
        <w:trPr>
          <w:trHeight w:val="258"/>
        </w:trPr>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700" w:type="dxa"/>
            <w:vAlign w:val="bottom"/>
            <w:gridSpan w:val="3"/>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Health &amp; Biosciences</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DDDDDD"/>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Scent</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423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Pr>
          <w:p>
            <w:pPr>
              <w:spacing w:after="0"/>
              <w:rPr>
                <w:sz w:val="22"/>
                <w:szCs w:val="22"/>
                <w:color w:val="auto"/>
              </w:rPr>
            </w:pPr>
          </w:p>
        </w:tc>
      </w:tr>
      <w:tr>
        <w:trPr>
          <w:trHeight w:val="278"/>
        </w:trPr>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660" w:type="dxa"/>
            <w:vAlign w:val="bottom"/>
            <w:tcBorders>
              <w:bottom w:val="single" w:sz="8" w:color="DDDDDD"/>
            </w:tcBorders>
            <w:gridSpan w:val="2"/>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Pharma Solutions</w:t>
            </w:r>
          </w:p>
        </w:tc>
        <w:tc>
          <w:tcPr>
            <w:tcW w:w="4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Borders>
              <w:bottom w:val="single" w:sz="8" w:color="auto"/>
            </w:tcBorders>
            <w:shd w:val="clear" w:color="auto" w:fill="DDDDDD"/>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8"/>
                <w:szCs w:val="18"/>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2,425</w:t>
            </w:r>
          </w:p>
        </w:tc>
        <w:tc>
          <w:tcPr>
            <w:tcW w:w="20" w:type="dxa"/>
            <w:vAlign w:val="bottom"/>
          </w:tcPr>
          <w:p>
            <w:pPr>
              <w:spacing w:after="0"/>
              <w:rPr>
                <w:sz w:val="18"/>
                <w:szCs w:val="18"/>
                <w:color w:val="auto"/>
              </w:rPr>
            </w:pPr>
          </w:p>
        </w:tc>
      </w:tr>
      <w:tr>
        <w:trPr>
          <w:trHeight w:val="263"/>
        </w:trPr>
        <w:tc>
          <w:tcPr>
            <w:tcW w:w="40" w:type="dxa"/>
            <w:vAlign w:val="bottom"/>
            <w:shd w:val="clear" w:color="auto" w:fill="DDDDDD"/>
          </w:tcPr>
          <w:p>
            <w:pPr>
              <w:spacing w:after="0"/>
              <w:rPr>
                <w:sz w:val="22"/>
                <w:szCs w:val="22"/>
                <w:color w:val="auto"/>
              </w:rPr>
            </w:pPr>
          </w:p>
        </w:tc>
        <w:tc>
          <w:tcPr>
            <w:tcW w:w="672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(1,156)</w:t>
            </w:r>
          </w:p>
        </w:tc>
        <w:tc>
          <w:tcPr>
            <w:tcW w:w="20" w:type="dxa"/>
            <w:vAlign w:val="bottom"/>
            <w:shd w:val="clear" w:color="auto" w:fill="DDDDDD"/>
          </w:tcPr>
          <w:p>
            <w:pPr>
              <w:spacing w:after="0"/>
              <w:rPr>
                <w:sz w:val="22"/>
                <w:szCs w:val="22"/>
                <w:color w:val="auto"/>
              </w:rPr>
            </w:pPr>
          </w:p>
        </w:tc>
      </w:tr>
      <w:tr>
        <w:trPr>
          <w:trHeight w:val="258"/>
        </w:trPr>
        <w:tc>
          <w:tcPr>
            <w:tcW w:w="40" w:type="dxa"/>
            <w:vAlign w:val="bottom"/>
          </w:tcPr>
          <w:p>
            <w:pPr>
              <w:spacing w:after="0"/>
              <w:rPr>
                <w:sz w:val="22"/>
                <w:szCs w:val="22"/>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22"/>
                <w:szCs w:val="22"/>
                <w:color w:val="auto"/>
              </w:rPr>
            </w:pPr>
          </w:p>
        </w:tc>
      </w:tr>
      <w:tr>
        <w:trPr>
          <w:trHeight w:val="258"/>
        </w:trPr>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6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DDDDDD"/>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Related Costs</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258"/>
        </w:trPr>
        <w:tc>
          <w:tcPr>
            <w:tcW w:w="40" w:type="dxa"/>
            <w:vAlign w:val="bottom"/>
            <w:shd w:val="clear" w:color="auto" w:fill="DDDDDD"/>
          </w:tcPr>
          <w:p>
            <w:pPr>
              <w:spacing w:after="0"/>
              <w:rPr>
                <w:sz w:val="22"/>
                <w:szCs w:val="22"/>
                <w:color w:val="auto"/>
              </w:rPr>
            </w:pPr>
          </w:p>
        </w:tc>
        <w:tc>
          <w:tcPr>
            <w:tcW w:w="672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DDDDDD"/>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 on Sale of Fixed Assets</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2"/>
                <w:szCs w:val="22"/>
                <w:color w:val="auto"/>
              </w:rPr>
            </w:pPr>
          </w:p>
        </w:tc>
      </w:tr>
      <w:tr>
        <w:trPr>
          <w:trHeight w:val="258"/>
        </w:trPr>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6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(2,250)</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r>
      <w:tr>
        <w:trPr>
          <w:trHeight w:val="258"/>
        </w:trPr>
        <w:tc>
          <w:tcPr>
            <w:tcW w:w="40" w:type="dxa"/>
            <w:vAlign w:val="bottom"/>
          </w:tcPr>
          <w:p>
            <w:pPr>
              <w:spacing w:after="0"/>
              <w:rPr>
                <w:sz w:val="22"/>
                <w:szCs w:val="22"/>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0" w:type="dxa"/>
            <w:vAlign w:val="bottom"/>
            <w:shd w:val="clear" w:color="auto" w:fill="DDDDDD"/>
          </w:tcPr>
          <w:p>
            <w:pPr>
              <w:spacing w:after="0"/>
              <w:rPr>
                <w:sz w:val="22"/>
                <w:szCs w:val="22"/>
                <w:color w:val="auto"/>
              </w:rPr>
            </w:pPr>
          </w:p>
        </w:tc>
        <w:tc>
          <w:tcPr>
            <w:tcW w:w="672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Shareholder Activism Related Costs</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DDDDD"/>
          </w:tcPr>
          <w:p>
            <w:pPr>
              <w:spacing w:after="0"/>
              <w:rPr>
                <w:sz w:val="22"/>
                <w:szCs w:val="22"/>
                <w:color w:val="auto"/>
              </w:rPr>
            </w:pPr>
          </w:p>
        </w:tc>
      </w:tr>
      <w:tr>
        <w:trPr>
          <w:trHeight w:val="258"/>
        </w:trPr>
        <w:tc>
          <w:tcPr>
            <w:tcW w:w="40" w:type="dxa"/>
            <w:vAlign w:val="bottom"/>
          </w:tcPr>
          <w:p>
            <w:pPr>
              <w:spacing w:after="0"/>
              <w:rPr>
                <w:sz w:val="22"/>
                <w:szCs w:val="22"/>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Divestiture Costs</w:t>
            </w:r>
          </w:p>
        </w:tc>
        <w:tc>
          <w:tcPr>
            <w:tcW w:w="3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2"/>
                <w:szCs w:val="22"/>
                <w:color w:val="auto"/>
              </w:rPr>
            </w:pPr>
          </w:p>
        </w:tc>
      </w:tr>
      <w:tr>
        <w:trPr>
          <w:trHeight w:val="258"/>
        </w:trPr>
        <w:tc>
          <w:tcPr>
            <w:tcW w:w="40" w:type="dxa"/>
            <w:vAlign w:val="bottom"/>
            <w:shd w:val="clear" w:color="auto" w:fill="DDDDDD"/>
          </w:tcPr>
          <w:p>
            <w:pPr>
              <w:spacing w:after="0"/>
              <w:rPr>
                <w:sz w:val="22"/>
                <w:szCs w:val="22"/>
                <w:color w:val="auto"/>
              </w:rPr>
            </w:pPr>
          </w:p>
        </w:tc>
        <w:tc>
          <w:tcPr>
            <w:tcW w:w="672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Employee Separation Costs</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DDDDDD"/>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Strategic Initiative Costs</w:t>
            </w:r>
          </w:p>
        </w:tc>
        <w:tc>
          <w:tcPr>
            <w:tcW w:w="3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40" w:type="dxa"/>
            <w:vAlign w:val="bottom"/>
            <w:shd w:val="clear" w:color="auto" w:fill="DDDDDD"/>
          </w:tcPr>
          <w:p>
            <w:pPr>
              <w:spacing w:after="0"/>
              <w:rPr>
                <w:sz w:val="22"/>
                <w:szCs w:val="22"/>
                <w:color w:val="auto"/>
              </w:rPr>
            </w:pPr>
          </w:p>
        </w:tc>
        <w:tc>
          <w:tcPr>
            <w:tcW w:w="672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Global Shared Services Implementation Costs</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Frutarom Acquisition Related Costs</w:t>
            </w:r>
          </w:p>
        </w:tc>
        <w:tc>
          <w:tcPr>
            <w:tcW w:w="320" w:type="dxa"/>
            <w:vAlign w:val="bottom"/>
          </w:tcPr>
          <w:p>
            <w:pPr>
              <w:spacing w:after="0"/>
              <w:rPr>
                <w:sz w:val="22"/>
                <w:szCs w:val="22"/>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2"/>
                <w:szCs w:val="22"/>
                <w:color w:val="auto"/>
              </w:rPr>
            </w:pPr>
          </w:p>
        </w:tc>
      </w:tr>
      <w:tr>
        <w:trPr>
          <w:trHeight w:val="258"/>
        </w:trPr>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6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N&amp;B Inventory Step-Up Costs</w:t>
            </w:r>
          </w:p>
        </w:tc>
        <w:tc>
          <w:tcPr>
            <w:tcW w:w="4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shd w:val="clear" w:color="auto" w:fill="DDDDDD"/>
          </w:tcPr>
          <w:p>
            <w:pPr>
              <w:spacing w:after="0"/>
              <w:rPr>
                <w:sz w:val="22"/>
                <w:szCs w:val="22"/>
                <w:color w:val="auto"/>
              </w:rPr>
            </w:pPr>
          </w:p>
        </w:tc>
      </w:tr>
      <w:tr>
        <w:trPr>
          <w:trHeight w:val="258"/>
        </w:trPr>
        <w:tc>
          <w:tcPr>
            <w:tcW w:w="40" w:type="dxa"/>
            <w:vAlign w:val="bottom"/>
          </w:tcPr>
          <w:p>
            <w:pPr>
              <w:spacing w:after="0"/>
              <w:rPr>
                <w:sz w:val="22"/>
                <w:szCs w:val="22"/>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N&amp;B Transaction Related Costs</w:t>
            </w:r>
          </w:p>
        </w:tc>
        <w:tc>
          <w:tcPr>
            <w:tcW w:w="32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2"/>
                <w:szCs w:val="22"/>
                <w:color w:val="auto"/>
              </w:rPr>
            </w:pPr>
          </w:p>
        </w:tc>
      </w:tr>
      <w:tr>
        <w:trPr>
          <w:trHeight w:val="263"/>
        </w:trPr>
        <w:tc>
          <w:tcPr>
            <w:tcW w:w="40" w:type="dxa"/>
            <w:vAlign w:val="bottom"/>
            <w:shd w:val="clear" w:color="auto" w:fill="DDDDDD"/>
          </w:tcPr>
          <w:p>
            <w:pPr>
              <w:spacing w:after="0"/>
              <w:rPr>
                <w:sz w:val="22"/>
                <w:szCs w:val="22"/>
                <w:color w:val="auto"/>
              </w:rPr>
            </w:pPr>
          </w:p>
        </w:tc>
        <w:tc>
          <w:tcPr>
            <w:tcW w:w="672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Integration Related Costs</w:t>
            </w:r>
          </w:p>
        </w:tc>
        <w:tc>
          <w:tcPr>
            <w:tcW w:w="320" w:type="dxa"/>
            <w:vAlign w:val="bottom"/>
            <w:tcBorders>
              <w:bottom w:val="single" w:sz="8" w:color="auto"/>
            </w:tcBorders>
            <w:shd w:val="clear" w:color="auto" w:fill="DDDDDD"/>
          </w:tcPr>
          <w:p>
            <w:pPr>
              <w:spacing w:after="0"/>
              <w:rPr>
                <w:sz w:val="22"/>
                <w:szCs w:val="22"/>
                <w:color w:val="auto"/>
              </w:rPr>
            </w:pPr>
          </w:p>
        </w:tc>
        <w:tc>
          <w:tcPr>
            <w:tcW w:w="940" w:type="dxa"/>
            <w:vAlign w:val="bottom"/>
            <w:tcBorders>
              <w:bottom w:val="single" w:sz="8" w:color="auto"/>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Borders>
              <w:bottom w:val="single" w:sz="8" w:color="auto"/>
            </w:tcBorders>
            <w:shd w:val="clear" w:color="auto" w:fill="DDDDDD"/>
          </w:tcPr>
          <w:p>
            <w:pPr>
              <w:spacing w:after="0"/>
              <w:rPr>
                <w:sz w:val="22"/>
                <w:szCs w:val="22"/>
                <w:color w:val="auto"/>
              </w:rPr>
            </w:pPr>
          </w:p>
        </w:tc>
      </w:tr>
      <w:tr>
        <w:trPr>
          <w:trHeight w:val="278"/>
        </w:trPr>
        <w:tc>
          <w:tcPr>
            <w:tcW w:w="40" w:type="dxa"/>
            <w:vAlign w:val="bottom"/>
          </w:tcPr>
          <w:p>
            <w:pPr>
              <w:spacing w:after="0"/>
              <w:rPr>
                <w:sz w:val="24"/>
                <w:szCs w:val="24"/>
                <w:color w:val="auto"/>
              </w:rPr>
            </w:pPr>
          </w:p>
        </w:tc>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tcPr>
          <w:p>
            <w:pPr>
              <w:spacing w:after="0"/>
              <w:rPr>
                <w:sz w:val="24"/>
                <w:szCs w:val="24"/>
                <w:color w:val="auto"/>
              </w:rPr>
            </w:pPr>
          </w:p>
        </w:tc>
        <w:tc>
          <w:tcPr>
            <w:tcW w:w="3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24"/>
                <w:szCs w:val="24"/>
                <w:color w:val="auto"/>
              </w:rPr>
            </w:pPr>
          </w:p>
        </w:tc>
      </w:tr>
      <w:tr>
        <w:trPr>
          <w:trHeight w:val="198"/>
        </w:trPr>
        <w:tc>
          <w:tcPr>
            <w:tcW w:w="40" w:type="dxa"/>
            <w:vAlign w:val="bottom"/>
            <w:tcBorders>
              <w:top w:val="single" w:sz="8" w:color="DDDDDD"/>
            </w:tcBorders>
            <w:shd w:val="clear" w:color="auto" w:fill="DDDDDD"/>
          </w:tcPr>
          <w:p>
            <w:pPr>
              <w:spacing w:after="0"/>
              <w:rPr>
                <w:sz w:val="17"/>
                <w:szCs w:val="17"/>
                <w:color w:val="auto"/>
              </w:rPr>
            </w:pPr>
          </w:p>
        </w:tc>
        <w:tc>
          <w:tcPr>
            <w:tcW w:w="6720" w:type="dxa"/>
            <w:vAlign w:val="bottom"/>
            <w:tcBorders>
              <w:top w:val="single" w:sz="8" w:color="DDDDDD"/>
            </w:tcBorders>
            <w:gridSpan w:val="4"/>
            <w:shd w:val="clear" w:color="auto" w:fill="DDDDDD"/>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Segment Adjusted Operating EBITDA margin:</w:t>
            </w:r>
          </w:p>
        </w:tc>
        <w:tc>
          <w:tcPr>
            <w:tcW w:w="320" w:type="dxa"/>
            <w:vAlign w:val="bottom"/>
            <w:tcBorders>
              <w:top w:val="single" w:sz="8" w:color="auto"/>
            </w:tcBorders>
            <w:shd w:val="clear" w:color="auto" w:fill="DDDDDD"/>
          </w:tcPr>
          <w:p>
            <w:pPr>
              <w:spacing w:after="0"/>
              <w:rPr>
                <w:sz w:val="17"/>
                <w:szCs w:val="17"/>
                <w:color w:val="auto"/>
              </w:rPr>
            </w:pPr>
          </w:p>
        </w:tc>
        <w:tc>
          <w:tcPr>
            <w:tcW w:w="940" w:type="dxa"/>
            <w:vAlign w:val="bottom"/>
            <w:tcBorders>
              <w:top w:val="single" w:sz="8" w:color="auto"/>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60" w:type="dxa"/>
            <w:vAlign w:val="bottom"/>
            <w:tcBorders>
              <w:top w:val="single" w:sz="8" w:color="DDDDDD"/>
            </w:tcBorders>
            <w:shd w:val="clear" w:color="auto" w:fill="DDDDDD"/>
          </w:tcPr>
          <w:p>
            <w:pPr>
              <w:spacing w:after="0"/>
              <w:rPr>
                <w:sz w:val="17"/>
                <w:szCs w:val="17"/>
                <w:color w:val="auto"/>
              </w:rPr>
            </w:pPr>
          </w:p>
        </w:tc>
        <w:tc>
          <w:tcPr>
            <w:tcW w:w="280" w:type="dxa"/>
            <w:vAlign w:val="bottom"/>
            <w:tcBorders>
              <w:top w:val="single" w:sz="8" w:color="auto"/>
            </w:tcBorders>
            <w:shd w:val="clear" w:color="auto" w:fill="DDDDDD"/>
          </w:tcPr>
          <w:p>
            <w:pPr>
              <w:spacing w:after="0"/>
              <w:rPr>
                <w:sz w:val="17"/>
                <w:szCs w:val="17"/>
                <w:color w:val="auto"/>
              </w:rPr>
            </w:pPr>
          </w:p>
        </w:tc>
        <w:tc>
          <w:tcPr>
            <w:tcW w:w="960" w:type="dxa"/>
            <w:vAlign w:val="bottom"/>
            <w:tcBorders>
              <w:top w:val="single" w:sz="8" w:color="auto"/>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r>
      <w:tr>
        <w:trPr>
          <w:trHeight w:val="26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Nourish</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20" w:type="dxa"/>
            <w:vAlign w:val="bottom"/>
          </w:tcPr>
          <w:p>
            <w:pPr>
              <w:spacing w:after="0"/>
              <w:rPr>
                <w:sz w:val="22"/>
                <w:szCs w:val="22"/>
                <w:color w:val="auto"/>
              </w:rPr>
            </w:pPr>
          </w:p>
        </w:tc>
      </w:tr>
      <w:tr>
        <w:trPr>
          <w:trHeight w:val="258"/>
        </w:trPr>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700" w:type="dxa"/>
            <w:vAlign w:val="bottom"/>
            <w:gridSpan w:val="3"/>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Health &amp; Biosciences</w:t>
            </w: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20" w:type="dxa"/>
            <w:vAlign w:val="bottom"/>
            <w:shd w:val="clear" w:color="auto" w:fill="DDDDDD"/>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Scent</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20" w:type="dxa"/>
            <w:vAlign w:val="bottom"/>
          </w:tcPr>
          <w:p>
            <w:pPr>
              <w:spacing w:after="0"/>
              <w:rPr>
                <w:sz w:val="22"/>
                <w:szCs w:val="22"/>
                <w:color w:val="auto"/>
              </w:rPr>
            </w:pPr>
          </w:p>
        </w:tc>
      </w:tr>
      <w:tr>
        <w:trPr>
          <w:trHeight w:val="258"/>
        </w:trPr>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6660" w:type="dxa"/>
            <w:vAlign w:val="bottom"/>
            <w:gridSpan w:val="2"/>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Pharma Solutions</w:t>
            </w:r>
          </w:p>
        </w:tc>
        <w:tc>
          <w:tcPr>
            <w:tcW w:w="40" w:type="dxa"/>
            <w:vAlign w:val="bottom"/>
            <w:tcBorders>
              <w:bottom w:val="single" w:sz="8" w:color="DDDDDD"/>
            </w:tcBorders>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20" w:type="dxa"/>
            <w:vAlign w:val="bottom"/>
            <w:tcBorders>
              <w:bottom w:val="single" w:sz="8" w:color="DDDDDD"/>
            </w:tcBorders>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20" w:type="dxa"/>
            <w:vAlign w:val="bottom"/>
            <w:tcBorders>
              <w:bottom w:val="single" w:sz="8" w:color="DDDDDD"/>
            </w:tcBorders>
            <w:shd w:val="clear" w:color="auto" w:fill="DDDDDD"/>
          </w:tcPr>
          <w:p>
            <w:pPr>
              <w:spacing w:after="0"/>
              <w:rPr>
                <w:sz w:val="22"/>
                <w:szCs w:val="22"/>
                <w:color w:val="auto"/>
              </w:rPr>
            </w:pPr>
          </w:p>
        </w:tc>
      </w:tr>
      <w:tr>
        <w:trPr>
          <w:trHeight w:val="238"/>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Consolidated</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-4117975</wp:posOffset>
                </wp:positionV>
                <wp:extent cx="429895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9895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24.2499pt" to="338.4pt,-324.2499pt" o:allowincell="f" strokecolor="#FFFFFF" strokeweight="0.876pt"/>
            </w:pict>
          </mc:Fallback>
        </mc:AlternateContent>
      </w:r>
    </w:p>
    <w:p>
      <w:pPr>
        <w:spacing w:after="0" w:line="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Nourish Segment Adjusted Operating EBITDA</w:t>
      </w:r>
    </w:p>
    <w:p>
      <w:pPr>
        <w:spacing w:after="0" w:line="118" w:lineRule="exact"/>
        <w:rPr>
          <w:sz w:val="20"/>
          <w:szCs w:val="20"/>
          <w:color w:val="auto"/>
        </w:rPr>
      </w:pPr>
    </w:p>
    <w:p>
      <w:pPr>
        <w:jc w:val="both"/>
        <w:ind w:left="40" w:firstLine="329"/>
        <w:spacing w:after="0" w:line="265" w:lineRule="auto"/>
        <w:rPr>
          <w:sz w:val="20"/>
          <w:szCs w:val="20"/>
          <w:color w:val="auto"/>
        </w:rPr>
      </w:pPr>
      <w:r>
        <w:rPr>
          <w:rFonts w:ascii="Times New Roman" w:cs="Times New Roman" w:eastAsia="Times New Roman" w:hAnsi="Times New Roman"/>
          <w:sz w:val="18"/>
          <w:szCs w:val="18"/>
          <w:color w:val="auto"/>
        </w:rPr>
        <w:t>Nourish Segment Adjusted Operating EBITDA increased $4 million, or 0.3% on a reported basis, to $1.176 billion (17.2% of segment sales) in 2022 from $1.172 billion (18.7% of segment sales) in the comparable 2021 period. Nourish Segment Adjusted Operating EBITDA included approximately $65 million attributable to N&amp;B for the month of January in the 2022 period. The decrease in Nourish Segment Adjusted Operating EBITDA, excluding the impact of N&amp;B for the month of January in the 2022 period, was primarily driven by volume decreases, offset in part by favorable net pricing.</w:t>
      </w:r>
    </w:p>
    <w:p>
      <w:pPr>
        <w:sectPr>
          <w:pgSz w:w="11880" w:h="15480" w:orient="portrait"/>
          <w:cols w:equalWidth="0" w:num="1">
            <w:col w:w="9400"/>
          </w:cols>
          <w:pgMar w:left="1220" w:top="1252" w:right="126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880" w:h="15480" w:orient="portrait"/>
          <w:cols w:equalWidth="0" w:num="1">
            <w:col w:w="9400"/>
          </w:cols>
          <w:pgMar w:left="1220" w:top="1252" w:right="1260" w:bottom="254"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Health &amp; Biosciences Segment Adjusted Operating EBITDA</w:t>
      </w:r>
    </w:p>
    <w:p>
      <w:pPr>
        <w:spacing w:after="0" w:line="118"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Health &amp; Biosciences Segment Adjusted Operating EBITDA increased $9 million, or 1% on a reported basis, to $634 million (27.1% of segment sales) in 2022 from $625 million (26.8% of segment sales) in the comparable 2021 period. Health &amp; Biosciences Segment Adjusted Operating EBITDA included approximately $60 million attributable to N&amp;B for the month of January in the 2022 period. The decrease in Health &amp; Biosciences Segment Adjusted Operating EBITDA, excluding the impact of N&amp;B for the month of January in the 2022 period, was primarily driven by volume decreases and the change in business portfolio mix, offset in part by favorable net pricing.</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Scent Segment Adjusted Operating EBITDA</w:t>
      </w:r>
    </w:p>
    <w:p>
      <w:pPr>
        <w:spacing w:after="0" w:line="118"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Scent Segment Adjusted Operating EBITDA decreased $40 million, or 9% on a reported basis, to $423 million (18.4% of segment sales) in 2022 from $463 million (20.5% of segment sales) in the comparable 2021 period. On a currency neutral basis, Scent Segment Adjusted Operating EBITDA increased 1% in 2022 compared to the prior year period. The decrease, on a reported basis, was primarily driven by unfavorable impacts from exchange rate variations and net pricing, offset in part by volume increases in Fragrance Compounds.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 Solutions Segment Adjusted Operating EBITDA</w:t>
      </w:r>
    </w:p>
    <w:p>
      <w:pPr>
        <w:spacing w:after="0" w:line="83" w:lineRule="exact"/>
        <w:rPr>
          <w:sz w:val="20"/>
          <w:szCs w:val="20"/>
          <w:color w:val="auto"/>
        </w:rPr>
      </w:pPr>
    </w:p>
    <w:p>
      <w:pPr>
        <w:jc w:val="both"/>
        <w:ind w:firstLine="329"/>
        <w:spacing w:after="0" w:line="263" w:lineRule="auto"/>
        <w:rPr>
          <w:sz w:val="20"/>
          <w:szCs w:val="20"/>
          <w:color w:val="auto"/>
        </w:rPr>
      </w:pPr>
      <w:r>
        <w:rPr>
          <w:rFonts w:ascii="Times New Roman" w:cs="Times New Roman" w:eastAsia="Times New Roman" w:hAnsi="Times New Roman"/>
          <w:sz w:val="18"/>
          <w:szCs w:val="18"/>
          <w:color w:val="auto"/>
        </w:rPr>
        <w:t>Pharma Solutions Segment Adjusted Operating EBITDA increased $57 million, or 35% on a reported basis, to $222 million (22.9% of segment sales) in 2022 from $165 million (20.4% of segment sales) in the comparable 2021 period. Pharma Solutions Segment Adjusted Operating EBITDA included approximately $12 million attributable to N&amp;B for the month of January in the 2022 period. In addition, the increase in Pharma Solutions Segment Adjusted Operating EBITDA, excluding the impact of N&amp;B for the month of January in the 2022 period, was primarily driven by favorable net pricing and volume increases.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2021 IN COMPARISON TO 2020</w:t>
      </w:r>
    </w:p>
    <w:p>
      <w:pPr>
        <w:spacing w:after="0" w:line="125"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For a comparison of our results of operations for the fiscal years ended December 31, 2021 and December 31, 2020, see “Part II, Item 7. Management’s Discussion and Analysis of Financial Condition and Results of Operations” of our Form 10-K for the fiscal year ended December 31, 2021, filed with the SEC on February 28,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8"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We had cash and cash equivalents of approximately $535 million, inclusive of $52 million currently in Assets held for sale on the Consolidated Balance Sheets, at December 31, 2022 compared to $711 million at December 31, 2021 and of this balance, a portion was held outside the United States. Cash balances held in foreign jurisdictions are, in most circumstances, available to be repatriated to the United States.</w:t>
      </w:r>
    </w:p>
    <w:p>
      <w:pPr>
        <w:spacing w:after="0" w:line="57"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Effective utilization of the cash generated by our international operations is a critical component of our strategy. We regularly repatriate cash from our non-U.S. subsidiaries to fund financial obligations in the U.S. As we repatriate these funds to the U.S. we will be required to pay income taxes in certain U.S. states and applicable foreign withholding taxes during the period when such repatriation occurs. Accordingly, as of December 31, 2022, we have a deferred tax liability of approximately $166 million for the effect of repatriating the funds to the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8"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Cash flows provided by operating activities in 2022 were $397 million, or 3.2% of sales, compared to $1.437 billion, or 12.3% of sales, in 2021 and $714 million, or 14.0% of sales, in 2020. The decrease in cash flows provided by operating activities from 2021 to 2022 was primarily driven by the increase in working capital, largely related to inventories and accounts payable. The increase in cash flows provided by operating activities from 2020 to 2021 was primarily driven by higher cash earnings, excluding the impact of non-cash adjustments, offset in part by the increase in working capital, largely related to inventories and accounts receivable.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(Used In) Investing Activities</w:t>
      </w:r>
    </w:p>
    <w:p>
      <w:pPr>
        <w:spacing w:after="0" w:line="118"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Cash flows provided by investing activities in 2022 were $745 million compared to cash flows used in investing activities of $18 million and $187 million in 2021 and 2020, respectively. The increase in cash flows from investing activities from 2021 to 2022 was primarily driven by the change in proceeds received from business divestiture and unwinding of derivative instruments, offset in part by the change in cash provided by the Merger with N&amp;B, higher spending on property, plant and equipment and cash paid for acquisitions, net of cash received, in the current year period. The decrease in cash flows used in investing activities from 2020 to 2021 was primarily driven by the increase in cash provided by the Merger with N&amp;B and higher net proceeds received from the sale of the Fruit Preparation business, offset in part by higher spending on property, plant and equipment in the 2021 period.</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880" w:h="15480" w:orient="portrait"/>
          <w:cols w:equalWidth="0" w:num="1">
            <w:col w:w="9360"/>
          </w:cols>
          <w:pgMar w:left="1260" w:top="1258" w:right="1260" w:bottom="254" w:gutter="0" w:footer="0" w:header="0"/>
        </w:sectPr>
      </w:pPr>
    </w:p>
    <w:bookmarkStart w:id="47" w:name="page48"/>
    <w:bookmarkEnd w:id="47"/>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Additions to property, plant and equipment were $504 million, $393 million and $192 million in 2022, 2021 and 2020, respectively (net of grants and other reimbursements from government authorities). These investments largely arise from our ongoing focus to align our manufacturing facilities with customer demand, primarily in emerging markets, and new technology consistent with our strategy.</w:t>
      </w:r>
    </w:p>
    <w:p>
      <w:pPr>
        <w:spacing w:after="0" w:line="57"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We have evaluated and re-prioritized our capital projects and expect that capital spending in 2023 will be approximately 4.4% of sales (net of potential grants and other reimbursements from government authorities).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8"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Cash flows used in financing activities in 2022 were $1.229 billion compared to $1.304 billion and $512 million in 2021 and 2020, respectively. The decrease in cash used in financing activities from 2021 to 2022 was primarily driven by less repayments of long-term debt and an increase in revolving credit facility and short-term borrowings, offset in part by higher repayments of commercial paper, net of borrowings, higher cash dividend payments and higher purchases of redeemable non-controlling interest. The increase in cash flows used in financing activities from 2020 to 2021 was primarily driven by higher repayments of both short-term and long-term debt and higher cash dividend payments, offset in part by proceeds from issuance of commercial paper.</w:t>
      </w:r>
    </w:p>
    <w:p>
      <w:pPr>
        <w:spacing w:after="0" w:line="65"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We paid dividends totaling $810 million, $667 million and $323 million in 2022, 2021 and 2020, respectively. The cash dividend declared per share in 2022, 2021 and 2020 was $3.20, $3.12 and $3.04, respectively.</w:t>
      </w:r>
    </w:p>
    <w:p>
      <w:pPr>
        <w:spacing w:after="0" w:line="30" w:lineRule="exact"/>
        <w:rPr>
          <w:sz w:val="20"/>
          <w:szCs w:val="20"/>
          <w:color w:val="auto"/>
        </w:rPr>
      </w:pPr>
    </w:p>
    <w:p>
      <w:pPr>
        <w:jc w:val="both"/>
        <w:ind w:firstLine="328"/>
        <w:spacing w:after="0" w:line="272" w:lineRule="auto"/>
        <w:rPr>
          <w:sz w:val="20"/>
          <w:szCs w:val="20"/>
          <w:color w:val="auto"/>
        </w:rPr>
      </w:pPr>
      <w:r>
        <w:rPr>
          <w:rFonts w:ascii="Times New Roman" w:cs="Times New Roman" w:eastAsia="Times New Roman" w:hAnsi="Times New Roman"/>
          <w:sz w:val="18"/>
          <w:szCs w:val="18"/>
          <w:color w:val="auto"/>
        </w:rPr>
        <w:t>Our capital allocation strategy is primarily focused on debt repayment to maintain our investment grade rating. We will also prioritize capital investment in our businesses to support the strategic long- term plans. We are also committed to maintaining our history of paying a dividend to investors determined by our Board of Directors at its discretion based on various factors.</w:t>
      </w:r>
    </w:p>
    <w:p>
      <w:pPr>
        <w:spacing w:after="0" w:line="281"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We had a board approved stock repurchase program and as of May 7, 2018, we suspended our share repurchases. As of November 1, 2022, the program has expired.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Operating cash flow provides the primary source of funds for capital investment needs, dividends paid to shareholders and debt service repayments. We anticipate that cash flows from operations and availability under our existing credit facilities will be sufficient to meet our investing and financing needs.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9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with Nutrition &amp; Biosciences, Inc.</w:t>
      </w:r>
    </w:p>
    <w:p>
      <w:pPr>
        <w:spacing w:after="0" w:line="118"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On February 1, 2021, the N&amp;B Term Loan Facility was funded, which provided for a senior unsecured term loan credit facility in an aggregate principal amount of $1.250 billion, comprised of a $625 million three-year tranche (“2024 Term Loan Facility”) and a $625 million five-year tranche (“2026 Term Loan Facility”). Following the Merger, we assumed the indebtedness incurred by N&amp;B in the debt financings, which included (i) the 2024 Term Loan Facility and 2026 Term Loan Facility and (ii) a series of Senior Notes in the aggregate amount of $6.250 billion with maturities ranging from 2 to 30 years. N&amp;B’s indebtedness raised prior to the Merger was used to finance the Special Cash Payment to DuPont, which has been paid, and for the satisfaction of the related transaction fees and expenses.</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3 and Note 9 for additional information.</w:t>
      </w:r>
    </w:p>
    <w:p>
      <w:pPr>
        <w:spacing w:after="0" w:line="121"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In connection with the N&amp;B Transaction, a wholly owned subsidiary of IFF merged with and into N&amp;B in exchange for 141,740,461 shares of IFF common stock, par value $0.125 per share (“IFF Common Stock”), which had been approved in the special shareholder meeting that occurred on August 27, 2020 where IFF shareholders voted to approve the issuance of shares of IFF common stock in connection with the N&amp;B Transaction pursuant to the Merger Agreement. In connection with the N&amp;B Transaction, DuPont received a one-time $7.359 billion special cash payment (the “Special Cash Payment”). The shares issued in the Merger represented approximately 55.4% of the common stock of IFF on a fully diluted basis, after giving effect to the Merger, as of February 1, 2021 (see Note 3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880" w:h="15480" w:orient="portrait"/>
          <w:cols w:equalWidth="0" w:num="1">
            <w:col w:w="9360"/>
          </w:cols>
          <w:pgMar w:left="1260" w:top="1255" w:right="1260" w:bottom="254"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8"/>
          <w:szCs w:val="18"/>
          <w:i w:val="1"/>
          <w:iCs w:val="1"/>
          <w:color w:val="auto"/>
        </w:rPr>
        <w:t>Amended Revolving Credit Facility and Term Loans</w:t>
      </w:r>
    </w:p>
    <w:p>
      <w:pPr>
        <w:spacing w:after="0" w:line="118" w:lineRule="exact"/>
        <w:rPr>
          <w:sz w:val="20"/>
          <w:szCs w:val="20"/>
          <w:color w:val="auto"/>
        </w:rPr>
      </w:pPr>
    </w:p>
    <w:p>
      <w:pPr>
        <w:jc w:val="both"/>
        <w:ind w:left="40" w:firstLine="329"/>
        <w:spacing w:after="0" w:line="258" w:lineRule="auto"/>
        <w:rPr>
          <w:sz w:val="20"/>
          <w:szCs w:val="20"/>
          <w:color w:val="auto"/>
        </w:rPr>
      </w:pPr>
      <w:r>
        <w:rPr>
          <w:rFonts w:ascii="Times New Roman" w:cs="Times New Roman" w:eastAsia="Times New Roman" w:hAnsi="Times New Roman"/>
          <w:sz w:val="18"/>
          <w:szCs w:val="18"/>
          <w:color w:val="auto"/>
        </w:rPr>
        <w:t>The Credit Agreements contain various covenants, limitations and events of default customary for similar facilities for similarly rated borrowers, including the requirement for us to maintain, at the end of each fiscal quarter, a ratio of net debt for borrowed money to Credit Adjusted EBITDA in respect of the previous 12-month period. On and after the Closing Date of the N&amp;B Transaction, the 2024 Term Loan Facility and 2026 Term Loan Facility are also subject to a financial covenant requiring maintenance of a maximum consolidated leverage ratio of 4.75 to 1.0, with step downs to 3.50 to 1.0 over time, with the first step-down which occurred after the fiscal quarter ended December 31, 2021 and the final step-down occurring after the fiscal quarter ending June 30, 2023, with a step-up if the Company consummates certain qualified acquisitions. On August 4, 2022, we amended our existing Term Loan Credit Agreement and Amended Revolving Credit Facility, and the amendment delays certain step-downs from the maximum permitted leverage ratio of 4.50 to 1.0, stepping down to 3.50 to 1.0 over time, with the first step-down now occurring after the fiscal quarter ending June 30, 2023 and the final step-down now occurring after the fiscal quarter ending September 30, 2024, with a step-up if the Company consummates certain qualified acquisitions.</w:t>
      </w:r>
    </w:p>
    <w:p>
      <w:pPr>
        <w:spacing w:after="0" w:line="69"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As of December 31, 2022, we had $100 million outstanding borrowings under our $2.000 billion Revolving Credit Facility. The amount that we are able to draw down under the Revolving Credit Facility is limited by financial covenants as described in more detail below. As of December 31, 2022, our borrowing capacity was approximately $902 million under the Revolving Credit Facility.</w:t>
      </w:r>
    </w:p>
    <w:p>
      <w:pPr>
        <w:spacing w:after="0" w:line="57" w:lineRule="exact"/>
        <w:rPr>
          <w:sz w:val="20"/>
          <w:szCs w:val="20"/>
          <w:color w:val="auto"/>
        </w:rPr>
      </w:pPr>
    </w:p>
    <w:p>
      <w:pPr>
        <w:ind w:left="40" w:right="1280" w:firstLine="328"/>
        <w:spacing w:after="0" w:line="380" w:lineRule="auto"/>
        <w:rPr>
          <w:sz w:val="20"/>
          <w:szCs w:val="20"/>
          <w:color w:val="auto"/>
        </w:rPr>
      </w:pPr>
      <w:r>
        <w:rPr>
          <w:rFonts w:ascii="Times New Roman" w:cs="Times New Roman" w:eastAsia="Times New Roman" w:hAnsi="Times New Roman"/>
          <w:sz w:val="18"/>
          <w:szCs w:val="18"/>
          <w:color w:val="auto"/>
        </w:rPr>
        <w:t xml:space="preserve">See Note 9 to the Consolidated Financial Statements for additional information on our Credit Agreements. </w:t>
      </w:r>
      <w:r>
        <w:rPr>
          <w:rFonts w:ascii="Times New Roman" w:cs="Times New Roman" w:eastAsia="Times New Roman" w:hAnsi="Times New Roman"/>
          <w:sz w:val="18"/>
          <w:szCs w:val="18"/>
          <w:i w:val="1"/>
          <w:iCs w:val="1"/>
          <w:color w:val="auto"/>
        </w:rPr>
        <w:t>Debt Covenants</w:t>
      </w:r>
    </w:p>
    <w:p>
      <w:pPr>
        <w:spacing w:after="0" w:line="1" w:lineRule="exact"/>
        <w:rPr>
          <w:sz w:val="20"/>
          <w:szCs w:val="20"/>
          <w:color w:val="auto"/>
        </w:rPr>
      </w:pPr>
    </w:p>
    <w:p>
      <w:pPr>
        <w:jc w:val="both"/>
        <w:ind w:left="40" w:firstLine="329"/>
        <w:spacing w:after="0" w:line="253" w:lineRule="auto"/>
        <w:rPr>
          <w:sz w:val="20"/>
          <w:szCs w:val="20"/>
          <w:color w:val="auto"/>
        </w:rPr>
      </w:pPr>
      <w:r>
        <w:rPr>
          <w:rFonts w:ascii="Times New Roman" w:cs="Times New Roman" w:eastAsia="Times New Roman" w:hAnsi="Times New Roman"/>
          <w:sz w:val="18"/>
          <w:szCs w:val="18"/>
          <w:color w:val="auto"/>
        </w:rPr>
        <w:t>At December 31, 2022 and 2021 we were in compliance with all financial and other covenants, including the net debt to credit adjusted EBITDA</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ratio. At December 31, 2022 our net debt to credit adjusted EBITDA</w:t>
      </w:r>
      <w:r>
        <w:rPr>
          <w:rFonts w:ascii="Times New Roman" w:cs="Times New Roman" w:eastAsia="Times New Roman" w:hAnsi="Times New Roman"/>
          <w:sz w:val="11"/>
          <w:szCs w:val="11"/>
          <w:color w:val="auto"/>
        </w:rPr>
        <w:t>(1)</w:t>
      </w:r>
      <w:r>
        <w:rPr>
          <w:rFonts w:ascii="Times New Roman" w:cs="Times New Roman" w:eastAsia="Times New Roman" w:hAnsi="Times New Roman"/>
          <w:sz w:val="18"/>
          <w:szCs w:val="18"/>
          <w:color w:val="auto"/>
        </w:rPr>
        <w:t xml:space="preserve"> ratio was 4.14 to 1.0 as defined by the credit facility agreements, which is below the relevant level provided by our financial covenants of existing outstanding debt.</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70" w:lineRule="exact"/>
        <w:rPr>
          <w:sz w:val="20"/>
          <w:szCs w:val="20"/>
          <w:color w:val="auto"/>
        </w:rPr>
      </w:pPr>
    </w:p>
    <w:p>
      <w:pPr>
        <w:jc w:val="both"/>
        <w:ind w:left="460" w:hanging="414"/>
        <w:spacing w:after="0" w:line="254" w:lineRule="auto"/>
        <w:tabs>
          <w:tab w:leader="none" w:pos="4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 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credit adjusted EBITDA and net debt used by other companies. Reconciliations of credit adjusted EBITDA to net (loss) income and net debt to total debt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Pr>
          <w:p>
            <w:pPr>
              <w:spacing w:after="0"/>
              <w:rPr>
                <w:sz w:val="18"/>
                <w:szCs w:val="18"/>
                <w:color w:val="auto"/>
              </w:rPr>
            </w:pPr>
          </w:p>
        </w:tc>
        <w:tc>
          <w:tcPr>
            <w:tcW w:w="2960" w:type="dxa"/>
            <w:vAlign w:val="bottom"/>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r>
      <w:tr>
        <w:trPr>
          <w:trHeight w:val="24"/>
        </w:trPr>
        <w:tc>
          <w:tcPr>
            <w:tcW w:w="40" w:type="dxa"/>
            <w:vAlign w:val="bottom"/>
            <w:tcBorders>
              <w:bottom w:val="single" w:sz="8" w:color="DDDDDD"/>
            </w:tcBorders>
          </w:tcPr>
          <w:p>
            <w:pPr>
              <w:spacing w:after="0"/>
              <w:rPr>
                <w:sz w:val="2"/>
                <w:szCs w:val="2"/>
                <w:color w:val="auto"/>
              </w:rPr>
            </w:pPr>
          </w:p>
        </w:tc>
        <w:tc>
          <w:tcPr>
            <w:tcW w:w="1600" w:type="dxa"/>
            <w:vAlign w:val="bottom"/>
            <w:tcBorders>
              <w:top w:val="single" w:sz="8" w:color="auto"/>
              <w:bottom w:val="single" w:sz="8" w:color="DDDDDD"/>
            </w:tcBorders>
          </w:tcPr>
          <w:p>
            <w:pPr>
              <w:spacing w:after="0"/>
              <w:rPr>
                <w:sz w:val="2"/>
                <w:szCs w:val="2"/>
                <w:color w:val="auto"/>
              </w:rPr>
            </w:pPr>
          </w:p>
        </w:tc>
        <w:tc>
          <w:tcPr>
            <w:tcW w:w="448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51"/>
        </w:trPr>
        <w:tc>
          <w:tcPr>
            <w:tcW w:w="40" w:type="dxa"/>
            <w:vAlign w:val="bottom"/>
            <w:shd w:val="clear" w:color="auto" w:fill="DDDDDD"/>
          </w:tcPr>
          <w:p>
            <w:pPr>
              <w:spacing w:after="0"/>
              <w:rPr>
                <w:sz w:val="21"/>
                <w:szCs w:val="21"/>
                <w:color w:val="auto"/>
              </w:rPr>
            </w:pPr>
          </w:p>
        </w:tc>
        <w:tc>
          <w:tcPr>
            <w:tcW w:w="60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(1,871)</w:t>
            </w:r>
          </w:p>
        </w:tc>
      </w:tr>
      <w:tr>
        <w:trPr>
          <w:trHeight w:val="273"/>
        </w:trPr>
        <w:tc>
          <w:tcPr>
            <w:tcW w:w="40" w:type="dxa"/>
            <w:vAlign w:val="bottom"/>
          </w:tcPr>
          <w:p>
            <w:pPr>
              <w:spacing w:after="0"/>
              <w:rPr>
                <w:sz w:val="23"/>
                <w:szCs w:val="23"/>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3"/>
                <w:szCs w:val="2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4"/>
        </w:trPr>
        <w:tc>
          <w:tcPr>
            <w:tcW w:w="40" w:type="dxa"/>
            <w:vAlign w:val="bottom"/>
            <w:shd w:val="clear" w:color="auto" w:fill="DDDDDD"/>
          </w:tcPr>
          <w:p>
            <w:pPr>
              <w:spacing w:after="0"/>
              <w:rPr>
                <w:sz w:val="23"/>
                <w:szCs w:val="23"/>
                <w:color w:val="auto"/>
              </w:rPr>
            </w:pPr>
          </w:p>
        </w:tc>
        <w:tc>
          <w:tcPr>
            <w:tcW w:w="60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DDDDDD"/>
          </w:tcPr>
          <w:p>
            <w:pPr>
              <w:spacing w:after="0"/>
              <w:rPr>
                <w:sz w:val="23"/>
                <w:szCs w:val="23"/>
                <w:color w:val="auto"/>
              </w:rPr>
            </w:pPr>
          </w:p>
        </w:tc>
        <w:tc>
          <w:tcPr>
            <w:tcW w:w="2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73"/>
        </w:trPr>
        <w:tc>
          <w:tcPr>
            <w:tcW w:w="40" w:type="dxa"/>
            <w:vAlign w:val="bottom"/>
          </w:tcPr>
          <w:p>
            <w:pPr>
              <w:spacing w:after="0"/>
              <w:rPr>
                <w:sz w:val="23"/>
                <w:szCs w:val="23"/>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3"/>
                <w:szCs w:val="2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74"/>
        </w:trPr>
        <w:tc>
          <w:tcPr>
            <w:tcW w:w="40" w:type="dxa"/>
            <w:vAlign w:val="bottom"/>
            <w:shd w:val="clear" w:color="auto" w:fill="DDDDDD"/>
          </w:tcPr>
          <w:p>
            <w:pPr>
              <w:spacing w:after="0"/>
              <w:rPr>
                <w:sz w:val="23"/>
                <w:szCs w:val="23"/>
                <w:color w:val="auto"/>
              </w:rPr>
            </w:pPr>
          </w:p>
        </w:tc>
        <w:tc>
          <w:tcPr>
            <w:tcW w:w="60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Specified items</w:t>
            </w:r>
            <w:r>
              <w:rPr>
                <w:rFonts w:ascii="Times New Roman" w:cs="Times New Roman" w:eastAsia="Times New Roman" w:hAnsi="Times New Roman"/>
                <w:sz w:val="11"/>
                <w:szCs w:val="11"/>
                <w:color w:val="auto"/>
              </w:rPr>
              <w:t>(1)</w:t>
            </w:r>
          </w:p>
        </w:tc>
        <w:tc>
          <w:tcPr>
            <w:tcW w:w="260" w:type="dxa"/>
            <w:vAlign w:val="bottom"/>
            <w:shd w:val="clear" w:color="auto" w:fill="DDDDDD"/>
          </w:tcPr>
          <w:p>
            <w:pPr>
              <w:spacing w:after="0"/>
              <w:rPr>
                <w:sz w:val="23"/>
                <w:szCs w:val="23"/>
                <w:color w:val="auto"/>
              </w:rPr>
            </w:pPr>
          </w:p>
        </w:tc>
        <w:tc>
          <w:tcPr>
            <w:tcW w:w="2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73"/>
        </w:trPr>
        <w:tc>
          <w:tcPr>
            <w:tcW w:w="40" w:type="dxa"/>
            <w:vAlign w:val="bottom"/>
            <w:tcBorders>
              <w:bottom w:val="single" w:sz="8" w:color="DDDDDD"/>
            </w:tcBorders>
          </w:tcPr>
          <w:p>
            <w:pPr>
              <w:spacing w:after="0"/>
              <w:rPr>
                <w:sz w:val="23"/>
                <w:szCs w:val="23"/>
                <w:color w:val="auto"/>
              </w:rPr>
            </w:pPr>
          </w:p>
        </w:tc>
        <w:tc>
          <w:tcPr>
            <w:tcW w:w="608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11"/>
                <w:szCs w:val="11"/>
                <w:color w:val="auto"/>
              </w:rPr>
              <w:t>(2)</w:t>
            </w:r>
          </w:p>
        </w:tc>
        <w:tc>
          <w:tcPr>
            <w:tcW w:w="26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4"/>
        </w:trPr>
        <w:tc>
          <w:tcPr>
            <w:tcW w:w="40" w:type="dxa"/>
            <w:vAlign w:val="bottom"/>
            <w:shd w:val="clear" w:color="auto" w:fill="DDDDDD"/>
          </w:tcPr>
          <w:p>
            <w:pPr>
              <w:spacing w:after="0"/>
              <w:rPr>
                <w:sz w:val="22"/>
                <w:szCs w:val="22"/>
                <w:color w:val="auto"/>
              </w:rPr>
            </w:pPr>
          </w:p>
        </w:tc>
        <w:tc>
          <w:tcPr>
            <w:tcW w:w="60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Credit Adjusted EBITDA</w:t>
            </w: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30"/>
        </w:trPr>
        <w:tc>
          <w:tcPr>
            <w:tcW w:w="4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260" w:type="dxa"/>
            <w:vAlign w:val="bottom"/>
          </w:tcPr>
          <w:p>
            <w:pPr>
              <w:spacing w:after="0"/>
              <w:rPr>
                <w:sz w:val="19"/>
                <w:szCs w:val="19"/>
                <w:color w:val="auto"/>
              </w:rPr>
            </w:pPr>
          </w:p>
        </w:tc>
        <w:tc>
          <w:tcPr>
            <w:tcW w:w="2960" w:type="dxa"/>
            <w:vAlign w:val="bottom"/>
          </w:tcPr>
          <w:p>
            <w:pPr>
              <w:spacing w:after="0"/>
              <w:rPr>
                <w:sz w:val="19"/>
                <w:szCs w:val="19"/>
                <w:color w:val="auto"/>
              </w:rPr>
            </w:pPr>
          </w:p>
        </w:tc>
      </w:tr>
    </w:tbl>
    <w:p>
      <w:pPr>
        <w:jc w:val="both"/>
        <w:ind w:left="460" w:hanging="414"/>
        <w:spacing w:after="0" w:line="254" w:lineRule="auto"/>
        <w:tabs>
          <w:tab w:leader="none" w:pos="4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items for the 12 months ended December 31, 2022 of $2.605 billion consisted of acquisition related costs, restructuring and other charges, impairment of goodwill, impairment of long-lived assets, shareholder activism related costs, business divestiture costs, employee separation costs, strategic initiative costs, Global Shared Services implementation costs, Frutarom acquisition related costs and integration related costs.</w:t>
      </w:r>
    </w:p>
    <w:p>
      <w:pPr>
        <w:spacing w:after="0" w:line="12" w:lineRule="exact"/>
        <w:rPr>
          <w:rFonts w:ascii="Times New Roman" w:cs="Times New Roman" w:eastAsia="Times New Roman" w:hAnsi="Times New Roman"/>
          <w:sz w:val="17"/>
          <w:szCs w:val="17"/>
          <w:color w:val="auto"/>
        </w:rPr>
      </w:pPr>
    </w:p>
    <w:p>
      <w:pPr>
        <w:ind w:left="460" w:hanging="414"/>
        <w:spacing w:after="0" w:line="275" w:lineRule="auto"/>
        <w:tabs>
          <w:tab w:leader="none" w:pos="4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items represent all other adjustments to reconcile net (loss) income to net cash provided by operations as presented on the Statements of Cash Flows, including gains on sale of fixed assets, gains on business disposal and stock-based compensation.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74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bottom w:val="single" w:sz="8" w:color="DDDDDD"/>
            </w:tcBorders>
          </w:tcPr>
          <w:p>
            <w:pPr>
              <w:spacing w:after="0" w:line="20" w:lineRule="exact"/>
              <w:rPr>
                <w:sz w:val="1"/>
                <w:szCs w:val="1"/>
                <w:color w:val="auto"/>
              </w:rPr>
            </w:pPr>
          </w:p>
        </w:tc>
        <w:tc>
          <w:tcPr>
            <w:tcW w:w="5740" w:type="dxa"/>
            <w:vAlign w:val="bottom"/>
            <w:tcBorders>
              <w:bottom w:val="single" w:sz="8" w:color="DDDDDD"/>
            </w:tcBorders>
            <w:vMerge w:val="continue"/>
          </w:tcPr>
          <w:p>
            <w:pPr>
              <w:spacing w:after="0" w:line="20" w:lineRule="exact"/>
              <w:rPr>
                <w:sz w:val="1"/>
                <w:szCs w:val="1"/>
                <w:color w:val="auto"/>
              </w:rPr>
            </w:pPr>
          </w:p>
        </w:tc>
        <w:tc>
          <w:tcPr>
            <w:tcW w:w="40" w:type="dxa"/>
            <w:vAlign w:val="bottom"/>
            <w:tcBorders>
              <w:bottom w:val="single" w:sz="8" w:color="DDDDDD"/>
            </w:tcBorders>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 w:type="dxa"/>
            <w:vAlign w:val="bottom"/>
            <w:shd w:val="clear" w:color="auto" w:fill="DDDDDD"/>
          </w:tcPr>
          <w:p>
            <w:pPr>
              <w:spacing w:after="0"/>
              <w:rPr>
                <w:sz w:val="21"/>
                <w:szCs w:val="21"/>
                <w:color w:val="auto"/>
              </w:rPr>
            </w:pPr>
          </w:p>
        </w:tc>
        <w:tc>
          <w:tcPr>
            <w:tcW w:w="73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73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11"/>
                <w:szCs w:val="11"/>
                <w:color w:val="auto"/>
              </w:rPr>
              <w:t>(2)</w:t>
            </w:r>
          </w:p>
        </w:tc>
        <w:tc>
          <w:tcPr>
            <w:tcW w:w="4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73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60" w:hanging="414"/>
        <w:spacing w:after="0" w:line="270" w:lineRule="auto"/>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debt used for the calculation of net debt consists of short-term debt, long-term debt, short-term finance lease obligations and long-term finance lease obligations.</w:t>
      </w:r>
    </w:p>
    <w:p>
      <w:pPr>
        <w:spacing w:after="0" w:line="6" w:lineRule="exact"/>
        <w:rPr>
          <w:rFonts w:ascii="Times New Roman" w:cs="Times New Roman" w:eastAsia="Times New Roman" w:hAnsi="Times New Roman"/>
          <w:sz w:val="17"/>
          <w:szCs w:val="17"/>
          <w:color w:val="auto"/>
        </w:rPr>
      </w:pPr>
    </w:p>
    <w:p>
      <w:pPr>
        <w:ind w:left="460" w:hanging="414"/>
        <w:spacing w:after="0"/>
        <w:tabs>
          <w:tab w:leader="none" w:pos="4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includes approximately $52 million currently in Assets held for sale on the Consolidated Balance Sheets.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ectPr>
          <w:pgSz w:w="11880" w:h="15480" w:orient="portrait"/>
          <w:cols w:equalWidth="0" w:num="1">
            <w:col w:w="9400"/>
          </w:cols>
          <w:pgMar w:left="1220" w:top="1258" w:right="1260" w:bottom="254" w:gutter="0" w:footer="0" w:header="0"/>
        </w:sectPr>
      </w:pPr>
    </w:p>
    <w:bookmarkStart w:id="49" w:name="page50"/>
    <w:bookmarkEnd w:id="49"/>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As of December 31, 2022, we had $9.330 billion aggregate principal amount outstanding in senior unsecured notes, with $1.380 billion principal amount denominated in EUR and $7.950 billion principal amount denominated in USD, which includes the N&amp;B Senior Notes assumed as a result of the Merger. The notes bear interest ranging from 1.22% per year to 5.12% per year, with maturities from May 1, 2023 to December 1, 2050. See Note 9 to the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Tangible Equity Units - Senior Unsecured Amortizing Notes</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On September 14, 2021, the Company notified holders of the tangible equity units (“TEUs”) that the final settlement rate in respect of each of the prepaid stock purchase contracts (“SPCs”) was 0.330911 shares of IFF’s common stock. On September 15, 2021, 5,460,031 shares of IFF’s common stock were issued in settlement of the SPCs. See Note 11 to the Consolidated Financial Statements for additional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19 to the Consolidated Financial Statements for information related to Other Contingencies</w:t>
      </w:r>
      <w:r>
        <w:rPr>
          <w:rFonts w:ascii="Times New Roman" w:cs="Times New Roman" w:eastAsia="Times New Roman" w:hAnsi="Times New Roman"/>
          <w:sz w:val="18"/>
          <w:szCs w:val="18"/>
          <w:color w:val="101010"/>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w:t>
      </w:r>
    </w:p>
    <w:p>
      <w:pPr>
        <w:spacing w:after="0" w:line="124"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Compliance with existing governmental requirements regulating the discharge of materials into the environment has not materially affected our operations, earnings or competitive position. In 2022 and 2021, we spent approximately $30 million and $64 million on capital projects and $135 million and $78 million in operating expenses and governmental charges, respectively,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The Company believes its balances of cash and cash equivalents, which totaled approximately $535 million as of December 31, 2022, inclusive of $52 million currently in Assets held for sale on the Consolidated Balance Sheets, along with cash generated by ongoing operations and continued access to debt markets, will be sufficient to satisfy its cash requirements and capital return program over the next 12 months and beyond. The Company's material cash requirements include the following contractual and other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and Interest on Borrowings</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As of December 31, 2022, the Company had outstanding floating and fixed rate notes with varying maturities for an aggregate principal amount of approximately $10.580 billion (collectively the “Notes”), with $300 million payable within 12 months. Future interest payments associated with the Notes total approximately $4.006 billion, with $258 million payable within 12 months.</w:t>
      </w:r>
    </w:p>
    <w:p>
      <w:pPr>
        <w:spacing w:after="0" w:line="57"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Company also issues unsecured short-term promissory notes (“Commercial Paper”) pursuant to a commercial paper program. As of December 31, 2022, the Company had $187 million of Commercial Paper outstanding, all of which is payable within 12 months.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the Company had $100 million outstanding under the Amended Revolving Credit Facility.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9 to the Consolidated Financial Statements for a further discussion of our various borrowing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Company has lease arrangements for certain corporate offices, manufacturing facilities, research and development facilities, and certain transportation and office equipment. As of December 31, 2022, the Company had fixed lease payment obligations of approximately $828 million, with $117 million payable within 12 months. See Note 8 to the Consolidated Financial Statements for a further discussion of our various lease arrangements.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Pension and Other Postretirement Obligations</w:t>
      </w:r>
    </w:p>
    <w:p>
      <w:pPr>
        <w:spacing w:after="0" w:line="118" w:lineRule="exact"/>
        <w:rPr>
          <w:sz w:val="20"/>
          <w:szCs w:val="20"/>
          <w:color w:val="auto"/>
        </w:rPr>
      </w:pPr>
    </w:p>
    <w:p>
      <w:pPr>
        <w:jc w:val="both"/>
        <w:ind w:firstLine="329"/>
        <w:spacing w:after="0" w:line="289" w:lineRule="auto"/>
        <w:rPr>
          <w:sz w:val="20"/>
          <w:szCs w:val="20"/>
          <w:color w:val="auto"/>
        </w:rPr>
      </w:pPr>
      <w:r>
        <w:rPr>
          <w:rFonts w:ascii="Times New Roman" w:cs="Times New Roman" w:eastAsia="Times New Roman" w:hAnsi="Times New Roman"/>
          <w:sz w:val="18"/>
          <w:szCs w:val="18"/>
          <w:color w:val="auto"/>
        </w:rPr>
        <w:t>As of December 31, 2022, the Company had pension funding obligations of approximately $788 million, with $73 million payable within 12 months. See Note 15 to the Consolidated Financial Statements for a further discussion of our retirement plans.</w:t>
      </w:r>
    </w:p>
    <w:p>
      <w:pPr>
        <w:spacing w:after="0" w:line="267"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As of December 31, 2022, the Company had postretirement obligations of approximately $36 million, with $3 million payable within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880" w:h="15480" w:orient="portrait"/>
          <w:cols w:equalWidth="0" w:num="1">
            <w:col w:w="9360"/>
          </w:cols>
          <w:pgMar w:left="1260" w:top="1255" w:right="1260" w:bottom="254"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Company has various purchase commitments that include agreements for raw material procurement and contractual capital expenditures. As of December 31, 2022, the Company had purchase commitment obligations of approximately $231 million, with $222 million payable within 12 months.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Tax Reform Toll-Charge</w:t>
      </w:r>
    </w:p>
    <w:p>
      <w:pPr>
        <w:spacing w:after="0" w:line="118" w:lineRule="exact"/>
        <w:rPr>
          <w:sz w:val="20"/>
          <w:szCs w:val="20"/>
          <w:color w:val="auto"/>
        </w:rPr>
      </w:pPr>
    </w:p>
    <w:p>
      <w:pPr>
        <w:jc w:val="both"/>
        <w:ind w:firstLine="329"/>
        <w:spacing w:after="0" w:line="276" w:lineRule="auto"/>
        <w:rPr>
          <w:sz w:val="20"/>
          <w:szCs w:val="20"/>
          <w:color w:val="auto"/>
        </w:rPr>
      </w:pPr>
      <w:r>
        <w:rPr>
          <w:rFonts w:ascii="Times New Roman" w:cs="Times New Roman" w:eastAsia="Times New Roman" w:hAnsi="Times New Roman"/>
          <w:sz w:val="18"/>
          <w:szCs w:val="18"/>
          <w:color w:val="auto"/>
        </w:rPr>
        <w:t>The Company has obligations related to a 2017 U.S. tax reform “toll-charge” that is payable in installments over 8 years beginning in 2018. As a result of the Merger with N&amp;B, the remaining toll-charge obligations were accelerated and paid in full in the amount of approximately $39 million in 2022. As of December 31, 2022, there were no toll-charge obligations remaining.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these estimates.</w:t>
      </w:r>
    </w:p>
    <w:p>
      <w:pPr>
        <w:spacing w:after="0" w:line="61"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Those areas requiring the greatest degree of management judgment or deemed most critical to our financial reporting involve: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8"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101010"/>
        </w:rPr>
        <w:t>From time to time we enter into strategic acquisitions in an effort to better service existing customers and to attain new customers. When we acquire a controlling financial interest in an entity or group of assets that are determined to meet the definition of a business, we apply the acquisition method described in ASC Topic 805, Business Combinations. In accordance with GAAP, the results of the acquisitions we have completed are reflected in our financial statements from the date of acquisition forward.</w:t>
      </w:r>
    </w:p>
    <w:p>
      <w:pPr>
        <w:spacing w:after="0" w:line="61"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101010"/>
        </w:rPr>
        <w:t>We allocate the purchase consideration paid to acquire the business to the assets acquired and liabilities assumed based on estimated fair values at the acquisition date, with the excess of purchase price over the estimated fair value of the net assets acquired recorded as goodwill. If during the measurement period (a period not to exceed twelve months from the acquisition date) we receive additional information that existed as of the acquisition date but at the time of the original allocation described above was unknown to us, we make the appropriate adjustments to the purchase price allocation in the reporting period in which the amounts are determined.</w:t>
      </w:r>
    </w:p>
    <w:p>
      <w:pPr>
        <w:spacing w:after="0" w:line="66"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101010"/>
        </w:rPr>
        <w:t>Significant judgment is required to estimate the intangibles and fair value of fixed assets and in assigning their respective useful lives. Accordingly, we typically engage third-party valuation specialists, who work under the direction of management, to assist in valuing significant tangible and intangible assets acquired.</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101010"/>
        </w:rPr>
        <w:t>The fair value estimates are based on available historical information, future expectations and assumptions deemed reasonable by management, but are inherently uncertain.</w:t>
      </w:r>
    </w:p>
    <w:p>
      <w:pPr>
        <w:spacing w:after="0" w:line="30"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101010"/>
        </w:rPr>
        <w:t>We typically use an income method to estimate the fair value of intangible assets, which is based on forecasts of the expected future cash flows attributable to the respective assets. Significant estimates and assumptions inherent in the valuations reflect a consideration of other marketplace participants, and include the amount and timing of future cash flows (including expected growth rates, discount rates and profitability), royalty rates used in the relief of royalty method, customer attrition rates, product obsolescence factors, a brand’s relative market position and the discount rate applied to the cash flows. Unanticipated market or macroeconomic events and circumstances may occur, which could affect the accuracy or validity of the estimates and assumptions.</w:t>
      </w:r>
    </w:p>
    <w:p>
      <w:pPr>
        <w:spacing w:after="0" w:line="65"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101010"/>
        </w:rPr>
        <w:t>Determining the useful life of an intangible asset also requires significant judgment. All of our acquired intangible assets (e.g., trademarks, product formulas, non-compete agreements and customer relationships) are expected to have finite useful lives. Our estimates of the useful lives of finite-lived intangible assets are based on a number of factors including competitive environment, market share, brand history, operating plans and the macroeconomic environment of the regions in which the brands are sold.</w:t>
      </w:r>
    </w:p>
    <w:p>
      <w:pPr>
        <w:spacing w:after="0" w:line="61"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101010"/>
        </w:rPr>
        <w:t>The costs of finite-lived intangible assets are amortized through expense over their estimated lives. The value of residual goodwill is not amortized, but is tested at least annually for impairment as described in the following note. For acquired intangible assets, the remaining useful life of the trade names and trademarks, product formulas, and customer relationships was estimated at the point at which substantially all of the present value of cumulative cash flows have been earned.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880" w:h="15480" w:orient="portrait"/>
          <w:cols w:equalWidth="0" w:num="1">
            <w:col w:w="9360"/>
          </w:cols>
          <w:pgMar w:left="1260" w:top="1258" w:right="1260" w:bottom="254"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The Periodic Assessment of Potential Impairment of Goodwill</w:t>
      </w:r>
    </w:p>
    <w:p>
      <w:pPr>
        <w:spacing w:after="0" w:line="118" w:lineRule="exact"/>
        <w:rPr>
          <w:sz w:val="20"/>
          <w:szCs w:val="20"/>
          <w:color w:val="auto"/>
        </w:rPr>
      </w:pPr>
    </w:p>
    <w:p>
      <w:pPr>
        <w:jc w:val="both"/>
        <w:ind w:right="20" w:firstLine="328"/>
        <w:spacing w:after="0" w:line="269" w:lineRule="auto"/>
        <w:rPr>
          <w:sz w:val="20"/>
          <w:szCs w:val="20"/>
          <w:color w:val="auto"/>
        </w:rPr>
      </w:pPr>
      <w:r>
        <w:rPr>
          <w:rFonts w:ascii="Times New Roman" w:cs="Times New Roman" w:eastAsia="Times New Roman" w:hAnsi="Times New Roman"/>
          <w:sz w:val="18"/>
          <w:szCs w:val="18"/>
          <w:color w:val="auto"/>
        </w:rPr>
        <w:t>As of December 31, 2022, we have goodwill of approximately $13.355 billion. We test goodwill for 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57" w:lineRule="exact"/>
        <w:rPr>
          <w:sz w:val="20"/>
          <w:szCs w:val="20"/>
          <w:color w:val="auto"/>
        </w:rPr>
      </w:pPr>
    </w:p>
    <w:p>
      <w:pPr>
        <w:jc w:val="both"/>
        <w:ind w:right="20" w:firstLine="328"/>
        <w:spacing w:after="0" w:line="262" w:lineRule="auto"/>
        <w:rPr>
          <w:sz w:val="20"/>
          <w:szCs w:val="20"/>
          <w:color w:val="auto"/>
        </w:rPr>
      </w:pPr>
      <w:r>
        <w:rPr>
          <w:rFonts w:ascii="Times New Roman" w:cs="Times New Roman" w:eastAsia="Times New Roman" w:hAnsi="Times New Roman"/>
          <w:sz w:val="18"/>
          <w:szCs w:val="18"/>
          <w:color w:val="auto"/>
        </w:rPr>
        <w:t>We identify our reporting units by assessing whether the components of our operating segments constitute businesses for which discrete financial information is available and management of each operating segment regularly reviews the operating results of those components. Components within a segment that have similar economic characteristics have been aggregated as a single reporting unit. We determined that we have six reporting units under the Nourish, Health &amp; Biosciences, Scent and Pharma Solutions segments: (1) Nourish, (2) Fragrance Compounds, (3) Fragrance Ingredients, (4) Cosmetic Actives, (5) Health &amp; Biosciences and (6) Pharma Solutions.</w:t>
      </w:r>
    </w:p>
    <w:p>
      <w:pPr>
        <w:spacing w:after="0" w:line="66" w:lineRule="exact"/>
        <w:rPr>
          <w:sz w:val="20"/>
          <w:szCs w:val="20"/>
          <w:color w:val="auto"/>
        </w:rPr>
      </w:pPr>
    </w:p>
    <w:p>
      <w:pPr>
        <w:jc w:val="both"/>
        <w:ind w:right="20" w:firstLine="328"/>
        <w:spacing w:after="0" w:line="269" w:lineRule="auto"/>
        <w:rPr>
          <w:sz w:val="20"/>
          <w:szCs w:val="20"/>
          <w:color w:val="auto"/>
        </w:rPr>
      </w:pPr>
      <w:r>
        <w:rPr>
          <w:rFonts w:ascii="Times New Roman" w:cs="Times New Roman" w:eastAsia="Times New Roman" w:hAnsi="Times New Roman"/>
          <w:sz w:val="18"/>
          <w:szCs w:val="18"/>
          <w:color w:val="auto"/>
        </w:rPr>
        <w:t>For the annual impairment test as of November 30, 2022, we elected to bypass the qualitative assessment for all reporting units, Step 0 of the guidance in ASC Topic 350, Intangibles – Goodwill and Other, which allows for the assessment of qualitative factors to determine whether it is more likely than not that the fair value of a reporting unit is less than its carrying value. For all six reporting units, we performed a Step 1 test.</w:t>
      </w:r>
    </w:p>
    <w:p>
      <w:pPr>
        <w:spacing w:after="0" w:line="57"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We assessed the fair value of the reporting units using an income approach. Under the income approach, we determined the fair value by using a discounted cash flow method at a rate of return that reflects the relative risk of the projected future cash flows of each reporting unit, as well as a terminal value. We used the most current actual and forecasted operating data available. Key estimates and assumptions used in these valuations include revenue growth rates, gross margins, EBITDA margins, terminal growth rates and discount rates.</w:t>
      </w:r>
    </w:p>
    <w:p>
      <w:pPr>
        <w:spacing w:after="0" w:line="61" w:lineRule="exact"/>
        <w:rPr>
          <w:sz w:val="20"/>
          <w:szCs w:val="20"/>
          <w:color w:val="auto"/>
        </w:rPr>
      </w:pPr>
    </w:p>
    <w:p>
      <w:pPr>
        <w:jc w:val="both"/>
        <w:ind w:right="20" w:firstLine="329"/>
        <w:spacing w:after="0" w:line="265" w:lineRule="auto"/>
        <w:rPr>
          <w:sz w:val="20"/>
          <w:szCs w:val="20"/>
          <w:color w:val="auto"/>
        </w:rPr>
      </w:pPr>
      <w:r>
        <w:rPr>
          <w:rFonts w:ascii="Times New Roman" w:cs="Times New Roman" w:eastAsia="Times New Roman" w:hAnsi="Times New Roman"/>
          <w:sz w:val="18"/>
          <w:szCs w:val="18"/>
          <w:color w:val="auto"/>
        </w:rPr>
        <w:t>In performing the quantitative impairment test, we determined that the fair value of the six reporting units exceeded their carrying values and determined that there was no further impairment of goodwill at any of our six reporting units as of November 30, 2022. Based on the quantitative impairment test performed, we determined that all reporting units except the Health &amp; Biosciences reporting unit had excess fair value over carrying value of more than 25%. The Health &amp; Biosciences reporting unit had excess fair value over carrying value of approximately 3%.</w:t>
      </w:r>
    </w:p>
    <w:p>
      <w:pPr>
        <w:spacing w:after="0" w:line="61" w:lineRule="exact"/>
        <w:rPr>
          <w:sz w:val="20"/>
          <w:szCs w:val="20"/>
          <w:color w:val="auto"/>
        </w:rPr>
      </w:pPr>
    </w:p>
    <w:p>
      <w:pPr>
        <w:jc w:val="both"/>
        <w:ind w:right="20" w:firstLine="329"/>
        <w:spacing w:after="0" w:line="276" w:lineRule="auto"/>
        <w:rPr>
          <w:sz w:val="20"/>
          <w:szCs w:val="20"/>
          <w:color w:val="auto"/>
        </w:rPr>
      </w:pPr>
      <w:r>
        <w:rPr>
          <w:rFonts w:ascii="Times New Roman" w:cs="Times New Roman" w:eastAsia="Times New Roman" w:hAnsi="Times New Roman"/>
          <w:sz w:val="18"/>
          <w:szCs w:val="18"/>
          <w:color w:val="auto"/>
        </w:rPr>
        <w:t>If current long-term projections for these reporting units are not realized or materially decrease, we may be required to write-off all or a portion of the goodwill. Such charge could have a material effect on the Consolidated Statements of Operations and Balance Sheets.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101010"/>
        </w:rPr>
        <w:t>For the third quarter of 2022, we determined that goodwill impairment triggering events occurred for our Nourish, Health</w:t>
      </w:r>
    </w:p>
    <w:p>
      <w:pPr>
        <w:spacing w:after="0" w:line="12" w:lineRule="exact"/>
        <w:rPr>
          <w:sz w:val="20"/>
          <w:szCs w:val="20"/>
          <w:color w:val="auto"/>
        </w:rPr>
      </w:pPr>
    </w:p>
    <w:p>
      <w:pPr>
        <w:ind w:right="20" w:firstLine="6"/>
        <w:spacing w:after="0" w:line="300" w:lineRule="auto"/>
        <w:tabs>
          <w:tab w:leader="none" w:pos="205" w:val="left"/>
        </w:tabs>
        <w:numPr>
          <w:ilvl w:val="0"/>
          <w:numId w:val="23"/>
        </w:numPr>
        <w:rPr>
          <w:rFonts w:ascii="Times New Roman" w:cs="Times New Roman" w:eastAsia="Times New Roman" w:hAnsi="Times New Roman"/>
          <w:sz w:val="18"/>
          <w:szCs w:val="18"/>
          <w:color w:val="101010"/>
        </w:rPr>
      </w:pPr>
      <w:r>
        <w:rPr>
          <w:rFonts w:ascii="Times New Roman" w:cs="Times New Roman" w:eastAsia="Times New Roman" w:hAnsi="Times New Roman"/>
          <w:sz w:val="18"/>
          <w:szCs w:val="18"/>
          <w:color w:val="101010"/>
        </w:rPr>
        <w:t>Biosciences and Pharma Solutions reporting units, which required us to complete an interim impairment assessment. As a result of the triggering events, we assessed the fair value of the reporting units using the income approach.</w:t>
      </w:r>
    </w:p>
    <w:p>
      <w:pPr>
        <w:spacing w:after="0" w:line="30" w:lineRule="exact"/>
        <w:rPr>
          <w:sz w:val="20"/>
          <w:szCs w:val="20"/>
          <w:color w:val="auto"/>
        </w:rPr>
      </w:pPr>
    </w:p>
    <w:p>
      <w:pPr>
        <w:jc w:val="both"/>
        <w:ind w:right="20" w:firstLine="328"/>
        <w:spacing w:after="0" w:line="263" w:lineRule="auto"/>
        <w:rPr>
          <w:sz w:val="20"/>
          <w:szCs w:val="20"/>
          <w:color w:val="auto"/>
        </w:rPr>
      </w:pPr>
      <w:r>
        <w:rPr>
          <w:rFonts w:ascii="Times New Roman" w:cs="Times New Roman" w:eastAsia="Times New Roman" w:hAnsi="Times New Roman"/>
          <w:sz w:val="18"/>
          <w:szCs w:val="18"/>
          <w:color w:val="101010"/>
        </w:rPr>
        <w:t xml:space="preserve">In performing the quantitative impairment test, we determined that the fair value of the Nourish and Pharma Solutions reporting units exceeded their carrying value, and determined that there was no impairment of goodwill relating to these reporting units. We determined that the carrying value of the Health &amp; Biosciences reporting unit exceeded its fair value and recorded a goodwill impairment charge of </w:t>
      </w:r>
      <w:r>
        <w:rPr>
          <w:rFonts w:ascii="Times New Roman" w:cs="Times New Roman" w:eastAsia="Times New Roman" w:hAnsi="Times New Roman"/>
          <w:sz w:val="18"/>
          <w:szCs w:val="18"/>
          <w:color w:val="000000"/>
        </w:rPr>
        <w:t>$2.250 billion</w:t>
      </w:r>
      <w:r>
        <w:rPr>
          <w:rFonts w:ascii="Times New Roman" w:cs="Times New Roman" w:eastAsia="Times New Roman" w:hAnsi="Times New Roman"/>
          <w:sz w:val="18"/>
          <w:szCs w:val="18"/>
          <w:color w:val="101010"/>
        </w:rPr>
        <w:t xml:space="preserve"> in the Consolidated Statements of (Loss) Income and Comprehensive (Loss) Income for the year ended December 31, 2022 (see Note 6 to the Consolidated Financial Statements for additional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Periodic Assessment of Potential Impairment of Long-lived Assets</w:t>
      </w:r>
    </w:p>
    <w:p>
      <w:pPr>
        <w:spacing w:after="0" w:line="118" w:lineRule="exact"/>
        <w:rPr>
          <w:sz w:val="20"/>
          <w:szCs w:val="20"/>
          <w:color w:val="auto"/>
        </w:rPr>
      </w:pPr>
    </w:p>
    <w:p>
      <w:pPr>
        <w:jc w:val="both"/>
        <w:ind w:right="20" w:firstLine="328"/>
        <w:spacing w:after="0" w:line="269" w:lineRule="auto"/>
        <w:rPr>
          <w:sz w:val="20"/>
          <w:szCs w:val="20"/>
          <w:color w:val="auto"/>
        </w:rPr>
      </w:pPr>
      <w:r>
        <w:rPr>
          <w:rFonts w:ascii="Times New Roman" w:cs="Times New Roman" w:eastAsia="Times New Roman" w:hAnsi="Times New Roman"/>
          <w:sz w:val="18"/>
          <w:szCs w:val="18"/>
          <w:color w:val="auto"/>
        </w:rPr>
        <w:t>We review long-lived assets for impairment when events or changes in business 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57" w:lineRule="exact"/>
        <w:rPr>
          <w:sz w:val="20"/>
          <w:szCs w:val="20"/>
          <w:color w:val="auto"/>
        </w:rPr>
      </w:pPr>
    </w:p>
    <w:p>
      <w:pPr>
        <w:jc w:val="both"/>
        <w:ind w:right="20" w:firstLine="328"/>
        <w:spacing w:after="0" w:line="269" w:lineRule="auto"/>
        <w:rPr>
          <w:sz w:val="20"/>
          <w:szCs w:val="20"/>
          <w:color w:val="auto"/>
        </w:rPr>
      </w:pPr>
      <w:r>
        <w:rPr>
          <w:rFonts w:ascii="Times New Roman" w:cs="Times New Roman" w:eastAsia="Times New Roman" w:hAnsi="Times New Roman"/>
          <w:sz w:val="18"/>
          <w:szCs w:val="18"/>
          <w:color w:val="auto"/>
        </w:rPr>
        <w:t xml:space="preserve">As previously mentioned, due to the uncertainties related to our operations in Russia and Ukraine, we recorded a charge of approximately $120 million related to the impairment of certain long-lived assets in Russia </w:t>
      </w:r>
      <w:r>
        <w:rPr>
          <w:rFonts w:ascii="Times New Roman" w:cs="Times New Roman" w:eastAsia="Times New Roman" w:hAnsi="Times New Roman"/>
          <w:sz w:val="18"/>
          <w:szCs w:val="18"/>
          <w:color w:val="101010"/>
        </w:rPr>
        <w:t>in the Consolidated Statements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01010"/>
        </w:rPr>
        <w:t>(Loss) Income and Comprehensive (Loss) Income for the year ended December 31, 2022 (see Note 1 to the Consolidated Financial Statements for additional information)</w:t>
      </w:r>
      <w:r>
        <w:rPr>
          <w:rFonts w:ascii="Times New Roman" w:cs="Times New Roman" w:eastAsia="Times New Roman" w:hAnsi="Times New Roman"/>
          <w:sz w:val="18"/>
          <w:szCs w:val="18"/>
          <w:color w:val="000000"/>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1 to the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880" w:h="15480" w:orient="portrait"/>
          <w:cols w:equalWidth="0" w:num="1">
            <w:col w:w="9380"/>
          </w:cols>
          <w:pgMar w:left="1260" w:top="1258" w:right="1240" w:bottom="254"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4"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We use non-GAAP financial measures in this Form 10-K, including: (i) currency neutral metrics and (ii) adjusted operating EBITDA and adjusted operating EBITDA margin. We also provide the non-GAAP measure net debt solely for the purpose of providing information on the extent to which the Company is in compliance with debt covenants contained in its debt agreements. Our non-GAAP financial measures are defined below.</w:t>
      </w:r>
    </w:p>
    <w:p>
      <w:pPr>
        <w:spacing w:after="0" w:line="57" w:lineRule="exact"/>
        <w:rPr>
          <w:sz w:val="20"/>
          <w:szCs w:val="20"/>
          <w:color w:val="auto"/>
        </w:rPr>
      </w:pPr>
    </w:p>
    <w:p>
      <w:pPr>
        <w:jc w:val="both"/>
        <w:ind w:firstLine="411"/>
        <w:spacing w:after="0" w:line="260" w:lineRule="auto"/>
        <w:rPr>
          <w:sz w:val="20"/>
          <w:szCs w:val="20"/>
          <w:color w:val="auto"/>
        </w:rPr>
      </w:pPr>
      <w:r>
        <w:rPr>
          <w:rFonts w:ascii="Times New Roman" w:cs="Times New Roman" w:eastAsia="Times New Roman" w:hAnsi="Times New Roman"/>
          <w:sz w:val="18"/>
          <w:szCs w:val="18"/>
          <w:color w:val="auto"/>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spacing w:after="0" w:line="66"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Adjusted operating EBITDA and adjusted operating EBITDA margin exclude depreciation and amortization expense, interest expense, other (expense) income, net, restructuring and other charges and certain non-recurring or unusual items such as acquisition related costs, gains on sale of fixed assets, impairment of goodwill, impairment of long-lived assets, shareholder activism related costs, business divestiture costs, employee separation costs, strategic initiative costs, Global Shared Services implementation costs, Frutarom acquisition related costs, N&amp;B inventory step-up costs, N&amp;B transaction related costs and integration related costs.</w:t>
      </w:r>
    </w:p>
    <w:p>
      <w:pPr>
        <w:spacing w:after="0" w:line="66"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Net debt to credit adjusted EBITDA is the leverage ratio used in our credit agreement and defined as net debt divided by credit adjusted EBITDA. However, as credit adjusted EBITDA for these purposes was calculated in accordance with the provisions of the credit agreement, it may differ from the calculation used for adjusted operating EBITDA.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Under the Private Securities Litigation Reform Act of 1995</w:t>
      </w:r>
    </w:p>
    <w:p>
      <w:pPr>
        <w:spacing w:after="0" w:line="126" w:lineRule="exact"/>
        <w:rPr>
          <w:sz w:val="20"/>
          <w:szCs w:val="20"/>
          <w:color w:val="auto"/>
        </w:rPr>
      </w:pPr>
    </w:p>
    <w:p>
      <w:pPr>
        <w:jc w:val="both"/>
        <w:ind w:firstLine="329"/>
        <w:spacing w:after="0" w:line="255" w:lineRule="auto"/>
        <w:rPr>
          <w:sz w:val="20"/>
          <w:szCs w:val="20"/>
          <w:color w:val="auto"/>
        </w:rPr>
      </w:pPr>
      <w:r>
        <w:rPr>
          <w:rFonts w:ascii="Times New Roman" w:cs="Times New Roman" w:eastAsia="Times New Roman" w:hAnsi="Times New Roman"/>
          <w:sz w:val="18"/>
          <w:szCs w:val="18"/>
          <w:color w:val="auto"/>
        </w:rPr>
        <w:t>Statements in this Form 10-K,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the expected impact of global supply chain challenges; (ii) expectations regarding sales and profit for the fiscal year 2023, including the impact of foreign exchange, pricing actions, raw materials, energy, and sourcing, logistics and manufacturing costs; (iii) expectations of the impact of inflationary pressures and the pricing actions to offset exposure to such impacts; (iv) the impact of high input costs, including commodities, raw materials, transportation and energy; (v) our ability to drive cost discipline measures and the ability to recover margin to pre-inflation levels; (vi) the progress of our portfolio optimization strategy, through non-core business divestitures and acquisitions, and expectations regarding the implementation of our refreshed growth-focused strategy; (vii) the ongoing impact of COVID-19 and our plans to respond to its global implications; (viii) the success of our integration efforts, following the N&amp;B Transaction, and ability to deliver on our synergy commitments as well as future opportunities for the combined company; (ix) the success of the optimization of our portfolio; (x) the impact of global economic uncertainty and recessionary pressures on demand for consumer products; (xi) the growth potential of the markets in which we operate, including the emerging markets, (xii) expected capital expenditures in 2023; (xiii) the expected costs and benefits of our ongoing optimization of our manufacturing operations, including the expected number of closings; (xiv) expected cash flow and availability of capital resources to fund our operations and meet our debt service requirements; (xv) our ability to enhance our innovation efforts, drive cost efficiencies and execute on specific consumer trends and demands; (xvi) our strategic investments in capacity and increasing inventory to drive improved profitability; and (xvii) our ability to continue to generate value for, and return cash to, our shareholders.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risks, uncertainties and other factors include, among others, the following:</w:t>
      </w:r>
    </w:p>
    <w:p>
      <w:pPr>
        <w:spacing w:after="0" w:line="297" w:lineRule="exact"/>
        <w:rPr>
          <w:sz w:val="20"/>
          <w:szCs w:val="20"/>
          <w:color w:val="auto"/>
        </w:rPr>
      </w:pPr>
    </w:p>
    <w:p>
      <w:pPr>
        <w:ind w:left="660" w:hanging="32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trends, including in the price of our input costs, such as raw materials, transportation and energy;</w:t>
      </w:r>
    </w:p>
    <w:p>
      <w:pPr>
        <w:spacing w:after="0" w:line="68" w:lineRule="exact"/>
        <w:rPr>
          <w:rFonts w:ascii="Times New Roman" w:cs="Times New Roman" w:eastAsia="Times New Roman" w:hAnsi="Times New Roman"/>
          <w:sz w:val="18"/>
          <w:szCs w:val="18"/>
          <w:color w:val="auto"/>
        </w:rPr>
      </w:pPr>
    </w:p>
    <w:p>
      <w:pPr>
        <w:ind w:left="660" w:hanging="327"/>
        <w:spacing w:after="0" w:line="28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geopolitical developments, including the Russia-Ukraine conflict, or climate-change related events (including severe weather events) that may affect our suppliers or procurement of raw materials;</w:t>
      </w:r>
    </w:p>
    <w:p>
      <w:pPr>
        <w:spacing w:after="0" w:line="1" w:lineRule="exact"/>
        <w:rPr>
          <w:rFonts w:ascii="Times New Roman" w:cs="Times New Roman" w:eastAsia="Times New Roman" w:hAnsi="Times New Roman"/>
          <w:sz w:val="18"/>
          <w:szCs w:val="18"/>
          <w:color w:val="auto"/>
        </w:rPr>
      </w:pPr>
    </w:p>
    <w:p>
      <w:pPr>
        <w:ind w:left="660" w:hanging="32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the next phase of our strategic transformation;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880" w:h="15480" w:orient="portrait"/>
          <w:cols w:equalWidth="0" w:num="1">
            <w:col w:w="9360"/>
          </w:cols>
          <w:pgMar w:left="1260" w:top="1252" w:right="1260" w:bottom="254" w:gutter="0" w:footer="0" w:header="0"/>
        </w:sectPr>
      </w:pPr>
    </w:p>
    <w:bookmarkStart w:id="53" w:name="page54"/>
    <w:bookmarkEnd w:id="53"/>
    <w:p>
      <w:pPr>
        <w:ind w:left="480" w:hanging="326"/>
        <w:spacing w:after="0" w:line="28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integration of the N&amp;B business, including whether we will realize the benefits anticipated from the merger in the expected time frame;</w:t>
      </w:r>
    </w:p>
    <w:p>
      <w:pPr>
        <w:ind w:left="480" w:hanging="326"/>
        <w:spacing w:after="0" w:line="286"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amount of indebtedness and its impact on our liquidity, credit ratings and ability to return capital to its shareholders;</w:t>
      </w:r>
    </w:p>
    <w:p>
      <w:pPr>
        <w:spacing w:after="0" w:line="1" w:lineRule="exact"/>
        <w:rPr>
          <w:rFonts w:ascii="Times New Roman" w:cs="Times New Roman" w:eastAsia="Times New Roman" w:hAnsi="Times New Roman"/>
          <w:sz w:val="18"/>
          <w:szCs w:val="18"/>
          <w:color w:val="auto"/>
        </w:rPr>
      </w:pPr>
    </w:p>
    <w:p>
      <w:pPr>
        <w:ind w:left="480" w:hanging="326"/>
        <w:spacing w:after="0" w:line="28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close strategic transactions or divestments, or successfully establish and manage acquisitions, collaborations, joint ventures or partnerships;</w:t>
      </w:r>
    </w:p>
    <w:p>
      <w:pPr>
        <w:ind w:left="480" w:hanging="326"/>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market to our expanded and diverse customer base;</w:t>
      </w:r>
    </w:p>
    <w:p>
      <w:pPr>
        <w:spacing w:after="0" w:line="68"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our market and develop and introduce new products that meet customers’ needs;</w:t>
      </w:r>
    </w:p>
    <w:p>
      <w:pPr>
        <w:spacing w:after="0" w:line="64"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employees;</w:t>
      </w:r>
    </w:p>
    <w:p>
      <w:pPr>
        <w:spacing w:after="0" w:line="68" w:lineRule="exact"/>
        <w:rPr>
          <w:rFonts w:ascii="Times New Roman" w:cs="Times New Roman" w:eastAsia="Times New Roman" w:hAnsi="Times New Roman"/>
          <w:sz w:val="18"/>
          <w:szCs w:val="18"/>
          <w:color w:val="auto"/>
        </w:rPr>
      </w:pPr>
    </w:p>
    <w:p>
      <w:pPr>
        <w:ind w:left="480" w:hanging="327"/>
        <w:spacing w:after="0" w:line="28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from large multi-national customers due to increased competition and our ability to maintain “core list” status with customers;</w:t>
      </w:r>
    </w:p>
    <w:p>
      <w:pPr>
        <w:ind w:left="480" w:hanging="327"/>
        <w:spacing w:after="0" w:line="286"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innovative and cost-effective products that allow customers to achieve their own profitability expectations;</w:t>
      </w:r>
    </w:p>
    <w:p>
      <w:pPr>
        <w:spacing w:after="0" w:line="1" w:lineRule="exact"/>
        <w:rPr>
          <w:rFonts w:ascii="Times New Roman" w:cs="Times New Roman" w:eastAsia="Times New Roman" w:hAnsi="Times New Roman"/>
          <w:sz w:val="18"/>
          <w:szCs w:val="18"/>
          <w:color w:val="auto"/>
        </w:rPr>
      </w:pPr>
    </w:p>
    <w:p>
      <w:pPr>
        <w:ind w:left="480" w:hanging="327"/>
        <w:spacing w:after="0" w:line="28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health crises, such as the COVID-19 pandemic, on our supply chains, global operations, our customers and our suppliers;</w:t>
      </w:r>
    </w:p>
    <w:p>
      <w:pPr>
        <w:jc w:val="both"/>
        <w:ind w:left="480" w:hanging="327"/>
        <w:spacing w:after="0" w:line="269"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development, manufacture, distribution or sale of our products from natural disasters (such as the COVID-19 pandemic), public health crises, international conflicts (such as the Russia and Ukraine Conflict), terrorist acts, labor strikes, political or economic crises (such as the uncertainty related to protracted U.S. federal debt ceiling negotiations), accidents and similar events;</w:t>
      </w:r>
    </w:p>
    <w:p>
      <w:pPr>
        <w:spacing w:after="0" w:line="3" w:lineRule="exact"/>
        <w:rPr>
          <w:rFonts w:ascii="Times New Roman" w:cs="Times New Roman" w:eastAsia="Times New Roman" w:hAnsi="Times New Roman"/>
          <w:sz w:val="18"/>
          <w:szCs w:val="18"/>
          <w:color w:val="auto"/>
        </w:rPr>
      </w:pPr>
    </w:p>
    <w:p>
      <w:pPr>
        <w:ind w:left="480" w:hanging="327"/>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increases in the price of raw materials, energy and transportation;</w:t>
      </w:r>
    </w:p>
    <w:p>
      <w:pPr>
        <w:spacing w:after="0" w:line="64" w:lineRule="exact"/>
        <w:rPr>
          <w:rFonts w:ascii="Times New Roman" w:cs="Times New Roman" w:eastAsia="Times New Roman" w:hAnsi="Times New Roman"/>
          <w:sz w:val="18"/>
          <w:szCs w:val="18"/>
          <w:color w:val="auto"/>
        </w:rPr>
      </w:pPr>
    </w:p>
    <w:p>
      <w:pPr>
        <w:ind w:left="480" w:hanging="328"/>
        <w:spacing w:after="0" w:line="286"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significant data breach or other disruption in our information technology systems, and our ability to comply with data protection laws in the U.S. and abroad;</w:t>
      </w:r>
    </w:p>
    <w:p>
      <w:pPr>
        <w:spacing w:after="0" w:line="1" w:lineRule="exact"/>
        <w:rPr>
          <w:rFonts w:ascii="Times New Roman" w:cs="Times New Roman" w:eastAsia="Times New Roman" w:hAnsi="Times New Roman"/>
          <w:sz w:val="18"/>
          <w:szCs w:val="18"/>
          <w:color w:val="auto"/>
        </w:rPr>
      </w:pPr>
    </w:p>
    <w:p>
      <w:pPr>
        <w:ind w:left="480" w:hanging="328"/>
        <w:spacing w:after="0" w:line="28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costs associated with compliance with, regulatory requirements and industry standards, including regarding product safety, quality, efficacy and environmental impact;</w:t>
      </w:r>
    </w:p>
    <w:p>
      <w:pPr>
        <w:ind w:left="480" w:hanging="328"/>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increasing customer, consumer, shareholder and regulatory focus on sustainability;</w:t>
      </w:r>
    </w:p>
    <w:p>
      <w:pPr>
        <w:spacing w:after="0" w:line="68" w:lineRule="exact"/>
        <w:rPr>
          <w:rFonts w:ascii="Times New Roman" w:cs="Times New Roman" w:eastAsia="Times New Roman" w:hAnsi="Times New Roman"/>
          <w:sz w:val="18"/>
          <w:szCs w:val="18"/>
          <w:color w:val="auto"/>
        </w:rPr>
      </w:pPr>
    </w:p>
    <w:p>
      <w:pPr>
        <w:ind w:left="480" w:hanging="328"/>
        <w:spacing w:after="0" w:line="28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quality issues (including product recalls), inadequate disclosure or misuse with respect to the products and capabilities;</w:t>
      </w:r>
    </w:p>
    <w:p>
      <w:pPr>
        <w:ind w:left="480" w:hanging="328"/>
        <w:spacing w:after="0" w:line="286"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react in a timely and cost-effective manner to changes in consumer preferences and demands, including increased awareness of health and wellness;</w:t>
      </w:r>
    </w:p>
    <w:p>
      <w:pPr>
        <w:spacing w:after="0" w:line="1" w:lineRule="exact"/>
        <w:rPr>
          <w:rFonts w:ascii="Times New Roman" w:cs="Times New Roman" w:eastAsia="Times New Roman" w:hAnsi="Times New Roman"/>
          <w:sz w:val="18"/>
          <w:szCs w:val="18"/>
          <w:color w:val="auto"/>
        </w:rPr>
      </w:pPr>
    </w:p>
    <w:p>
      <w:pPr>
        <w:ind w:left="480" w:hanging="328"/>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our investments and expansion in emerging markets;</w:t>
      </w:r>
    </w:p>
    <w:p>
      <w:pPr>
        <w:spacing w:after="0" w:line="64" w:lineRule="exact"/>
        <w:rPr>
          <w:rFonts w:ascii="Times New Roman" w:cs="Times New Roman" w:eastAsia="Times New Roman" w:hAnsi="Times New Roman"/>
          <w:sz w:val="18"/>
          <w:szCs w:val="18"/>
          <w:color w:val="auto"/>
        </w:rPr>
      </w:pPr>
    </w:p>
    <w:p>
      <w:pPr>
        <w:ind w:left="480" w:hanging="328"/>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 or devaluations in the principal foreign markets in which we operate;</w:t>
      </w:r>
    </w:p>
    <w:p>
      <w:pPr>
        <w:spacing w:after="0" w:line="68" w:lineRule="exact"/>
        <w:rPr>
          <w:rFonts w:ascii="Times New Roman" w:cs="Times New Roman" w:eastAsia="Times New Roman" w:hAnsi="Times New Roman"/>
          <w:sz w:val="18"/>
          <w:szCs w:val="18"/>
          <w:color w:val="auto"/>
        </w:rPr>
      </w:pPr>
    </w:p>
    <w:p>
      <w:pPr>
        <w:ind w:left="480" w:hanging="328"/>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and political risks associated with our international operations;</w:t>
      </w:r>
    </w:p>
    <w:p>
      <w:pPr>
        <w:spacing w:after="0" w:line="64" w:lineRule="exact"/>
        <w:rPr>
          <w:rFonts w:ascii="Times New Roman" w:cs="Times New Roman" w:eastAsia="Times New Roman" w:hAnsi="Times New Roman"/>
          <w:sz w:val="18"/>
          <w:szCs w:val="18"/>
          <w:color w:val="auto"/>
        </w:rPr>
      </w:pPr>
    </w:p>
    <w:p>
      <w:pPr>
        <w:ind w:left="480" w:hanging="328"/>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uncertainty (including increased inflation) on demand for consumer products;</w:t>
      </w:r>
    </w:p>
    <w:p>
      <w:pPr>
        <w:spacing w:after="0" w:line="68" w:lineRule="exact"/>
        <w:rPr>
          <w:rFonts w:ascii="Times New Roman" w:cs="Times New Roman" w:eastAsia="Times New Roman" w:hAnsi="Times New Roman"/>
          <w:sz w:val="18"/>
          <w:szCs w:val="18"/>
          <w:color w:val="auto"/>
        </w:rPr>
      </w:pPr>
    </w:p>
    <w:p>
      <w:pPr>
        <w:ind w:left="480" w:hanging="329"/>
        <w:spacing w:after="0" w:line="28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costs associated with compliance with, U.S. and foreign environmental protection laws;</w:t>
      </w:r>
    </w:p>
    <w:p>
      <w:pPr>
        <w:ind w:left="480" w:hanging="329"/>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working capital and inventory balances;</w:t>
      </w:r>
    </w:p>
    <w:p>
      <w:pPr>
        <w:spacing w:after="0" w:line="68" w:lineRule="exact"/>
        <w:rPr>
          <w:rFonts w:ascii="Times New Roman" w:cs="Times New Roman" w:eastAsia="Times New Roman" w:hAnsi="Times New Roman"/>
          <w:sz w:val="18"/>
          <w:szCs w:val="18"/>
          <w:color w:val="auto"/>
        </w:rPr>
      </w:pPr>
    </w:p>
    <w:p>
      <w:pPr>
        <w:jc w:val="both"/>
        <w:ind w:left="480" w:hanging="329"/>
        <w:spacing w:after="0" w:line="274"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 our counterparties’ failure to comply with the U.S. Foreign Corrupt Practices Act, similar U.S. or foreign anti-bribery and anti-corruption laws and regulations, applicable sanctions laws and regulations in the jurisdictions in which we operate or ethical business practices and related laws and regulations;</w:t>
      </w:r>
    </w:p>
    <w:p>
      <w:pPr>
        <w:ind w:left="480" w:hanging="329"/>
        <w:spacing w:after="0" w:line="286"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on our tangible or intangible long-lived assets, including goodwill associated with the N&amp;B merger and the acquisition of Frutarom;</w:t>
      </w:r>
    </w:p>
    <w:p>
      <w:pPr>
        <w:spacing w:after="0" w:line="1" w:lineRule="exact"/>
        <w:rPr>
          <w:rFonts w:ascii="Times New Roman" w:cs="Times New Roman" w:eastAsia="Times New Roman" w:hAnsi="Times New Roman"/>
          <w:sz w:val="18"/>
          <w:szCs w:val="18"/>
          <w:color w:val="auto"/>
        </w:rPr>
      </w:pPr>
    </w:p>
    <w:p>
      <w:pPr>
        <w:ind w:left="480" w:hanging="33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64" w:lineRule="exact"/>
        <w:rPr>
          <w:rFonts w:ascii="Times New Roman" w:cs="Times New Roman" w:eastAsia="Times New Roman" w:hAnsi="Times New Roman"/>
          <w:sz w:val="18"/>
          <w:szCs w:val="18"/>
          <w:color w:val="auto"/>
        </w:rPr>
      </w:pPr>
    </w:p>
    <w:p>
      <w:pPr>
        <w:ind w:left="480" w:hanging="33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outcomes of legal claims, regulatory investigations and litigation;</w:t>
      </w:r>
    </w:p>
    <w:p>
      <w:pPr>
        <w:spacing w:after="0" w:line="68" w:lineRule="exact"/>
        <w:rPr>
          <w:rFonts w:ascii="Times New Roman" w:cs="Times New Roman" w:eastAsia="Times New Roman" w:hAnsi="Times New Roman"/>
          <w:sz w:val="18"/>
          <w:szCs w:val="18"/>
          <w:color w:val="auto"/>
        </w:rPr>
      </w:pPr>
    </w:p>
    <w:p>
      <w:pPr>
        <w:ind w:left="480" w:hanging="33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or governmental regulations relating to our pension and postretirement obligations;</w:t>
      </w:r>
    </w:p>
    <w:p>
      <w:pPr>
        <w:spacing w:after="0" w:line="64" w:lineRule="exact"/>
        <w:rPr>
          <w:rFonts w:ascii="Times New Roman" w:cs="Times New Roman" w:eastAsia="Times New Roman" w:hAnsi="Times New Roman"/>
          <w:sz w:val="18"/>
          <w:szCs w:val="18"/>
          <w:color w:val="auto"/>
        </w:rPr>
      </w:pPr>
    </w:p>
    <w:p>
      <w:pPr>
        <w:ind w:left="480" w:hanging="330"/>
        <w:spacing w:after="0" w:line="286"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state, local and international tax legislation or policies, including the Tax Cuts and Jobs Act, with respect to transfer pricing and state aid, and adverse results of tax audits, assessments, or disputes;</w:t>
      </w:r>
    </w:p>
    <w:p>
      <w:pPr>
        <w:spacing w:after="0" w:line="1" w:lineRule="exact"/>
        <w:rPr>
          <w:rFonts w:ascii="Times New Roman" w:cs="Times New Roman" w:eastAsia="Times New Roman" w:hAnsi="Times New Roman"/>
          <w:sz w:val="18"/>
          <w:szCs w:val="18"/>
          <w:color w:val="auto"/>
        </w:rPr>
      </w:pPr>
    </w:p>
    <w:p>
      <w:pPr>
        <w:ind w:left="480" w:hanging="33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United Kingdom’s departure from the European Union;</w:t>
      </w:r>
    </w:p>
    <w:p>
      <w:pPr>
        <w:spacing w:after="0" w:line="64" w:lineRule="exact"/>
        <w:rPr>
          <w:rFonts w:ascii="Times New Roman" w:cs="Times New Roman" w:eastAsia="Times New Roman" w:hAnsi="Times New Roman"/>
          <w:sz w:val="18"/>
          <w:szCs w:val="18"/>
          <w:color w:val="auto"/>
        </w:rPr>
      </w:pPr>
    </w:p>
    <w:p>
      <w:pPr>
        <w:ind w:left="480" w:hanging="33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phase out of the London Interbank Offered Rate (LIBOR) on interest expense;</w:t>
      </w:r>
    </w:p>
    <w:p>
      <w:pPr>
        <w:spacing w:after="0" w:line="68" w:lineRule="exact"/>
        <w:rPr>
          <w:rFonts w:ascii="Times New Roman" w:cs="Times New Roman" w:eastAsia="Times New Roman" w:hAnsi="Times New Roman"/>
          <w:sz w:val="18"/>
          <w:szCs w:val="18"/>
          <w:color w:val="auto"/>
        </w:rPr>
      </w:pPr>
    </w:p>
    <w:p>
      <w:pPr>
        <w:ind w:left="480" w:hanging="331"/>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tax liability resulting from the N&amp;B Transaction; and</w:t>
      </w:r>
    </w:p>
    <w:p>
      <w:pPr>
        <w:spacing w:after="0" w:line="64" w:lineRule="exact"/>
        <w:rPr>
          <w:rFonts w:ascii="Times New Roman" w:cs="Times New Roman" w:eastAsia="Times New Roman" w:hAnsi="Times New Roman"/>
          <w:sz w:val="18"/>
          <w:szCs w:val="18"/>
          <w:color w:val="auto"/>
        </w:rPr>
      </w:pPr>
    </w:p>
    <w:p>
      <w:pPr>
        <w:ind w:left="480" w:hanging="331"/>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data protection laws in the U.S. and abroad.</w:t>
      </w:r>
    </w:p>
    <w:p>
      <w:pPr>
        <w:spacing w:after="0" w:line="200" w:lineRule="exact"/>
        <w:rPr>
          <w:sz w:val="20"/>
          <w:szCs w:val="20"/>
          <w:color w:val="auto"/>
        </w:rPr>
      </w:pPr>
    </w:p>
    <w:p>
      <w:pPr>
        <w:spacing w:after="0" w:line="3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47</w:t>
      </w:r>
    </w:p>
    <w:p>
      <w:pPr>
        <w:sectPr>
          <w:pgSz w:w="11880" w:h="15480" w:orient="portrait"/>
          <w:cols w:equalWidth="0" w:num="1">
            <w:col w:w="9180"/>
          </w:cols>
          <w:pgMar w:left="1440" w:top="1259" w:right="1260" w:bottom="254" w:gutter="0" w:footer="0" w:header="0"/>
        </w:sectPr>
      </w:pPr>
    </w:p>
    <w:bookmarkStart w:id="54" w:name="page55"/>
    <w:bookmarkEnd w:id="54"/>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this Form 10-K for additional information regarding factors that could affect our results of operations, financial condition and liquidity.</w:t>
      </w:r>
    </w:p>
    <w:p>
      <w:pPr>
        <w:spacing w:after="0" w:line="61"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Russia and Japan, although all regions are subject to foreign currency fluctuations versus the U.S. dollar. We actively monitor our foreign currency exposures in all major markets in which we operate, and employ a variety of techniques to mitigate the impact of exchange rate fluctuations, including foreign currency hedging activities.</w:t>
      </w:r>
    </w:p>
    <w:p>
      <w:pPr>
        <w:spacing w:after="0" w:line="66"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2022, our exposure to market risk was estimated using sensitivity analyses, which illustrate the change in the fair value of a derivative financial instrument assuming hypothetical changes in foreign exchange rates and interest rates.</w:t>
      </w:r>
    </w:p>
    <w:p>
      <w:pPr>
        <w:spacing w:after="0" w:line="65"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2022, our foreign currency exposures pertaining to derivative contracts exist with the Euro. Based on a hypothetical decrease or increase of 10% in the applicable balance sheet exchange rates (primarily against the U.S. dollar), the estimated fair value of our foreign currency forward contracts would increase by approximately $18 million. However, any change in the value of the contracts, real or hypothetical, would be significantly offset by a corresponding change in the value of the underlying hedged items.</w:t>
      </w:r>
    </w:p>
    <w:p>
      <w:pPr>
        <w:spacing w:after="0" w:line="72"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We use derivative instruments as part of our interest rate risk management strategy. We have entered into certain cross currency swap agreements in order to mitigate a portion of our net European investments from foreign currency risk. As of December 31, 2022, these swaps were in a net liability position with an aggregate fair value of $37 million. Based on a hypothetical decrease or increase of 10% in the value of the U.S. dollar against the Euro, the estimated fair value of our cross currency swaps would change by approximately $141 million.</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At December 31, 2022, the fair value of our EUR fixed rate debt was $1.293 billion. Based on a hypothetical decrease or increase of 10% in foreign exchange rates, the estimated fair value of our EUR fixed rate debt would change by approximately $115 million.</w:t>
      </w:r>
    </w:p>
    <w:p>
      <w:pPr>
        <w:spacing w:after="0" w:line="52" w:lineRule="exact"/>
        <w:rPr>
          <w:sz w:val="20"/>
          <w:szCs w:val="20"/>
          <w:color w:val="auto"/>
        </w:rPr>
      </w:pPr>
    </w:p>
    <w:p>
      <w:pPr>
        <w:jc w:val="both"/>
        <w:ind w:firstLine="328"/>
        <w:spacing w:after="0" w:line="289" w:lineRule="auto"/>
        <w:rPr>
          <w:sz w:val="20"/>
          <w:szCs w:val="20"/>
          <w:color w:val="auto"/>
        </w:rPr>
      </w:pPr>
      <w:r>
        <w:rPr>
          <w:rFonts w:ascii="Times New Roman" w:cs="Times New Roman" w:eastAsia="Times New Roman" w:hAnsi="Times New Roman"/>
          <w:sz w:val="18"/>
          <w:szCs w:val="18"/>
          <w:color w:val="auto"/>
        </w:rPr>
        <w:t>At December 31, 2022, the fair value of our USD fixed rate debt was $6.387 billion. Based on a hypothetical decrease or increase of 10% in interest rates, the estimated fair value of our US fixed rate debt would change by approximately $639 million.</w:t>
      </w:r>
    </w:p>
    <w:p>
      <w:pPr>
        <w:spacing w:after="0" w:line="267"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We purchase certain commodities, such as natural gas, electricity, petroleum-based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880" w:h="15480" w:orient="portrait"/>
          <w:cols w:equalWidth="0" w:num="1">
            <w:col w:w="9360"/>
          </w:cols>
          <w:pgMar w:left="1260" w:top="1255" w:right="1260" w:bottom="254" w:gutter="0" w:footer="0" w:header="0"/>
        </w:sectPr>
      </w:pPr>
    </w:p>
    <w:bookmarkStart w:id="55" w:name="page56"/>
    <w:bookmarkEnd w:id="55"/>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ind w:left="340"/>
        <w:spacing w:after="0"/>
        <w:rPr>
          <w:sz w:val="20"/>
          <w:szCs w:val="20"/>
          <w:color w:val="auto"/>
        </w:rPr>
      </w:pPr>
      <w:r>
        <w:rPr>
          <w:rFonts w:ascii="Times New Roman" w:cs="Times New Roman" w:eastAsia="Times New Roman" w:hAnsi="Times New Roman"/>
          <w:sz w:val="18"/>
          <w:szCs w:val="18"/>
          <w:color w:val="auto"/>
        </w:rPr>
        <w:t>See index to Consolidated Financial Statements on page 51.</w:t>
      </w:r>
    </w:p>
    <w:p>
      <w:pPr>
        <w:spacing w:after="0" w:line="200" w:lineRule="exact"/>
        <w:rPr>
          <w:sz w:val="20"/>
          <w:szCs w:val="20"/>
          <w:color w:val="auto"/>
        </w:rPr>
      </w:pPr>
    </w:p>
    <w:p>
      <w:pPr>
        <w:spacing w:after="0" w:line="312" w:lineRule="exact"/>
        <w:rPr>
          <w:sz w:val="20"/>
          <w:szCs w:val="20"/>
          <w:color w:val="auto"/>
        </w:rPr>
      </w:pPr>
    </w:p>
    <w:p>
      <w:pPr>
        <w:ind w:left="1040" w:right="1060" w:hanging="1028"/>
        <w:spacing w:after="0" w:line="21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4"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 and Changes in Internal Control over Financial Reporting.</w:t>
      </w:r>
    </w:p>
    <w:p>
      <w:pPr>
        <w:spacing w:after="0" w:line="120"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Our Chief Executive Officer and Chief Financial Officer, with the assistance of other members of our management, have evaluated the effectiveness of our disclosure controls and procedures as of the end of the period covered by this Form 10-K. Based on such evaluation, our Chief Executive Officer and Chief Financial Officer have concluded that our disclosure controls and procedures are effective as of the end of the period covered by this Form 10-K.</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57"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0"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57"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December 31, 2022. In making this assessment, management used the criteria set forth by the Committee of Sponsoring Organizations of the Treadway Commission (“COSO”) in its 2013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Based on this assessment, management determined that, as of December 31, 2022, our internal control over financial reporting was effective.</w:t>
      </w:r>
    </w:p>
    <w:p>
      <w:pPr>
        <w:spacing w:after="0" w:line="30"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PricewaterhouseCoopers LLP, our independent registered public accounting firm, has audited the effectiveness of our internal control over financial reporting as of December 31, 2022 as stated in their report which is included herein.</w:t>
      </w:r>
    </w:p>
    <w:p>
      <w:pPr>
        <w:spacing w:after="0" w:line="200" w:lineRule="exact"/>
        <w:rPr>
          <w:sz w:val="20"/>
          <w:szCs w:val="20"/>
          <w:color w:val="auto"/>
        </w:rPr>
      </w:pPr>
    </w:p>
    <w:p>
      <w:pPr>
        <w:spacing w:after="0" w:line="22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color w:val="auto"/>
        </w:rPr>
        <w:t>DISCLOSURES REGARDING FOREIGN JURISDICTIONS THAT PREVENT INSPECTIONS.</w:t>
      </w: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ectPr>
          <w:pgSz w:w="11880" w:h="15480" w:orient="portrait"/>
          <w:cols w:equalWidth="0" w:num="1">
            <w:col w:w="9360"/>
          </w:cols>
          <w:pgMar w:left="1260" w:top="1440" w:right="1260" w:bottom="254" w:gutter="0" w:footer="0" w:header="0"/>
        </w:sectPr>
      </w:pPr>
    </w:p>
    <w:bookmarkStart w:id="56" w:name="page57"/>
    <w:bookmarkEnd w:id="56"/>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24"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information relating to directors and nominees of the Company is set forth in the IFF 2023 Proxy Statement and is incorporated by reference herein. The information relating to Section 16(a) beneficial ownership reporting compliance that appears in the IFF 2023 Proxy Statement is also incorporated by reference herein. See Part I, Item 1 of this Form 10-K for information relating to the Company’s Executive Officers.</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 xml:space="preserve">We have adopted a Code of Conduct (the “Code of Conduct”) that applies to all of our employees, including our chief executive officer and our chief financial officer. We have also adopted a Code of Conduct for Directors and a Code of Conduct for Executive Officers (together with the Code of Conduct, the “Codes”). The Codes are available through the Investors — Governance link on our website at </w:t>
      </w:r>
      <w:r>
        <w:rPr>
          <w:rFonts w:ascii="Times New Roman" w:cs="Times New Roman" w:eastAsia="Times New Roman" w:hAnsi="Times New Roman"/>
          <w:sz w:val="18"/>
          <w:szCs w:val="18"/>
          <w:i w:val="1"/>
          <w:iCs w:val="1"/>
          <w:color w:val="auto"/>
        </w:rPr>
        <w:t>https://ir.iff.com/governance.</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principal financial officer or principal accounting officer, as well as any other executive officer or director, on the Company’s website: </w:t>
      </w:r>
      <w:r>
        <w:rPr>
          <w:rFonts w:ascii="Times New Roman" w:cs="Times New Roman" w:eastAsia="Times New Roman" w:hAnsi="Times New Roman"/>
          <w:sz w:val="18"/>
          <w:szCs w:val="18"/>
          <w:i w:val="1"/>
          <w:iCs w:val="1"/>
          <w:color w:val="auto"/>
        </w:rPr>
        <w:t>www.iff.com</w:t>
      </w:r>
      <w:r>
        <w:rPr>
          <w:rFonts w:ascii="Times New Roman" w:cs="Times New Roman" w:eastAsia="Times New Roman" w:hAnsi="Times New Roman"/>
          <w:sz w:val="18"/>
          <w:szCs w:val="18"/>
          <w:color w:val="auto"/>
        </w:rPr>
        <w:t>.</w:t>
      </w:r>
    </w:p>
    <w:p>
      <w:pPr>
        <w:spacing w:after="0" w:line="57"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information regarding the Company’s Audit Committee and its designated audit committee financial experts is set forth in the IFF 2023 Proxy Statement and such information is incorporated by reference herein.</w:t>
      </w:r>
    </w:p>
    <w:p>
      <w:pPr>
        <w:spacing w:after="0" w:line="30"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information concerning procedures by which shareholders may recommend director nominees is set forth in the IFF 2023 Proxy Statement and such information is incorporated by reference herein.</w:t>
      </w:r>
    </w:p>
    <w:p>
      <w:pPr>
        <w:spacing w:after="0" w:line="39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EXECUTIVE COMPENSATION.</w:t>
      </w:r>
    </w:p>
    <w:p>
      <w:pPr>
        <w:jc w:val="both"/>
        <w:ind w:right="80" w:firstLine="328"/>
        <w:spacing w:after="0" w:line="276" w:lineRule="auto"/>
        <w:rPr>
          <w:sz w:val="20"/>
          <w:szCs w:val="20"/>
          <w:color w:val="auto"/>
        </w:rPr>
      </w:pPr>
      <w:r>
        <w:rPr>
          <w:rFonts w:ascii="Times New Roman" w:cs="Times New Roman" w:eastAsia="Times New Roman" w:hAnsi="Times New Roman"/>
          <w:sz w:val="18"/>
          <w:szCs w:val="18"/>
          <w:color w:val="auto"/>
        </w:rPr>
        <w:t>The items required by Part III, Item 11 are incorporated herein by reference from the IFF 2023 Proxy Statement to be filed on or before April 28, 2023, except as to information required pursuant to Item 402(v) of Regulation S-K relating to pay versus performance.</w:t>
      </w:r>
    </w:p>
    <w:p>
      <w:pPr>
        <w:spacing w:after="0" w:line="200" w:lineRule="exact"/>
        <w:rPr>
          <w:sz w:val="20"/>
          <w:szCs w:val="20"/>
          <w:color w:val="auto"/>
        </w:rPr>
      </w:pPr>
    </w:p>
    <w:p>
      <w:pPr>
        <w:spacing w:after="0" w:line="243" w:lineRule="exact"/>
        <w:rPr>
          <w:sz w:val="20"/>
          <w:szCs w:val="20"/>
          <w:color w:val="auto"/>
        </w:rPr>
      </w:pPr>
    </w:p>
    <w:p>
      <w:pPr>
        <w:ind w:left="1120" w:right="680" w:hanging="1106"/>
        <w:spacing w:after="0" w:line="217"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 w:lineRule="exact"/>
        <w:rPr>
          <w:sz w:val="20"/>
          <w:szCs w:val="20"/>
          <w:color w:val="auto"/>
        </w:rPr>
      </w:pPr>
    </w:p>
    <w:p>
      <w:pPr>
        <w:ind w:firstLine="328"/>
        <w:spacing w:after="0" w:line="300" w:lineRule="auto"/>
        <w:rPr>
          <w:sz w:val="20"/>
          <w:szCs w:val="20"/>
          <w:color w:val="auto"/>
        </w:rPr>
      </w:pPr>
      <w:r>
        <w:rPr>
          <w:rFonts w:ascii="Times New Roman" w:cs="Times New Roman" w:eastAsia="Times New Roman" w:hAnsi="Times New Roman"/>
          <w:sz w:val="18"/>
          <w:szCs w:val="18"/>
          <w:color w:val="auto"/>
        </w:rPr>
        <w:t>The items required by Part III, Item 12 are incorporated herein by reference from the IFF 2023 Proxy Statement to be filed on or before April 28, 2023.</w:t>
      </w:r>
    </w:p>
    <w:p>
      <w:pPr>
        <w:spacing w:after="0" w:line="200" w:lineRule="exact"/>
        <w:rPr>
          <w:sz w:val="20"/>
          <w:szCs w:val="20"/>
          <w:color w:val="auto"/>
        </w:rPr>
      </w:pPr>
    </w:p>
    <w:p>
      <w:pPr>
        <w:spacing w:after="0" w:line="221" w:lineRule="exact"/>
        <w:rPr>
          <w:sz w:val="20"/>
          <w:szCs w:val="20"/>
          <w:color w:val="auto"/>
        </w:rPr>
      </w:pPr>
    </w:p>
    <w:p>
      <w:pPr>
        <w:ind w:left="1120" w:right="1560" w:hanging="1106"/>
        <w:spacing w:after="0" w:line="217"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 w:lineRule="exact"/>
        <w:rPr>
          <w:sz w:val="20"/>
          <w:szCs w:val="20"/>
          <w:color w:val="auto"/>
        </w:rPr>
      </w:pPr>
    </w:p>
    <w:p>
      <w:pPr>
        <w:ind w:firstLine="328"/>
        <w:spacing w:after="0" w:line="300" w:lineRule="auto"/>
        <w:rPr>
          <w:sz w:val="20"/>
          <w:szCs w:val="20"/>
          <w:color w:val="auto"/>
        </w:rPr>
      </w:pPr>
      <w:r>
        <w:rPr>
          <w:rFonts w:ascii="Times New Roman" w:cs="Times New Roman" w:eastAsia="Times New Roman" w:hAnsi="Times New Roman"/>
          <w:sz w:val="18"/>
          <w:szCs w:val="18"/>
          <w:color w:val="auto"/>
        </w:rPr>
        <w:t>The items required by Part III, Item 13 are incorporated herein by reference from the IFF 2023 Proxy Statement to be filed on or before April 28, 2023.</w:t>
      </w:r>
    </w:p>
    <w:p>
      <w:pPr>
        <w:spacing w:after="0" w:line="200" w:lineRule="exact"/>
        <w:rPr>
          <w:sz w:val="20"/>
          <w:szCs w:val="20"/>
          <w:color w:val="auto"/>
        </w:rPr>
      </w:pPr>
    </w:p>
    <w:p>
      <w:pPr>
        <w:spacing w:after="0" w:line="20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ind w:firstLine="328"/>
        <w:spacing w:after="0" w:line="300" w:lineRule="auto"/>
        <w:rPr>
          <w:sz w:val="20"/>
          <w:szCs w:val="20"/>
          <w:color w:val="auto"/>
        </w:rPr>
      </w:pPr>
      <w:r>
        <w:rPr>
          <w:rFonts w:ascii="Times New Roman" w:cs="Times New Roman" w:eastAsia="Times New Roman" w:hAnsi="Times New Roman"/>
          <w:sz w:val="18"/>
          <w:szCs w:val="18"/>
          <w:color w:val="auto"/>
        </w:rPr>
        <w:t>The items required by Part III, Item 14 are incorporated herein by reference from the IFF 2023 Proxy Statement to be filed on or before April 28, 2023.</w:t>
      </w:r>
    </w:p>
    <w:p>
      <w:pPr>
        <w:spacing w:after="0" w:line="13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880" w:h="15480" w:orient="portrait"/>
          <w:cols w:equalWidth="0" w:num="1">
            <w:col w:w="9360"/>
          </w:cols>
          <w:pgMar w:left="1260" w:top="1362" w:right="1260" w:bottom="254" w:gutter="0" w:footer="0" w:header="0"/>
        </w:sectPr>
      </w:pPr>
    </w:p>
    <w:bookmarkStart w:id="57" w:name="page58"/>
    <w:bookmarkEnd w:id="57"/>
    <w:p>
      <w:pPr>
        <w:ind w:right="1640"/>
        <w:spacing w:after="0" w:line="259" w:lineRule="auto"/>
        <w:rPr>
          <w:sz w:val="20"/>
          <w:szCs w:val="20"/>
          <w:color w:val="auto"/>
        </w:rPr>
      </w:pPr>
      <w:r>
        <w:rPr>
          <w:rFonts w:ascii="Times New Roman" w:cs="Times New Roman" w:eastAsia="Times New Roman" w:hAnsi="Times New Roman"/>
          <w:sz w:val="18"/>
          <w:szCs w:val="18"/>
          <w:color w:val="auto"/>
        </w:rPr>
        <w:t>(a)(1) FINANCIAL STATEMENTS: The following consolidated financial statements, related notes, and independent registered public accounting firm’s report are included in this Form 10-K:</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5"/>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(Loss) Income and Comprehensive (Loss) Income for the years ended December 31,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7"/>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 2021 and 2020</w:t>
            </w:r>
          </w:p>
        </w:tc>
        <w:tc>
          <w:tcPr>
            <w:tcW w:w="540" w:type="dxa"/>
            <w:vAlign w:val="bottom"/>
          </w:tcPr>
          <w:p>
            <w:pPr>
              <w:spacing w:after="0"/>
              <w:rPr>
                <w:sz w:val="21"/>
                <w:szCs w:val="21"/>
                <w:color w:val="auto"/>
              </w:rPr>
            </w:pPr>
          </w:p>
        </w:tc>
      </w:tr>
      <w:tr>
        <w:trPr>
          <w:trHeight w:val="264"/>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71"/>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2021 and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6"/>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2022, 2021 and 2020</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1"/>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547"/>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(a)(3) 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547"/>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(a)(2) FINANCIAL STATEMENT SCHEDULES</w:t>
            </w:r>
          </w:p>
        </w:tc>
        <w:tc>
          <w:tcPr>
            <w:tcW w:w="540" w:type="dxa"/>
            <w:vAlign w:val="bottom"/>
          </w:tcPr>
          <w:p>
            <w:pPr>
              <w:spacing w:after="0"/>
              <w:rPr>
                <w:sz w:val="24"/>
                <w:szCs w:val="24"/>
                <w:color w:val="auto"/>
              </w:rPr>
            </w:pPr>
          </w:p>
        </w:tc>
      </w:tr>
      <w:tr>
        <w:trPr>
          <w:trHeight w:val="215"/>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Schedule II — Valuation and Qualifying Accounts and Reserves for the years ended December 31, 2022,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47"/>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2020</w:t>
            </w:r>
          </w:p>
        </w:tc>
        <w:tc>
          <w:tcPr>
            <w:tcW w:w="540" w:type="dxa"/>
            <w:vAlign w:val="bottom"/>
          </w:tcPr>
          <w:p>
            <w:pPr>
              <w:spacing w:after="0"/>
              <w:rPr>
                <w:sz w:val="21"/>
                <w:szCs w:val="21"/>
                <w:color w:val="auto"/>
              </w:rPr>
            </w:pPr>
          </w:p>
        </w:tc>
      </w:tr>
    </w:tbl>
    <w:p>
      <w:pPr>
        <w:spacing w:after="0" w:line="4" w:lineRule="exact"/>
        <w:rPr>
          <w:sz w:val="20"/>
          <w:szCs w:val="20"/>
          <w:color w:val="auto"/>
        </w:rPr>
      </w:pPr>
    </w:p>
    <w:p>
      <w:pPr>
        <w:ind w:right="460" w:firstLine="328"/>
        <w:spacing w:after="0" w:line="300"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51</w:t>
      </w:r>
    </w:p>
    <w:p>
      <w:pPr>
        <w:sectPr>
          <w:pgSz w:w="11880" w:h="15480" w:orient="portrait"/>
          <w:cols w:equalWidth="0" w:num="1">
            <w:col w:w="9240"/>
          </w:cols>
          <w:pgMar w:left="1260" w:top="1321" w:right="1380" w:bottom="254" w:gutter="0" w:footer="0" w:header="0"/>
        </w:sectPr>
      </w:pPr>
    </w:p>
    <w:bookmarkStart w:id="58" w:name="page59"/>
    <w:bookmarkEnd w:id="58"/>
    <w:p>
      <w:pPr>
        <w:ind w:left="1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International Flavors &amp; Fragrances Inc.</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0"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International Flavors &amp; Fragrances Inc. and its subsidiaries (the “Company”) as of December 31, 2022 and 2021, and the related consolidated statements of (loss) income and comprehensive (loss) income, of shareholders'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65"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0"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7"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0"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880" w:h="15480" w:orient="portrait"/>
          <w:cols w:equalWidth="0" w:num="1">
            <w:col w:w="9360"/>
          </w:cols>
          <w:pgMar w:left="1260" w:top="1252" w:right="1260" w:bottom="254"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0" w:lineRule="exact"/>
        <w:rPr>
          <w:sz w:val="20"/>
          <w:szCs w:val="20"/>
          <w:color w:val="auto"/>
        </w:rPr>
      </w:pPr>
    </w:p>
    <w:p>
      <w:pPr>
        <w:jc w:val="both"/>
        <w:ind w:right="20" w:firstLine="329"/>
        <w:spacing w:after="0" w:line="26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Interim Goodwill Impairment Assessment - Health &amp; Biosciences Reporting Unit</w:t>
      </w:r>
    </w:p>
    <w:p>
      <w:pPr>
        <w:spacing w:after="0" w:line="118"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As described in Notes 1 and 6 to the consolidated financial statements, the Company’s goodwill balance was $13.355 billion as of December 31, 2022, and the goodwill related to the Health &amp; Biosciences reportable segment was $4.321 billion. The Company has determined that the Health &amp; Biosciences segment is also a reporting unit. Management tests goodwill for impairment at the reporting unit level as of November 30 every year or more frequently if events or changes in circumstances indicate the asset might be impaired. If a reporting unit’s carrying amount exceeds its fair value, the Company will record an impairment charge based on that difference. For the third quarter of 2022, management determined that a goodwill impairment triggering event occurred for the Health &amp; Biosciences reporting unit. Management assessed the fair value of the reporting units using an income approach. Under the income approach, management determined the fair value by using a discounted cash flow method at a rate of return that reflects the relative risk of the projected future cash flows of each reporting unit, as well as a terminal value. Key estimates and assumptions used in these valuations include revenue growth rates, gross margins, EBITDA margins, terminal growth rates and discount rates. For the third quarter of 2022, management determined that the carrying value of the Health &amp; Biosciences reporting unit exceeded its fair value and recorded a goodwill impairment charge of $2.250 billion.</w:t>
      </w:r>
    </w:p>
    <w:p>
      <w:pPr>
        <w:spacing w:after="0" w:line="75" w:lineRule="exact"/>
        <w:rPr>
          <w:sz w:val="20"/>
          <w:szCs w:val="20"/>
          <w:color w:val="auto"/>
        </w:rPr>
      </w:pPr>
    </w:p>
    <w:p>
      <w:pPr>
        <w:jc w:val="both"/>
        <w:ind w:right="20" w:firstLine="328"/>
        <w:spacing w:after="0" w:line="262"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interim goodwill impairment assessment of the Health &amp; Biosciences reporting unit is a critical audit matter are (i) the significant judgment by management when developing the fair value estimate of the Health &amp; Biosciences reporting unit; (ii) a high degree of auditor judgment, subjectivity, and effort in performing procedures and evaluating management’s significant assumptions related to revenue growth rates, gross margins, EBITDA margins, terminal growth rate, and discount rate; and (iii) the audit effort involved the use of professionals with specialized skill and knowledge.</w:t>
      </w:r>
    </w:p>
    <w:p>
      <w:pPr>
        <w:spacing w:after="0" w:line="66"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interim goodwill impairment assessment, including controls over the valuation of the Health &amp; Biosciences reporting unit. These procedures also included, among others (i) testing management’s process for developing the fair value estimate of the Health &amp; Biosciences reporting unit; (ii) evaluating the appropriateness of the discounted cash flow method; (iii) testing the completeness and accuracy of the underlying data used in the discounted cash flow method; and (iv) evaluating the reasonableness of the significant assumptions used by management related to revenue growth rates, gross margins, EBITDA margins, terminal growth rate, and discount rate. Evaluating management’s significant assumptions related to revenue growth rates, gross margins, and EBITDA margins involved evaluating whether the assumptions used by management were reasonable considering (i) the current and past performance of the Health &amp; Biosciences reporting unit; (ii) the consistency with external market and industry data; and (iii) whether these assumptions were consistent with evidence obtained in other areas of the audit. Professionals with specialized skill and knowledge were used to assist in evaluating (i) the appropriateness of the discounted cash flow method and (ii) the reasonableness of the significant assumptions related to the terminal growth rate and discount rate.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880" w:h="15480" w:orient="portrait"/>
          <w:cols w:equalWidth="0" w:num="1">
            <w:col w:w="9380"/>
          </w:cols>
          <w:pgMar w:left="1260" w:top="1256" w:right="1240" w:bottom="254" w:gutter="0" w:footer="0" w:header="0"/>
        </w:sectPr>
      </w:pPr>
    </w:p>
    <w:bookmarkStart w:id="60" w:name="page61"/>
    <w:bookmarkEnd w:id="6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(LOSS) INCOME AND COMPREHENSIVE (LOSS) INCOME</w:t>
      </w:r>
    </w:p>
    <w:p>
      <w:pPr>
        <w:spacing w:after="0" w:line="19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2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5480" w:type="dxa"/>
            <w:vAlign w:val="bottom"/>
            <w:tcBorders>
              <w:bottom w:val="single" w:sz="8" w:color="DDDDDD"/>
            </w:tcBorders>
            <w:gridSpan w:val="2"/>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shd w:val="clear" w:color="auto" w:fill="DDDDDD"/>
          </w:tcPr>
          <w:p>
            <w:pPr>
              <w:spacing w:after="0"/>
              <w:rPr>
                <w:sz w:val="21"/>
                <w:szCs w:val="21"/>
                <w:color w:val="auto"/>
              </w:rPr>
            </w:pPr>
          </w:p>
        </w:tc>
        <w:tc>
          <w:tcPr>
            <w:tcW w:w="554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554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54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4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4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4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554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(Gains) losses on sale of fixed assets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54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Operating (loss) profit</w:t>
            </w: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4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0" w:type="dxa"/>
            <w:vAlign w:val="bottom"/>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auto"/>
            </w:tcBorders>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554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bottom w:val="single" w:sz="8" w:color="auto"/>
            </w:tcBorders>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554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income attributable to IFF shareholders</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4"/>
                <w:szCs w:val="24"/>
                <w:color w:val="auto"/>
              </w:rPr>
            </w:pP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4"/>
        </w:trPr>
        <w:tc>
          <w:tcPr>
            <w:tcW w:w="40" w:type="dxa"/>
            <w:vAlign w:val="bottom"/>
            <w:tcBorders>
              <w:top w:val="single" w:sz="8" w:color="DDDDDD"/>
            </w:tcBorders>
            <w:shd w:val="clear" w:color="auto" w:fill="DDDDDD"/>
          </w:tcPr>
          <w:p>
            <w:pPr>
              <w:spacing w:after="0"/>
              <w:rPr>
                <w:sz w:val="18"/>
                <w:szCs w:val="18"/>
                <w:color w:val="auto"/>
              </w:rPr>
            </w:pPr>
          </w:p>
        </w:tc>
        <w:tc>
          <w:tcPr>
            <w:tcW w:w="3660" w:type="dxa"/>
            <w:vAlign w:val="bottom"/>
            <w:tcBorders>
              <w:top w:val="single" w:sz="8" w:color="DDDDDD"/>
            </w:tcBorders>
            <w:shd w:val="clear" w:color="auto" w:fill="DDDDDD"/>
          </w:tcPr>
          <w:p>
            <w:pPr>
              <w:spacing w:after="0"/>
              <w:rPr>
                <w:sz w:val="18"/>
                <w:szCs w:val="18"/>
                <w:color w:val="auto"/>
              </w:rPr>
            </w:pPr>
          </w:p>
        </w:tc>
        <w:tc>
          <w:tcPr>
            <w:tcW w:w="1820" w:type="dxa"/>
            <w:vAlign w:val="bottom"/>
            <w:tcBorders>
              <w:top w:val="single" w:sz="8" w:color="DDDDDD"/>
            </w:tcBorders>
            <w:shd w:val="clear" w:color="auto" w:fill="DDDDDD"/>
          </w:tcPr>
          <w:p>
            <w:pPr>
              <w:spacing w:after="0"/>
              <w:rPr>
                <w:sz w:val="18"/>
                <w:szCs w:val="18"/>
                <w:color w:val="auto"/>
              </w:rPr>
            </w:pPr>
          </w:p>
        </w:tc>
        <w:tc>
          <w:tcPr>
            <w:tcW w:w="60" w:type="dxa"/>
            <w:vAlign w:val="bottom"/>
            <w:tcBorders>
              <w:top w:val="single" w:sz="8" w:color="DDDDDD"/>
            </w:tcBorders>
            <w:shd w:val="clear" w:color="auto" w:fill="DDDDDD"/>
          </w:tcPr>
          <w:p>
            <w:pPr>
              <w:spacing w:after="0"/>
              <w:rPr>
                <w:sz w:val="18"/>
                <w:szCs w:val="18"/>
                <w:color w:val="auto"/>
              </w:rPr>
            </w:pPr>
          </w:p>
        </w:tc>
        <w:tc>
          <w:tcPr>
            <w:tcW w:w="280" w:type="dxa"/>
            <w:vAlign w:val="bottom"/>
            <w:tcBorders>
              <w:top w:val="single" w:sz="8" w:color="auto"/>
            </w:tcBorders>
            <w:shd w:val="clear" w:color="auto" w:fill="DDDDDD"/>
          </w:tcPr>
          <w:p>
            <w:pPr>
              <w:spacing w:after="0"/>
              <w:rPr>
                <w:sz w:val="18"/>
                <w:szCs w:val="18"/>
                <w:color w:val="auto"/>
              </w:rPr>
            </w:pPr>
          </w:p>
        </w:tc>
        <w:tc>
          <w:tcPr>
            <w:tcW w:w="90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280" w:type="dxa"/>
            <w:vAlign w:val="bottom"/>
            <w:tcBorders>
              <w:top w:val="single" w:sz="8" w:color="auto"/>
            </w:tcBorders>
            <w:shd w:val="clear" w:color="auto" w:fill="DDDDDD"/>
          </w:tcPr>
          <w:p>
            <w:pPr>
              <w:spacing w:after="0"/>
              <w:rPr>
                <w:sz w:val="18"/>
                <w:szCs w:val="18"/>
                <w:color w:val="auto"/>
              </w:rPr>
            </w:pPr>
          </w:p>
        </w:tc>
        <w:tc>
          <w:tcPr>
            <w:tcW w:w="900" w:type="dxa"/>
            <w:vAlign w:val="bottom"/>
            <w:tcBorders>
              <w:top w:val="single" w:sz="8" w:color="auto"/>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260" w:type="dxa"/>
            <w:vAlign w:val="bottom"/>
            <w:tcBorders>
              <w:top w:val="single" w:sz="8" w:color="auto"/>
            </w:tcBorders>
            <w:shd w:val="clear" w:color="auto" w:fill="DDDDDD"/>
          </w:tcPr>
          <w:p>
            <w:pPr>
              <w:spacing w:after="0"/>
              <w:rPr>
                <w:sz w:val="18"/>
                <w:szCs w:val="18"/>
                <w:color w:val="auto"/>
              </w:rPr>
            </w:pPr>
          </w:p>
        </w:tc>
        <w:tc>
          <w:tcPr>
            <w:tcW w:w="92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Statements of Comprehensive (Loss) Income</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4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6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 income , after tax:</w:t>
            </w: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DDDDDD"/>
            </w:tcBorders>
          </w:tcPr>
          <w:p>
            <w:pPr>
              <w:spacing w:after="0"/>
              <w:rPr>
                <w:sz w:val="18"/>
                <w:szCs w:val="18"/>
                <w:color w:val="auto"/>
              </w:rPr>
            </w:pPr>
          </w:p>
        </w:tc>
        <w:tc>
          <w:tcPr>
            <w:tcW w:w="5480" w:type="dxa"/>
            <w:vAlign w:val="bottom"/>
            <w:tcBorders>
              <w:bottom w:val="single" w:sz="8" w:color="DDDDDD"/>
            </w:tcBorders>
            <w:gridSpan w:val="2"/>
            <w:vMerge w:val="continue"/>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80" w:type="dxa"/>
            <w:vAlign w:val="bottom"/>
            <w:tcBorders>
              <w:bottom w:val="single" w:sz="8" w:color="DDDDDD"/>
            </w:tcBorders>
          </w:tcPr>
          <w:p>
            <w:pPr>
              <w:spacing w:after="0"/>
              <w:rPr>
                <w:sz w:val="18"/>
                <w:szCs w:val="18"/>
                <w:color w:val="auto"/>
              </w:rPr>
            </w:pPr>
          </w:p>
        </w:tc>
        <w:tc>
          <w:tcPr>
            <w:tcW w:w="90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280" w:type="dxa"/>
            <w:vAlign w:val="bottom"/>
            <w:tcBorders>
              <w:bottom w:val="single" w:sz="8" w:color="DDDDDD"/>
            </w:tcBorders>
          </w:tcPr>
          <w:p>
            <w:pPr>
              <w:spacing w:after="0"/>
              <w:rPr>
                <w:sz w:val="18"/>
                <w:szCs w:val="18"/>
                <w:color w:val="auto"/>
              </w:rPr>
            </w:pPr>
          </w:p>
        </w:tc>
        <w:tc>
          <w:tcPr>
            <w:tcW w:w="90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260" w:type="dxa"/>
            <w:vAlign w:val="bottom"/>
            <w:tcBorders>
              <w:bottom w:val="single" w:sz="8" w:color="DDDDDD"/>
            </w:tcBorders>
          </w:tcPr>
          <w:p>
            <w:pPr>
              <w:spacing w:after="0"/>
              <w:rPr>
                <w:sz w:val="18"/>
                <w:szCs w:val="18"/>
                <w:color w:val="auto"/>
              </w:rPr>
            </w:pPr>
          </w:p>
        </w:tc>
        <w:tc>
          <w:tcPr>
            <w:tcW w:w="920" w:type="dxa"/>
            <w:vAlign w:val="bottom"/>
            <w:tcBorders>
              <w:bottom w:val="single" w:sz="8" w:color="DDDDDD"/>
            </w:tcBorders>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54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Gains (losses) on derivatives qualifying as hedges</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48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Pension and postretirement liability adjustment</w:t>
            </w:r>
          </w:p>
        </w:tc>
        <w:tc>
          <w:tcPr>
            <w:tcW w:w="60" w:type="dxa"/>
            <w:vAlign w:val="bottom"/>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Borders>
              <w:bottom w:val="single" w:sz="8" w:color="auto"/>
            </w:tcBorders>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53"/>
        </w:trPr>
        <w:tc>
          <w:tcPr>
            <w:tcW w:w="40" w:type="dxa"/>
            <w:vAlign w:val="bottom"/>
            <w:tcBorders>
              <w:bottom w:val="single" w:sz="8" w:color="DDDDDD"/>
            </w:tcBorders>
          </w:tcPr>
          <w:p>
            <w:pPr>
              <w:spacing w:after="0"/>
              <w:rPr>
                <w:sz w:val="22"/>
                <w:szCs w:val="22"/>
                <w:color w:val="auto"/>
              </w:rPr>
            </w:pPr>
          </w:p>
        </w:tc>
        <w:tc>
          <w:tcPr>
            <w:tcW w:w="5540" w:type="dxa"/>
            <w:vAlign w:val="bottom"/>
            <w:tcBorders>
              <w:bottom w:val="single" w:sz="8" w:color="DDDDDD"/>
            </w:tcBorders>
            <w:gridSpan w:val="3"/>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54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554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shd w:val="clear" w:color="auto" w:fill="DDDDDD"/>
          </w:tcPr>
          <w:p>
            <w:pPr>
              <w:spacing w:after="0"/>
              <w:rPr>
                <w:sz w:val="23"/>
                <w:szCs w:val="23"/>
                <w:color w:val="auto"/>
              </w:rPr>
            </w:pPr>
          </w:p>
        </w:tc>
        <w:tc>
          <w:tcPr>
            <w:tcW w:w="554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IFF shareholders</w:t>
            </w:r>
          </w:p>
        </w:tc>
        <w:tc>
          <w:tcPr>
            <w:tcW w:w="28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100" w:type="dxa"/>
            <w:vAlign w:val="bottom"/>
            <w:tcBorders>
              <w:bottom w:val="single" w:sz="8" w:color="DDDDDD"/>
            </w:tcBorders>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Borders>
              <w:bottom w:val="single" w:sz="8" w:color="auto"/>
            </w:tcBorders>
            <w:shd w:val="clear" w:color="auto" w:fill="DDDDDD"/>
          </w:tcPr>
          <w:p>
            <w:pPr>
              <w:spacing w:after="0"/>
              <w:rPr>
                <w:sz w:val="23"/>
                <w:szCs w:val="23"/>
                <w:color w:val="auto"/>
              </w:rPr>
            </w:pPr>
          </w:p>
        </w:tc>
        <w:tc>
          <w:tcPr>
            <w:tcW w:w="10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5540" w:type="dxa"/>
            <w:vAlign w:val="bottom"/>
            <w:gridSpan w:val="3"/>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3"/>
                <w:szCs w:val="23"/>
                <w:color w:val="auto"/>
              </w:rPr>
            </w:pPr>
          </w:p>
        </w:tc>
        <w:tc>
          <w:tcPr>
            <w:tcW w:w="54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income per share — basic</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26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income per share — diluted</w:t>
            </w:r>
          </w:p>
        </w:tc>
        <w:tc>
          <w:tcPr>
            <w:tcW w:w="2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23"/>
                <w:szCs w:val="23"/>
                <w:color w:val="auto"/>
              </w:rPr>
            </w:pP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54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Average number of shares outstanding - basic</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number of shares outstanding - diluted</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880" w:h="15480" w:orient="portrait"/>
          <w:cols w:equalWidth="0" w:num="1">
            <w:col w:w="9340"/>
          </w:cols>
          <w:pgMar w:left="1220" w:top="1252" w:right="1320" w:bottom="254" w:gutter="0" w:footer="0" w:header="0"/>
        </w:sectPr>
      </w:pPr>
    </w:p>
    <w:bookmarkStart w:id="61" w:name="page62"/>
    <w:bookmarkEnd w:id="6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8"/>
              <w:spacing w:after="0" w:line="186"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28"/>
              <w:spacing w:after="0" w:line="186"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7"/>
        </w:trPr>
        <w:tc>
          <w:tcPr>
            <w:tcW w:w="40" w:type="dxa"/>
            <w:vAlign w:val="bottom"/>
            <w:tcBorders>
              <w:top w:val="single" w:sz="8" w:color="DDDDDD"/>
            </w:tcBorders>
            <w:shd w:val="clear" w:color="auto" w:fill="DDDDDD"/>
          </w:tcPr>
          <w:p>
            <w:pPr>
              <w:spacing w:after="0"/>
              <w:rPr>
                <w:sz w:val="18"/>
                <w:szCs w:val="18"/>
                <w:color w:val="auto"/>
              </w:rPr>
            </w:pPr>
          </w:p>
        </w:tc>
        <w:tc>
          <w:tcPr>
            <w:tcW w:w="160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0" w:type="dxa"/>
            <w:vAlign w:val="bottom"/>
            <w:tcBorders>
              <w:top w:val="single" w:sz="8" w:color="DDDDDD"/>
            </w:tcBorders>
            <w:shd w:val="clear" w:color="auto" w:fill="DDDDDD"/>
          </w:tcPr>
          <w:p>
            <w:pPr>
              <w:spacing w:after="0"/>
              <w:rPr>
                <w:sz w:val="18"/>
                <w:szCs w:val="18"/>
                <w:color w:val="auto"/>
              </w:rPr>
            </w:pPr>
          </w:p>
        </w:tc>
        <w:tc>
          <w:tcPr>
            <w:tcW w:w="4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260" w:type="dxa"/>
            <w:vAlign w:val="bottom"/>
            <w:tcBorders>
              <w:top w:val="single" w:sz="8" w:color="auto"/>
            </w:tcBorders>
            <w:shd w:val="clear" w:color="auto" w:fill="DDDDDD"/>
          </w:tcPr>
          <w:p>
            <w:pPr>
              <w:spacing w:after="0"/>
              <w:rPr>
                <w:sz w:val="18"/>
                <w:szCs w:val="18"/>
                <w:color w:val="auto"/>
              </w:rPr>
            </w:pPr>
          </w:p>
        </w:tc>
        <w:tc>
          <w:tcPr>
            <w:tcW w:w="920" w:type="dxa"/>
            <w:vAlign w:val="bottom"/>
            <w:tcBorders>
              <w:top w:val="single" w:sz="8" w:color="auto"/>
            </w:tcBorders>
            <w:shd w:val="clear" w:color="auto" w:fill="DDDDDD"/>
          </w:tcPr>
          <w:p>
            <w:pPr>
              <w:spacing w:after="0"/>
              <w:rPr>
                <w:sz w:val="18"/>
                <w:szCs w:val="18"/>
                <w:color w:val="auto"/>
              </w:rPr>
            </w:pPr>
          </w:p>
        </w:tc>
        <w:tc>
          <w:tcPr>
            <w:tcW w:w="80" w:type="dxa"/>
            <w:vAlign w:val="bottom"/>
            <w:tcBorders>
              <w:top w:val="single" w:sz="8" w:color="DDDDDD"/>
              <w:right w:val="single" w:sz="8" w:color="DDDDDD"/>
            </w:tcBorders>
            <w:shd w:val="clear" w:color="auto" w:fill="DDDDDD"/>
          </w:tcPr>
          <w:p>
            <w:pPr>
              <w:spacing w:after="0"/>
              <w:rPr>
                <w:sz w:val="18"/>
                <w:szCs w:val="18"/>
                <w:color w:val="auto"/>
              </w:rPr>
            </w:pPr>
          </w:p>
        </w:tc>
        <w:tc>
          <w:tcPr>
            <w:tcW w:w="20" w:type="dxa"/>
            <w:vAlign w:val="bottom"/>
            <w:tcBorders>
              <w:top w:val="single" w:sz="8" w:color="DDDDDD"/>
            </w:tcBorders>
          </w:tcPr>
          <w:p>
            <w:pPr>
              <w:spacing w:after="0"/>
              <w:rPr>
                <w:sz w:val="18"/>
                <w:szCs w:val="18"/>
                <w:color w:val="auto"/>
              </w:rPr>
            </w:pPr>
          </w:p>
        </w:tc>
        <w:tc>
          <w:tcPr>
            <w:tcW w:w="240" w:type="dxa"/>
            <w:vAlign w:val="bottom"/>
            <w:tcBorders>
              <w:top w:val="single" w:sz="8" w:color="auto"/>
            </w:tcBorders>
            <w:shd w:val="clear" w:color="auto" w:fill="DDDDDD"/>
          </w:tcPr>
          <w:p>
            <w:pPr>
              <w:spacing w:after="0"/>
              <w:rPr>
                <w:sz w:val="18"/>
                <w:szCs w:val="18"/>
                <w:color w:val="auto"/>
              </w:rPr>
            </w:pPr>
          </w:p>
        </w:tc>
        <w:tc>
          <w:tcPr>
            <w:tcW w:w="92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Borders>
              <w:bottom w:val="single" w:sz="8" w:color="DDDDDD"/>
            </w:tcBorders>
            <w:shd w:val="clear" w:color="auto" w:fill="DDDDDD"/>
          </w:tcPr>
          <w:p>
            <w:pPr>
              <w:spacing w:after="0"/>
              <w:rPr>
                <w:sz w:val="20"/>
                <w:szCs w:val="20"/>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Receivables:</w:t>
            </w: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260" w:type="dxa"/>
            <w:vAlign w:val="bottom"/>
            <w:tcBorders>
              <w:bottom w:val="single" w:sz="8" w:color="DDDDDD"/>
            </w:tcBorders>
            <w:shd w:val="clear" w:color="auto" w:fill="DDDDDD"/>
          </w:tcPr>
          <w:p>
            <w:pPr>
              <w:spacing w:after="0"/>
              <w:rPr>
                <w:sz w:val="20"/>
                <w:szCs w:val="20"/>
                <w:color w:val="auto"/>
              </w:rPr>
            </w:pPr>
          </w:p>
        </w:tc>
        <w:tc>
          <w:tcPr>
            <w:tcW w:w="92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right w:val="single" w:sz="8" w:color="DDDDDD"/>
            </w:tcBorders>
            <w:shd w:val="clear" w:color="auto" w:fill="DDDDDD"/>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DDDDDD"/>
            </w:tcBorders>
            <w:shd w:val="clear" w:color="auto" w:fill="DDDDDD"/>
          </w:tcPr>
          <w:p>
            <w:pPr>
              <w:spacing w:after="0"/>
              <w:rPr>
                <w:sz w:val="20"/>
                <w:szCs w:val="20"/>
                <w:color w:val="auto"/>
              </w:rPr>
            </w:pPr>
          </w:p>
        </w:tc>
        <w:tc>
          <w:tcPr>
            <w:tcW w:w="920" w:type="dxa"/>
            <w:vAlign w:val="bottom"/>
            <w:tcBorders>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800" w:type="dxa"/>
            <w:vAlign w:val="bottom"/>
            <w:gridSpan w:val="2"/>
          </w:tcPr>
          <w:p>
            <w:pPr>
              <w:ind w:left="340"/>
              <w:spacing w:after="0" w:line="190" w:lineRule="exact"/>
              <w:rPr>
                <w:sz w:val="20"/>
                <w:szCs w:val="20"/>
                <w:color w:val="auto"/>
              </w:rPr>
            </w:pPr>
            <w:r>
              <w:rPr>
                <w:rFonts w:ascii="Times New Roman" w:cs="Times New Roman" w:eastAsia="Times New Roman" w:hAnsi="Times New Roman"/>
                <w:sz w:val="18"/>
                <w:szCs w:val="18"/>
                <w:color w:val="auto"/>
              </w:rPr>
              <w:t>Trade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1,871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6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16"/>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680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770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6"/>
        </w:trPr>
        <w:tc>
          <w:tcPr>
            <w:tcW w:w="40" w:type="dxa"/>
            <w:vAlign w:val="bottom"/>
            <w:tcBorders>
              <w:bottom w:val="single" w:sz="8" w:color="DDDDDD"/>
            </w:tcBorders>
          </w:tcPr>
          <w:p>
            <w:pPr>
              <w:spacing w:after="0"/>
              <w:rPr>
                <w:sz w:val="2"/>
                <w:szCs w:val="2"/>
                <w:color w:val="auto"/>
              </w:rPr>
            </w:pPr>
          </w:p>
        </w:tc>
        <w:tc>
          <w:tcPr>
            <w:tcW w:w="1600" w:type="dxa"/>
            <w:vAlign w:val="bottom"/>
            <w:tcBorders>
              <w:bottom w:val="single" w:sz="8" w:color="DDDDDD"/>
            </w:tcBorders>
          </w:tcPr>
          <w:p>
            <w:pPr>
              <w:spacing w:after="0"/>
              <w:rPr>
                <w:sz w:val="2"/>
                <w:szCs w:val="2"/>
                <w:color w:val="auto"/>
              </w:rPr>
            </w:pPr>
          </w:p>
        </w:tc>
        <w:tc>
          <w:tcPr>
            <w:tcW w:w="520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DDDDDD"/>
          </w:tcPr>
          <w:p>
            <w:pPr>
              <w:spacing w:after="0"/>
              <w:rPr>
                <w:sz w:val="18"/>
                <w:szCs w:val="18"/>
                <w:color w:val="auto"/>
              </w:rPr>
            </w:pPr>
          </w:p>
        </w:tc>
        <w:tc>
          <w:tcPr>
            <w:tcW w:w="680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80" w:type="dxa"/>
            <w:vAlign w:val="bottom"/>
            <w:tcBorders>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Goodwill</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32"/>
        </w:trPr>
        <w:tc>
          <w:tcPr>
            <w:tcW w:w="40" w:type="dxa"/>
            <w:vAlign w:val="bottom"/>
            <w:tcBorders>
              <w:bottom w:val="single" w:sz="8" w:color="DDDDDD"/>
            </w:tcBorders>
          </w:tcPr>
          <w:p>
            <w:pPr>
              <w:spacing w:after="0"/>
              <w:rPr>
                <w:sz w:val="20"/>
                <w:szCs w:val="20"/>
                <w:color w:val="auto"/>
              </w:rPr>
            </w:pPr>
          </w:p>
        </w:tc>
        <w:tc>
          <w:tcPr>
            <w:tcW w:w="686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40" w:type="dxa"/>
            <w:vAlign w:val="bottom"/>
            <w:shd w:val="clear" w:color="auto" w:fill="DDDDDD"/>
          </w:tcPr>
          <w:p>
            <w:pPr>
              <w:spacing w:after="0"/>
              <w:rPr>
                <w:sz w:val="18"/>
                <w:szCs w:val="18"/>
                <w:color w:val="auto"/>
              </w:rPr>
            </w:pPr>
          </w:p>
        </w:tc>
        <w:tc>
          <w:tcPr>
            <w:tcW w:w="6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80" w:type="dxa"/>
            <w:vAlign w:val="bottom"/>
            <w:tcBorders>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39,658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 w:type="dxa"/>
            <w:vAlign w:val="bottom"/>
          </w:tcPr>
          <w:p>
            <w:pPr>
              <w:spacing w:after="0"/>
              <w:rPr>
                <w:sz w:val="17"/>
                <w:szCs w:val="17"/>
                <w:color w:val="auto"/>
              </w:rPr>
            </w:pPr>
          </w:p>
        </w:tc>
        <w:tc>
          <w:tcPr>
            <w:tcW w:w="6860" w:type="dxa"/>
            <w:vAlign w:val="bottom"/>
            <w:gridSpan w:val="4"/>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Bank borrowings, overdrafts and current portion of long-term debt</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payroll and bonus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40" w:type="dxa"/>
            <w:vAlign w:val="bottom"/>
            <w:tcBorders>
              <w:bottom w:val="single" w:sz="8" w:color="DDDDDD"/>
            </w:tcBorders>
          </w:tcPr>
          <w:p>
            <w:pPr>
              <w:spacing w:after="0"/>
              <w:rPr>
                <w:sz w:val="20"/>
                <w:szCs w:val="20"/>
                <w:color w:val="auto"/>
              </w:rPr>
            </w:pPr>
          </w:p>
        </w:tc>
        <w:tc>
          <w:tcPr>
            <w:tcW w:w="686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14"/>
        </w:trPr>
        <w:tc>
          <w:tcPr>
            <w:tcW w:w="40" w:type="dxa"/>
            <w:vAlign w:val="bottom"/>
            <w:shd w:val="clear" w:color="auto" w:fill="DDDDDD"/>
          </w:tcPr>
          <w:p>
            <w:pPr>
              <w:spacing w:after="0"/>
              <w:rPr>
                <w:sz w:val="18"/>
                <w:szCs w:val="18"/>
                <w:color w:val="auto"/>
              </w:rPr>
            </w:pPr>
          </w:p>
        </w:tc>
        <w:tc>
          <w:tcPr>
            <w:tcW w:w="680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80" w:type="dxa"/>
            <w:vAlign w:val="bottom"/>
            <w:tcBorders>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Retirement liabilities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52"/>
        </w:trPr>
        <w:tc>
          <w:tcPr>
            <w:tcW w:w="40" w:type="dxa"/>
            <w:vAlign w:val="bottom"/>
            <w:tcBorders>
              <w:bottom w:val="single" w:sz="8" w:color="DDDDDD"/>
            </w:tcBorders>
            <w:shd w:val="clear" w:color="auto" w:fill="DDDDDD"/>
          </w:tcPr>
          <w:p>
            <w:pPr>
              <w:spacing w:after="0"/>
              <w:rPr>
                <w:sz w:val="21"/>
                <w:szCs w:val="21"/>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260" w:type="dxa"/>
            <w:vAlign w:val="bottom"/>
            <w:tcBorders>
              <w:bottom w:val="single" w:sz="8" w:color="DDDDDD"/>
            </w:tcBorders>
            <w:shd w:val="clear" w:color="auto" w:fill="DDDDDD"/>
          </w:tcPr>
          <w:p>
            <w:pPr>
              <w:spacing w:after="0"/>
              <w:rPr>
                <w:sz w:val="21"/>
                <w:szCs w:val="21"/>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Borders>
              <w:bottom w:val="single" w:sz="8" w:color="DDDDDD"/>
              <w:right w:val="single" w:sz="8" w:color="DDDDDD"/>
            </w:tcBorders>
            <w:shd w:val="clear" w:color="auto" w:fill="DDDDDD"/>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DDDDDD"/>
            </w:tcBorders>
            <w:shd w:val="clear" w:color="auto" w:fill="DDDDDD"/>
          </w:tcPr>
          <w:p>
            <w:pPr>
              <w:spacing w:after="0"/>
              <w:rPr>
                <w:sz w:val="21"/>
                <w:szCs w:val="21"/>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194"/>
        </w:trPr>
        <w:tc>
          <w:tcPr>
            <w:tcW w:w="40" w:type="dxa"/>
            <w:vAlign w:val="bottom"/>
            <w:tcBorders>
              <w:top w:val="single" w:sz="8" w:color="DDDDDD"/>
              <w:bottom w:val="single" w:sz="8" w:color="DDDDDD"/>
            </w:tcBorders>
          </w:tcPr>
          <w:p>
            <w:pPr>
              <w:spacing w:after="0"/>
              <w:rPr>
                <w:sz w:val="16"/>
                <w:szCs w:val="16"/>
                <w:color w:val="auto"/>
              </w:rPr>
            </w:pPr>
          </w:p>
        </w:tc>
        <w:tc>
          <w:tcPr>
            <w:tcW w:w="6860" w:type="dxa"/>
            <w:vAlign w:val="bottom"/>
            <w:tcBorders>
              <w:top w:val="single" w:sz="8" w:color="DDDDDD"/>
              <w:bottom w:val="single" w:sz="8" w:color="DDDDDD"/>
            </w:tcBorders>
            <w:gridSpan w:val="4"/>
          </w:tcPr>
          <w:p>
            <w:pPr>
              <w:ind w:left="340"/>
              <w:spacing w:after="0" w:line="192" w:lineRule="exact"/>
              <w:rPr>
                <w:sz w:val="20"/>
                <w:szCs w:val="20"/>
                <w:color w:val="auto"/>
              </w:rPr>
            </w:pPr>
            <w:r>
              <w:rPr>
                <w:rFonts w:ascii="Times New Roman" w:cs="Times New Roman" w:eastAsia="Times New Roman" w:hAnsi="Times New Roman"/>
                <w:sz w:val="18"/>
                <w:szCs w:val="18"/>
                <w:color w:val="auto"/>
              </w:rPr>
              <w:t>Total Other Liabilities</w:t>
            </w:r>
          </w:p>
        </w:tc>
        <w:tc>
          <w:tcPr>
            <w:tcW w:w="2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13,906</w:t>
            </w:r>
          </w:p>
        </w:tc>
        <w:tc>
          <w:tcPr>
            <w:tcW w:w="8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14,803</w:t>
            </w:r>
          </w:p>
        </w:tc>
        <w:tc>
          <w:tcPr>
            <w:tcW w:w="0" w:type="dxa"/>
            <w:vAlign w:val="bottom"/>
          </w:tcPr>
          <w:p>
            <w:pPr>
              <w:spacing w:after="0"/>
              <w:rPr>
                <w:sz w:val="1"/>
                <w:szCs w:val="1"/>
                <w:color w:val="auto"/>
              </w:rPr>
            </w:pPr>
          </w:p>
        </w:tc>
      </w:tr>
      <w:tr>
        <w:trPr>
          <w:trHeight w:val="214"/>
        </w:trPr>
        <w:tc>
          <w:tcPr>
            <w:tcW w:w="40" w:type="dxa"/>
            <w:vAlign w:val="bottom"/>
            <w:shd w:val="clear" w:color="auto" w:fill="DDDDDD"/>
          </w:tcPr>
          <w:p>
            <w:pPr>
              <w:spacing w:after="0"/>
              <w:rPr>
                <w:sz w:val="18"/>
                <w:szCs w:val="18"/>
                <w:color w:val="auto"/>
              </w:rPr>
            </w:pPr>
          </w:p>
        </w:tc>
        <w:tc>
          <w:tcPr>
            <w:tcW w:w="6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19)</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18"/>
                <w:szCs w:val="18"/>
                <w:color w:val="auto"/>
              </w:rPr>
            </w:pPr>
          </w:p>
        </w:tc>
        <w:tc>
          <w:tcPr>
            <w:tcW w:w="80" w:type="dxa"/>
            <w:vAlign w:val="bottom"/>
            <w:tcBorders>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92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spacing w:after="0"/>
              <w:rPr>
                <w:sz w:val="18"/>
                <w:szCs w:val="18"/>
                <w:color w:val="auto"/>
              </w:rPr>
            </w:pP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86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w w:val="99"/>
              </w:rPr>
              <w:t>Common stock $0.125 par value; 500,000,000 shares authorized; 275,726,629 and 275,726,629</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860" w:type="dxa"/>
            <w:vAlign w:val="bottom"/>
            <w:gridSpan w:val="4"/>
          </w:tcPr>
          <w:p>
            <w:pPr>
              <w:spacing w:after="0" w:line="170" w:lineRule="exact"/>
              <w:rPr>
                <w:sz w:val="20"/>
                <w:szCs w:val="20"/>
                <w:color w:val="auto"/>
              </w:rPr>
            </w:pPr>
            <w:r>
              <w:rPr>
                <w:rFonts w:ascii="Times New Roman" w:cs="Times New Roman" w:eastAsia="Times New Roman" w:hAnsi="Times New Roman"/>
                <w:sz w:val="18"/>
                <w:szCs w:val="18"/>
                <w:color w:val="auto"/>
              </w:rPr>
              <w:t>shares issued as of December 31, 2022 and December 31, 2021, respectively; and 254,968,463</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860" w:type="dxa"/>
            <w:vAlign w:val="bottom"/>
            <w:gridSpan w:val="4"/>
          </w:tcPr>
          <w:p>
            <w:pPr>
              <w:spacing w:after="0" w:line="175" w:lineRule="exact"/>
              <w:rPr>
                <w:sz w:val="20"/>
                <w:szCs w:val="20"/>
                <w:color w:val="auto"/>
              </w:rPr>
            </w:pPr>
            <w:r>
              <w:rPr>
                <w:rFonts w:ascii="Times New Roman" w:cs="Times New Roman" w:eastAsia="Times New Roman" w:hAnsi="Times New Roman"/>
                <w:sz w:val="18"/>
                <w:szCs w:val="18"/>
                <w:color w:val="auto"/>
              </w:rPr>
              <w:t>and 254,573,984 shares outstanding as of December 31, 2022 and December 31, 2021,</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19,826</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0" w:type="dxa"/>
            <w:vAlign w:val="bottom"/>
          </w:tcPr>
          <w:p>
            <w:pPr>
              <w:spacing w:after="0"/>
              <w:rPr>
                <w:sz w:val="1"/>
                <w:szCs w:val="1"/>
                <w:color w:val="auto"/>
              </w:rPr>
            </w:pPr>
          </w:p>
        </w:tc>
      </w:tr>
      <w:tr>
        <w:trPr>
          <w:trHeight w:val="212"/>
        </w:trPr>
        <w:tc>
          <w:tcPr>
            <w:tcW w:w="40" w:type="dxa"/>
            <w:vAlign w:val="bottom"/>
            <w:tcBorders>
              <w:bottom w:val="single" w:sz="8" w:color="DDDDDD"/>
            </w:tcBorders>
            <w:shd w:val="clear" w:color="auto" w:fill="DDDDDD"/>
          </w:tcPr>
          <w:p>
            <w:pPr>
              <w:spacing w:after="0"/>
              <w:rPr>
                <w:sz w:val="18"/>
                <w:szCs w:val="18"/>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9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860" w:type="dxa"/>
            <w:vAlign w:val="bottom"/>
            <w:gridSpan w:val="4"/>
          </w:tcPr>
          <w:p>
            <w:pPr>
              <w:spacing w:after="0" w:line="175" w:lineRule="exact"/>
              <w:rPr>
                <w:sz w:val="20"/>
                <w:szCs w:val="20"/>
                <w:color w:val="auto"/>
              </w:rPr>
            </w:pPr>
            <w:r>
              <w:rPr>
                <w:rFonts w:ascii="Times New Roman" w:cs="Times New Roman" w:eastAsia="Times New Roman" w:hAnsi="Times New Roman"/>
                <w:sz w:val="18"/>
                <w:szCs w:val="18"/>
                <w:color w:val="auto"/>
              </w:rPr>
              <w:t>Treasury stock, at cost (20,758,166 and 21,152,645 shares as of December 31, 2022 and</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0" w:type="dxa"/>
            <w:vAlign w:val="bottom"/>
            <w:tcBorders>
              <w:bottom w:val="single" w:sz="8" w:color="DDDDDD"/>
            </w:tcBorders>
          </w:tcPr>
          <w:p>
            <w:pPr>
              <w:spacing w:after="0"/>
              <w:rPr>
                <w:sz w:val="21"/>
                <w:szCs w:val="21"/>
                <w:color w:val="auto"/>
              </w:rPr>
            </w:pPr>
          </w:p>
        </w:tc>
        <w:tc>
          <w:tcPr>
            <w:tcW w:w="686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2"/>
        </w:trPr>
        <w:tc>
          <w:tcPr>
            <w:tcW w:w="40" w:type="dxa"/>
            <w:vAlign w:val="bottom"/>
            <w:shd w:val="clear" w:color="auto" w:fill="DDDDDD"/>
          </w:tcPr>
          <w:p>
            <w:pPr>
              <w:spacing w:after="0"/>
              <w:rPr>
                <w:sz w:val="18"/>
                <w:szCs w:val="18"/>
                <w:color w:val="auto"/>
              </w:rPr>
            </w:pPr>
          </w:p>
        </w:tc>
        <w:tc>
          <w:tcPr>
            <w:tcW w:w="680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17,684</w:t>
            </w:r>
          </w:p>
        </w:tc>
        <w:tc>
          <w:tcPr>
            <w:tcW w:w="80" w:type="dxa"/>
            <w:vAlign w:val="bottom"/>
            <w:tcBorders>
              <w:bottom w:val="single" w:sz="8" w:color="DDDDDD"/>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21,082</w:t>
            </w:r>
          </w:p>
        </w:tc>
        <w:tc>
          <w:tcPr>
            <w:tcW w:w="0" w:type="dxa"/>
            <w:vAlign w:val="bottom"/>
          </w:tcPr>
          <w:p>
            <w:pPr>
              <w:spacing w:after="0"/>
              <w:rPr>
                <w:sz w:val="1"/>
                <w:szCs w:val="1"/>
                <w:color w:val="auto"/>
              </w:rPr>
            </w:pPr>
          </w:p>
        </w:tc>
      </w:tr>
      <w:tr>
        <w:trPr>
          <w:trHeight w:val="214"/>
        </w:trPr>
        <w:tc>
          <w:tcPr>
            <w:tcW w:w="40" w:type="dxa"/>
            <w:vAlign w:val="bottom"/>
            <w:tcBorders>
              <w:bottom w:val="single" w:sz="8" w:color="DDDDDD"/>
            </w:tcBorders>
          </w:tcPr>
          <w:p>
            <w:pPr>
              <w:spacing w:after="0"/>
              <w:rPr>
                <w:sz w:val="18"/>
                <w:szCs w:val="18"/>
                <w:color w:val="auto"/>
              </w:rPr>
            </w:pPr>
          </w:p>
        </w:tc>
        <w:tc>
          <w:tcPr>
            <w:tcW w:w="686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4"/>
        </w:trPr>
        <w:tc>
          <w:tcPr>
            <w:tcW w:w="40" w:type="dxa"/>
            <w:vAlign w:val="bottom"/>
            <w:shd w:val="clear" w:color="auto" w:fill="DDDDDD"/>
          </w:tcPr>
          <w:p>
            <w:pPr>
              <w:spacing w:after="0"/>
              <w:rPr>
                <w:sz w:val="18"/>
                <w:szCs w:val="18"/>
                <w:color w:val="auto"/>
              </w:rPr>
            </w:pPr>
          </w:p>
        </w:tc>
        <w:tc>
          <w:tcPr>
            <w:tcW w:w="680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Total Shareholders’ Equity including non-controlling interest</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80" w:type="dxa"/>
            <w:vAlign w:val="bottom"/>
            <w:tcBorders>
              <w:right w:val="single" w:sz="8" w:color="DDDDDD"/>
            </w:tcBorders>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-2417445</wp:posOffset>
                </wp:positionV>
                <wp:extent cx="437642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7642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499pt,-190.3499pt" to="344.15pt,-190.3499pt" o:allowincell="f" strokecolor="#FFFFFF" strokeweight="0.87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ectPr>
          <w:pgSz w:w="11880" w:h="15480" w:orient="portrait"/>
          <w:cols w:equalWidth="0" w:num="1">
            <w:col w:w="9340"/>
          </w:cols>
          <w:pgMar w:left="1280" w:top="937" w:right="1260" w:bottom="254" w:gutter="0" w:footer="0" w:header="0"/>
        </w:sectPr>
      </w:pPr>
    </w:p>
    <w:bookmarkStart w:id="62" w:name="page63"/>
    <w:bookmarkEnd w:id="62"/>
    <w:p>
      <w:pPr>
        <w:ind w:left="240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1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820" w:type="dxa"/>
            <w:vAlign w:val="bottom"/>
            <w:gridSpan w:val="3"/>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57"/>
              <w:spacing w:after="0" w:line="172" w:lineRule="exact"/>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57"/>
              <w:spacing w:after="0" w:line="172" w:lineRule="exact"/>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337"/>
              <w:spacing w:after="0" w:line="172" w:lineRule="exact"/>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5360" w:type="dxa"/>
            <w:vAlign w:val="bottom"/>
            <w:tcBorders>
              <w:bottom w:val="single" w:sz="8" w:color="DDDDDD"/>
            </w:tcBorders>
            <w:gridSpan w:val="2"/>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DDDDDD"/>
          </w:tcPr>
          <w:p>
            <w:pPr>
              <w:spacing w:after="0"/>
              <w:rPr>
                <w:sz w:val="17"/>
                <w:szCs w:val="17"/>
                <w:color w:val="auto"/>
              </w:rPr>
            </w:pPr>
          </w:p>
        </w:tc>
        <w:tc>
          <w:tcPr>
            <w:tcW w:w="5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40" w:type="dxa"/>
            <w:vAlign w:val="bottom"/>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280" w:type="dxa"/>
            <w:vAlign w:val="bottom"/>
            <w:tcBorders>
              <w:bottom w:val="single" w:sz="8" w:color="DDDDDD"/>
            </w:tcBorders>
            <w:shd w:val="clear" w:color="auto" w:fill="DDDDDD"/>
          </w:tcPr>
          <w:p>
            <w:pPr>
              <w:spacing w:after="0"/>
              <w:rPr>
                <w:sz w:val="17"/>
                <w:szCs w:val="17"/>
                <w:color w:val="auto"/>
              </w:rPr>
            </w:pPr>
          </w:p>
        </w:tc>
        <w:tc>
          <w:tcPr>
            <w:tcW w:w="9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spacing w:after="0"/>
              <w:rPr>
                <w:sz w:val="17"/>
                <w:szCs w:val="17"/>
                <w:color w:val="auto"/>
              </w:rPr>
            </w:pPr>
          </w:p>
        </w:tc>
        <w:tc>
          <w:tcPr>
            <w:tcW w:w="920" w:type="dxa"/>
            <w:vAlign w:val="bottom"/>
            <w:tcBorders>
              <w:bottom w:val="single" w:sz="8" w:color="DDDDDD"/>
            </w:tcBorders>
            <w:shd w:val="clear" w:color="auto" w:fill="DDDDDD"/>
          </w:tcPr>
          <w:p>
            <w:pPr>
              <w:spacing w:after="0"/>
              <w:rPr>
                <w:sz w:val="17"/>
                <w:szCs w:val="17"/>
                <w:color w:val="auto"/>
              </w:rPr>
            </w:pPr>
          </w:p>
        </w:tc>
        <w:tc>
          <w:tcPr>
            <w:tcW w:w="6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spacing w:after="0"/>
              <w:rPr>
                <w:sz w:val="17"/>
                <w:szCs w:val="17"/>
                <w:color w:val="auto"/>
              </w:rPr>
            </w:pPr>
          </w:p>
        </w:tc>
        <w:tc>
          <w:tcPr>
            <w:tcW w:w="860" w:type="dxa"/>
            <w:vAlign w:val="bottom"/>
            <w:tcBorders>
              <w:bottom w:val="single" w:sz="8" w:color="DDDDDD"/>
            </w:tcBorders>
            <w:shd w:val="clear" w:color="auto" w:fill="DDDDD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54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(loss) income</w:t>
            </w:r>
          </w:p>
        </w:tc>
        <w:tc>
          <w:tcPr>
            <w:tcW w:w="20" w:type="dxa"/>
            <w:vAlign w:val="bottom"/>
          </w:tcPr>
          <w:p>
            <w:pPr>
              <w:spacing w:after="0"/>
              <w:rPr>
                <w:sz w:val="17"/>
                <w:szCs w:val="17"/>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60" w:type="dxa"/>
            <w:vAlign w:val="bottom"/>
          </w:tcPr>
          <w:p>
            <w:pPr>
              <w:spacing w:after="0"/>
              <w:rPr>
                <w:sz w:val="17"/>
                <w:szCs w:val="17"/>
                <w:color w:val="auto"/>
              </w:rPr>
            </w:pPr>
          </w:p>
        </w:tc>
        <w:tc>
          <w:tcPr>
            <w:tcW w:w="3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Adjustments to reconcile to net cash provided by operating activities: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Deferred income taxes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(Gains) losses on sale of fixed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Gains on business divestiture</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Pension contributions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Amortization of inventory step-up</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Impairment of goodwill</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Changes in assets and liabilities, net of acquisitions: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540"/>
              <w:spacing w:after="0"/>
              <w:rPr>
                <w:sz w:val="20"/>
                <w:szCs w:val="20"/>
                <w:color w:val="auto"/>
              </w:rPr>
            </w:pPr>
            <w:r>
              <w:rPr>
                <w:rFonts w:ascii="Times New Roman" w:cs="Times New Roman" w:eastAsia="Times New Roman" w:hAnsi="Times New Roman"/>
                <w:sz w:val="17"/>
                <w:szCs w:val="17"/>
                <w:color w:val="auto"/>
              </w:rPr>
              <w:t>Trade receivables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540"/>
              <w:spacing w:after="0"/>
              <w:rPr>
                <w:sz w:val="20"/>
                <w:szCs w:val="20"/>
                <w:color w:val="auto"/>
              </w:rPr>
            </w:pPr>
            <w:r>
              <w:rPr>
                <w:rFonts w:ascii="Times New Roman" w:cs="Times New Roman" w:eastAsia="Times New Roman" w:hAnsi="Times New Roman"/>
                <w:sz w:val="17"/>
                <w:szCs w:val="17"/>
                <w:color w:val="auto"/>
              </w:rPr>
              <w:t>Inventories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(893)</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54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540"/>
              <w:spacing w:after="0"/>
              <w:rPr>
                <w:sz w:val="20"/>
                <w:szCs w:val="20"/>
                <w:color w:val="auto"/>
              </w:rPr>
            </w:pPr>
            <w:r>
              <w:rPr>
                <w:rFonts w:ascii="Times New Roman" w:cs="Times New Roman" w:eastAsia="Times New Roman" w:hAnsi="Times New Roman"/>
                <w:sz w:val="17"/>
                <w:szCs w:val="17"/>
                <w:color w:val="auto"/>
              </w:rPr>
              <w:t>Accruals for incentive compensation</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5420" w:type="dxa"/>
            <w:vAlign w:val="bottom"/>
            <w:gridSpan w:val="4"/>
          </w:tcPr>
          <w:p>
            <w:pPr>
              <w:ind w:left="540"/>
              <w:spacing w:after="0"/>
              <w:rPr>
                <w:sz w:val="20"/>
                <w:szCs w:val="20"/>
                <w:color w:val="auto"/>
              </w:rPr>
            </w:pPr>
            <w:r>
              <w:rPr>
                <w:rFonts w:ascii="Times New Roman" w:cs="Times New Roman" w:eastAsia="Times New Roman" w:hAnsi="Times New Roman"/>
                <w:sz w:val="17"/>
                <w:szCs w:val="17"/>
                <w:color w:val="auto"/>
              </w:rPr>
              <w:t>Other current payables and accrued expenses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540"/>
              <w:spacing w:after="0"/>
              <w:rPr>
                <w:sz w:val="20"/>
                <w:szCs w:val="20"/>
                <w:color w:val="auto"/>
              </w:rPr>
            </w:pPr>
            <w:r>
              <w:rPr>
                <w:rFonts w:ascii="Times New Roman" w:cs="Times New Roman" w:eastAsia="Times New Roman" w:hAnsi="Times New Roman"/>
                <w:sz w:val="17"/>
                <w:szCs w:val="17"/>
                <w:color w:val="auto"/>
              </w:rPr>
              <w:t>Other assets/liabilities, net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spacing w:after="0"/>
              <w:rPr>
                <w:sz w:val="19"/>
                <w:szCs w:val="19"/>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tcBorders>
              <w:bottom w:val="single" w:sz="8" w:color="auto"/>
            </w:tcBorders>
            <w:shd w:val="clear" w:color="auto" w:fill="DDDDDD"/>
          </w:tcPr>
          <w:p>
            <w:pPr>
              <w:spacing w:after="0"/>
              <w:rPr>
                <w:sz w:val="19"/>
                <w:szCs w:val="19"/>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60" w:type="dxa"/>
            <w:vAlign w:val="bottom"/>
            <w:shd w:val="clear" w:color="auto" w:fill="DDDDDD"/>
          </w:tcPr>
          <w:p>
            <w:pPr>
              <w:spacing w:after="0"/>
              <w:rPr>
                <w:sz w:val="19"/>
                <w:szCs w:val="19"/>
                <w:color w:val="auto"/>
              </w:rPr>
            </w:pPr>
          </w:p>
        </w:tc>
        <w:tc>
          <w:tcPr>
            <w:tcW w:w="320" w:type="dxa"/>
            <w:vAlign w:val="bottom"/>
            <w:tcBorders>
              <w:bottom w:val="single" w:sz="8" w:color="auto"/>
            </w:tcBorders>
            <w:shd w:val="clear" w:color="auto" w:fill="DDDDDD"/>
          </w:tcPr>
          <w:p>
            <w:pPr>
              <w:spacing w:after="0"/>
              <w:rPr>
                <w:sz w:val="19"/>
                <w:szCs w:val="19"/>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DDDDDD"/>
            </w:tcBorders>
          </w:tcPr>
          <w:p>
            <w:pPr>
              <w:spacing w:after="0"/>
              <w:rPr>
                <w:sz w:val="20"/>
                <w:szCs w:val="20"/>
                <w:color w:val="auto"/>
              </w:rPr>
            </w:pPr>
          </w:p>
        </w:tc>
        <w:tc>
          <w:tcPr>
            <w:tcW w:w="542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1,437</w:t>
            </w:r>
          </w:p>
        </w:tc>
        <w:tc>
          <w:tcPr>
            <w:tcW w:w="60" w:type="dxa"/>
            <w:vAlign w:val="bottom"/>
            <w:tcBorders>
              <w:bottom w:val="single" w:sz="8" w:color="DDDDDD"/>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DDDDDD"/>
          </w:tcPr>
          <w:p>
            <w:pPr>
              <w:spacing w:after="0"/>
              <w:rPr>
                <w:sz w:val="15"/>
                <w:szCs w:val="15"/>
                <w:color w:val="auto"/>
              </w:rPr>
            </w:pPr>
          </w:p>
        </w:tc>
        <w:tc>
          <w:tcPr>
            <w:tcW w:w="5360" w:type="dxa"/>
            <w:vAlign w:val="bottom"/>
            <w:gridSpan w:val="2"/>
            <w:shd w:val="clear" w:color="auto" w:fill="DDDDDD"/>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4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28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860" w:type="dxa"/>
            <w:vAlign w:val="bottom"/>
            <w:shd w:val="clear" w:color="auto" w:fill="DDDDD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3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Cash paid for acquisitions, net of cash received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Additions to intangible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Proceeds from disposal of assets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Proceeds from unwinding of derivative instruments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Cash provided by the Merger with N&amp;B</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Net proceeds received from business divestiture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Maturity of net investment hedges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tcPr>
          <w:p>
            <w:pPr>
              <w:spacing w:after="0"/>
              <w:rPr>
                <w:sz w:val="19"/>
                <w:szCs w:val="19"/>
                <w:color w:val="auto"/>
              </w:rPr>
            </w:pPr>
          </w:p>
        </w:tc>
        <w:tc>
          <w:tcPr>
            <w:tcW w:w="5420" w:type="dxa"/>
            <w:vAlign w:val="bottom"/>
            <w:tcBorders>
              <w:bottom w:val="single" w:sz="8" w:color="DDDDDD"/>
            </w:tcBorders>
            <w:gridSpan w:val="4"/>
          </w:tcPr>
          <w:p>
            <w:pPr>
              <w:ind w:left="340"/>
              <w:spacing w:after="0"/>
              <w:rPr>
                <w:sz w:val="20"/>
                <w:szCs w:val="20"/>
                <w:color w:val="auto"/>
              </w:rPr>
            </w:pPr>
            <w:r>
              <w:rPr>
                <w:rFonts w:ascii="Times New Roman" w:cs="Times New Roman" w:eastAsia="Times New Roman" w:hAnsi="Times New Roman"/>
                <w:sz w:val="17"/>
                <w:szCs w:val="17"/>
                <w:color w:val="auto"/>
              </w:rPr>
              <w:t>Proceeds from life insurance contracts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Borders>
              <w:bottom w:val="single" w:sz="8" w:color="DDDDDD"/>
            </w:tcBorders>
            <w:shd w:val="clear" w:color="auto" w:fill="DDDDDD"/>
          </w:tcPr>
          <w:p>
            <w:pPr>
              <w:spacing w:after="0"/>
              <w:rPr>
                <w:sz w:val="18"/>
                <w:szCs w:val="18"/>
                <w:color w:val="auto"/>
              </w:rPr>
            </w:pPr>
          </w:p>
        </w:tc>
        <w:tc>
          <w:tcPr>
            <w:tcW w:w="536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auto"/>
            </w:tcBorders>
            <w:shd w:val="clear" w:color="auto" w:fill="DDDDDD"/>
          </w:tcPr>
          <w:p>
            <w:pPr>
              <w:spacing w:after="0"/>
              <w:rPr>
                <w:sz w:val="18"/>
                <w:szCs w:val="18"/>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0" w:type="dxa"/>
            <w:vAlign w:val="bottom"/>
          </w:tcPr>
          <w:p>
            <w:pPr>
              <w:spacing w:after="0"/>
              <w:rPr>
                <w:sz w:val="13"/>
                <w:szCs w:val="13"/>
                <w:color w:val="auto"/>
              </w:rPr>
            </w:pPr>
          </w:p>
        </w:tc>
        <w:tc>
          <w:tcPr>
            <w:tcW w:w="54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Cash dividends paid to shareholders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Dividends paid to redeemable non-controlling interest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Increase (decrease) in revolving credit facility and short term borrowings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w w:val="97"/>
              </w:rPr>
              <w:t>Proceeds from issuance of commercial paper (maturities after three months)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Repayments of commercial paper (maturities after three months)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shd w:val="clear" w:color="auto" w:fill="DDDDDD"/>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Net borrowings of commercial paper (maturities less than three months)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Deferred financing costs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Purchases of redeemable non-controlling interest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5360" w:type="dxa"/>
            <w:vAlign w:val="bottom"/>
            <w:gridSpan w:val="2"/>
          </w:tcPr>
          <w:p>
            <w:pPr>
              <w:ind w:left="340"/>
              <w:spacing w:after="0" w:line="185" w:lineRule="exact"/>
              <w:rPr>
                <w:sz w:val="20"/>
                <w:szCs w:val="20"/>
                <w:color w:val="auto"/>
              </w:rPr>
            </w:pPr>
            <w:r>
              <w:rPr>
                <w:rFonts w:ascii="Times New Roman" w:cs="Times New Roman" w:eastAsia="Times New Roman" w:hAnsi="Times New Roman"/>
                <w:sz w:val="17"/>
                <w:szCs w:val="17"/>
                <w:color w:val="auto"/>
              </w:rPr>
              <w:t>Proceeds from issuance of long-term debt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Contingent consideration paid</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Proceeds from issuance of stock in connection with stock options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7"/>
                <w:szCs w:val="17"/>
                <w:color w:val="auto"/>
              </w:rPr>
              <w:t>Employee withholding taxes paid</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tcPr>
          <w:p>
            <w:pPr>
              <w:spacing w:after="0"/>
              <w:rPr>
                <w:sz w:val="19"/>
                <w:szCs w:val="19"/>
                <w:color w:val="auto"/>
              </w:rPr>
            </w:pPr>
          </w:p>
        </w:tc>
        <w:tc>
          <w:tcPr>
            <w:tcW w:w="5420" w:type="dxa"/>
            <w:vAlign w:val="bottom"/>
            <w:tcBorders>
              <w:bottom w:val="single" w:sz="8" w:color="DDDDDD"/>
            </w:tcBorders>
            <w:gridSpan w:val="4"/>
          </w:tcPr>
          <w:p>
            <w:pPr>
              <w:ind w:left="34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DDDDDD"/>
          </w:tcPr>
          <w:p>
            <w:pPr>
              <w:spacing w:after="0"/>
              <w:rPr>
                <w:sz w:val="17"/>
                <w:szCs w:val="17"/>
                <w:color w:val="auto"/>
              </w:rPr>
            </w:pPr>
          </w:p>
        </w:tc>
        <w:tc>
          <w:tcPr>
            <w:tcW w:w="5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(1,304)</w:t>
            </w:r>
          </w:p>
        </w:tc>
        <w:tc>
          <w:tcPr>
            <w:tcW w:w="60" w:type="dxa"/>
            <w:vAlign w:val="bottom"/>
            <w:shd w:val="clear" w:color="auto" w:fill="DDDDDD"/>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DDDDDD"/>
            </w:tcBorders>
          </w:tcPr>
          <w:p>
            <w:pPr>
              <w:spacing w:after="0"/>
              <w:rPr>
                <w:sz w:val="17"/>
                <w:szCs w:val="17"/>
                <w:color w:val="auto"/>
              </w:rPr>
            </w:pPr>
          </w:p>
        </w:tc>
        <w:tc>
          <w:tcPr>
            <w:tcW w:w="542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Borders>
              <w:bottom w:val="single" w:sz="8" w:color="DDDDDD"/>
            </w:tcBorders>
          </w:tcPr>
          <w:p>
            <w:pPr>
              <w:spacing w:after="0"/>
              <w:rPr>
                <w:sz w:val="17"/>
                <w:szCs w:val="17"/>
                <w:color w:val="auto"/>
              </w:rPr>
            </w:pPr>
          </w:p>
        </w:tc>
        <w:tc>
          <w:tcPr>
            <w:tcW w:w="2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60" w:type="dxa"/>
            <w:vAlign w:val="bottom"/>
            <w:tcBorders>
              <w:bottom w:val="single" w:sz="8" w:color="DDDDDD"/>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shd w:val="clear" w:color="auto" w:fill="DDDDDD"/>
          </w:tcPr>
          <w:p>
            <w:pPr>
              <w:spacing w:after="0"/>
              <w:rPr>
                <w:sz w:val="17"/>
                <w:szCs w:val="17"/>
                <w:color w:val="auto"/>
              </w:rPr>
            </w:pPr>
          </w:p>
        </w:tc>
        <w:tc>
          <w:tcPr>
            <w:tcW w:w="5360" w:type="dxa"/>
            <w:vAlign w:val="bottom"/>
            <w:gridSpan w:val="2"/>
            <w:shd w:val="clear" w:color="auto" w:fill="DDDDDD"/>
          </w:tcPr>
          <w:p>
            <w:pPr>
              <w:spacing w:after="0" w:line="193" w:lineRule="exact"/>
              <w:rPr>
                <w:sz w:val="20"/>
                <w:szCs w:val="20"/>
                <w:color w:val="auto"/>
              </w:rPr>
            </w:pPr>
            <w:r>
              <w:rPr>
                <w:rFonts w:ascii="Times New Roman" w:cs="Times New Roman" w:eastAsia="Times New Roman" w:hAnsi="Times New Roman"/>
                <w:sz w:val="17"/>
                <w:szCs w:val="17"/>
                <w:b w:val="1"/>
                <w:bCs w:val="1"/>
                <w:color w:val="auto"/>
              </w:rPr>
              <w:t>Net change in cash, cash equivalents and restricted cash</w:t>
            </w: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90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92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56</w:t>
            </w:r>
          </w:p>
        </w:tc>
        <w:tc>
          <w:tcPr>
            <w:tcW w:w="6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860" w:type="dxa"/>
            <w:vAlign w:val="bottom"/>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tcPr>
          <w:p>
            <w:pPr>
              <w:spacing w:after="0"/>
              <w:rPr>
                <w:sz w:val="19"/>
                <w:szCs w:val="19"/>
                <w:color w:val="auto"/>
              </w:rPr>
            </w:pPr>
          </w:p>
        </w:tc>
        <w:tc>
          <w:tcPr>
            <w:tcW w:w="542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year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0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60" w:type="dxa"/>
            <w:vAlign w:val="bottom"/>
            <w:tcBorders>
              <w:bottom w:val="single" w:sz="8" w:color="DDDDDD"/>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DDDDDD"/>
            </w:tcBorders>
            <w:shd w:val="clear" w:color="auto" w:fill="DDDDDD"/>
          </w:tcPr>
          <w:p>
            <w:pPr>
              <w:spacing w:after="0"/>
              <w:rPr>
                <w:sz w:val="18"/>
                <w:szCs w:val="18"/>
                <w:color w:val="auto"/>
              </w:rPr>
            </w:pPr>
          </w:p>
        </w:tc>
        <w:tc>
          <w:tcPr>
            <w:tcW w:w="5360" w:type="dxa"/>
            <w:vAlign w:val="bottom"/>
            <w:tcBorders>
              <w:bottom w:val="single" w:sz="8" w:color="DDDDDD"/>
            </w:tcBorders>
            <w:gridSpan w:val="2"/>
            <w:shd w:val="clear" w:color="auto" w:fill="DDDDDD"/>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Cash, cash equivalents and restricted cash at end of year</w:t>
            </w: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280" w:type="dxa"/>
            <w:vAlign w:val="bottom"/>
            <w:tcBorders>
              <w:bottom w:val="single" w:sz="8" w:color="auto"/>
            </w:tcBorders>
            <w:shd w:val="clear" w:color="auto" w:fill="DDDDDD"/>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552</w:t>
            </w:r>
          </w:p>
        </w:tc>
        <w:tc>
          <w:tcPr>
            <w:tcW w:w="120" w:type="dxa"/>
            <w:vAlign w:val="bottom"/>
            <w:tcBorders>
              <w:bottom w:val="single" w:sz="8" w:color="DDDDDD"/>
            </w:tcBorders>
            <w:gridSpan w:val="2"/>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716</w:t>
            </w:r>
          </w:p>
        </w:tc>
        <w:tc>
          <w:tcPr>
            <w:tcW w:w="60" w:type="dxa"/>
            <w:vAlign w:val="bottom"/>
            <w:tcBorders>
              <w:bottom w:val="single" w:sz="8" w:color="DDDDDD"/>
            </w:tcBorders>
            <w:shd w:val="clear" w:color="auto" w:fill="DDDDDD"/>
          </w:tcPr>
          <w:p>
            <w:pPr>
              <w:spacing w:after="0"/>
              <w:rPr>
                <w:sz w:val="18"/>
                <w:szCs w:val="18"/>
                <w:color w:val="auto"/>
              </w:rPr>
            </w:pPr>
          </w:p>
        </w:tc>
        <w:tc>
          <w:tcPr>
            <w:tcW w:w="320" w:type="dxa"/>
            <w:vAlign w:val="bottom"/>
            <w:tcBorders>
              <w:bottom w:val="single" w:sz="8" w:color="auto"/>
            </w:tcBorders>
            <w:shd w:val="clear" w:color="auto" w:fill="DDDDDD"/>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20" w:type="dxa"/>
            <w:vAlign w:val="bottom"/>
            <w:gridSpan w:val="4"/>
            <w:vMerge w:val="restart"/>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54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0" w:type="dxa"/>
            <w:vAlign w:val="bottom"/>
            <w:tcBorders>
              <w:bottom w:val="single" w:sz="8" w:color="DDDDDD"/>
            </w:tcBorders>
            <w:shd w:val="clear" w:color="auto" w:fill="DDDDDD"/>
          </w:tcPr>
          <w:p>
            <w:pPr>
              <w:spacing w:after="0"/>
              <w:rPr>
                <w:sz w:val="17"/>
                <w:szCs w:val="17"/>
                <w:color w:val="auto"/>
              </w:rPr>
            </w:pPr>
          </w:p>
        </w:tc>
        <w:tc>
          <w:tcPr>
            <w:tcW w:w="5360" w:type="dxa"/>
            <w:vAlign w:val="bottom"/>
            <w:tcBorders>
              <w:bottom w:val="single" w:sz="8" w:color="DDDDDD"/>
            </w:tcBorders>
            <w:gridSpan w:val="2"/>
            <w:shd w:val="clear" w:color="auto" w:fill="DDDDDD"/>
          </w:tcPr>
          <w:p>
            <w:pPr>
              <w:spacing w:after="0" w:line="193" w:lineRule="exact"/>
              <w:rPr>
                <w:sz w:val="20"/>
                <w:szCs w:val="20"/>
                <w:color w:val="auto"/>
              </w:rPr>
            </w:pPr>
            <w:r>
              <w:rPr>
                <w:rFonts w:ascii="Times New Roman" w:cs="Times New Roman" w:eastAsia="Times New Roman" w:hAnsi="Times New Roman"/>
                <w:sz w:val="17"/>
                <w:szCs w:val="17"/>
                <w:color w:val="auto"/>
              </w:rPr>
              <w:t>Interest paid, net of amounts capitalized</w:t>
            </w:r>
          </w:p>
        </w:tc>
        <w:tc>
          <w:tcPr>
            <w:tcW w:w="40" w:type="dxa"/>
            <w:vAlign w:val="bottom"/>
            <w:tcBorders>
              <w:bottom w:val="single" w:sz="8" w:color="DDDDDD"/>
            </w:tcBorders>
            <w:shd w:val="clear" w:color="auto" w:fill="DDDDDD"/>
          </w:tcPr>
          <w:p>
            <w:pPr>
              <w:spacing w:after="0"/>
              <w:rPr>
                <w:sz w:val="17"/>
                <w:szCs w:val="17"/>
                <w:color w:val="auto"/>
              </w:rPr>
            </w:pPr>
          </w:p>
        </w:tc>
        <w:tc>
          <w:tcPr>
            <w:tcW w:w="20" w:type="dxa"/>
            <w:vAlign w:val="bottom"/>
            <w:tcBorders>
              <w:bottom w:val="single" w:sz="8" w:color="DDDDDD"/>
            </w:tcBorders>
            <w:shd w:val="clear" w:color="auto" w:fill="DDDDDD"/>
          </w:tcPr>
          <w:p>
            <w:pPr>
              <w:spacing w:after="0"/>
              <w:rPr>
                <w:sz w:val="17"/>
                <w:szCs w:val="17"/>
                <w:color w:val="auto"/>
              </w:rPr>
            </w:pPr>
          </w:p>
        </w:tc>
        <w:tc>
          <w:tcPr>
            <w:tcW w:w="280" w:type="dxa"/>
            <w:vAlign w:val="bottom"/>
            <w:tcBorders>
              <w:bottom w:val="single" w:sz="8" w:color="DDDDDD"/>
            </w:tcBorders>
            <w:shd w:val="clear" w:color="auto" w:fill="DDDDDD"/>
          </w:tcPr>
          <w:p>
            <w:pPr>
              <w:jc w:val="right"/>
              <w:ind w:right="77"/>
              <w:spacing w:after="0" w:line="193"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310</w:t>
            </w:r>
          </w:p>
        </w:tc>
        <w:tc>
          <w:tcPr>
            <w:tcW w:w="120" w:type="dxa"/>
            <w:vAlign w:val="bottom"/>
            <w:tcBorders>
              <w:bottom w:val="single" w:sz="8" w:color="DDDDDD"/>
            </w:tcBorders>
            <w:gridSpan w:val="2"/>
            <w:shd w:val="clear" w:color="auto" w:fill="DDDDDD"/>
          </w:tcPr>
          <w:p>
            <w:pPr>
              <w:spacing w:after="0"/>
              <w:rPr>
                <w:sz w:val="17"/>
                <w:szCs w:val="17"/>
                <w:color w:val="auto"/>
              </w:rPr>
            </w:pPr>
          </w:p>
        </w:tc>
        <w:tc>
          <w:tcPr>
            <w:tcW w:w="260" w:type="dxa"/>
            <w:vAlign w:val="bottom"/>
            <w:tcBorders>
              <w:bottom w:val="single" w:sz="8" w:color="DDDDDD"/>
            </w:tcBorders>
            <w:shd w:val="clear" w:color="auto" w:fill="DDDDDD"/>
          </w:tcPr>
          <w:p>
            <w:pPr>
              <w:jc w:val="right"/>
              <w:ind w:right="57"/>
              <w:spacing w:after="0" w:line="193"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310</w:t>
            </w:r>
          </w:p>
        </w:tc>
        <w:tc>
          <w:tcPr>
            <w:tcW w:w="60" w:type="dxa"/>
            <w:vAlign w:val="bottom"/>
            <w:tcBorders>
              <w:bottom w:val="single" w:sz="8" w:color="DDDDDD"/>
            </w:tcBorders>
            <w:shd w:val="clear" w:color="auto" w:fill="DDDDDD"/>
          </w:tcPr>
          <w:p>
            <w:pPr>
              <w:spacing w:after="0"/>
              <w:rPr>
                <w:sz w:val="17"/>
                <w:szCs w:val="17"/>
                <w:color w:val="auto"/>
              </w:rPr>
            </w:pPr>
          </w:p>
        </w:tc>
        <w:tc>
          <w:tcPr>
            <w:tcW w:w="320" w:type="dxa"/>
            <w:vAlign w:val="bottom"/>
            <w:tcBorders>
              <w:bottom w:val="single" w:sz="8" w:color="DDDDDD"/>
            </w:tcBorders>
            <w:shd w:val="clear" w:color="auto" w:fill="DDDDDD"/>
          </w:tcPr>
          <w:p>
            <w:pPr>
              <w:jc w:val="right"/>
              <w:ind w:right="117"/>
              <w:spacing w:after="0" w:line="193"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DDDDDD"/>
            </w:tcBorders>
            <w:shd w:val="clear" w:color="auto" w:fill="DDDDDD"/>
          </w:tcPr>
          <w:p>
            <w:pPr>
              <w:jc w:val="right"/>
              <w:spacing w:after="0" w:line="193" w:lineRule="exact"/>
              <w:rPr>
                <w:sz w:val="20"/>
                <w:szCs w:val="20"/>
                <w:color w:val="auto"/>
              </w:rPr>
            </w:pPr>
            <w:r>
              <w:rPr>
                <w:rFonts w:ascii="Times New Roman" w:cs="Times New Roman" w:eastAsia="Times New Roman" w:hAnsi="Times New Roman"/>
                <w:sz w:val="17"/>
                <w:szCs w:val="17"/>
                <w:color w:val="auto"/>
              </w:rPr>
              <w:t>128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Income taxes paid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7"/>
                <w:szCs w:val="17"/>
                <w:color w:val="auto"/>
              </w:rPr>
              <w:t>Accrued capital expenditures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4247515</wp:posOffset>
                </wp:positionH>
                <wp:positionV relativeFrom="paragraph">
                  <wp:posOffset>-6134735</wp:posOffset>
                </wp:positionV>
                <wp:extent cx="0" cy="13779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795"/>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4.45pt,-483.0499pt" to="334.45pt,-472.19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5043805</wp:posOffset>
                </wp:positionH>
                <wp:positionV relativeFrom="paragraph">
                  <wp:posOffset>-6134735</wp:posOffset>
                </wp:positionV>
                <wp:extent cx="0" cy="13779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37795"/>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7.15pt,-483.0499pt" to="397.15pt,-472.1999pt" o:allowincell="f" strokecolor="#FFFFFF" strokeweight="1.0939pt"/>
            </w:pict>
          </mc:Fallback>
        </mc:AlternateConten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ectPr>
          <w:pgSz w:w="11880" w:h="15480" w:orient="portrait"/>
          <w:cols w:equalWidth="0" w:num="1">
            <w:col w:w="9180"/>
          </w:cols>
          <w:pgMar w:left="1360" w:top="941" w:right="1340" w:bottom="258"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(DOLLARS IN MILLIONS)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38735</wp:posOffset>
                </wp:positionV>
                <wp:extent cx="1353185" cy="13589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35890"/>
                        </a:xfrm>
                        <a:prstGeom prst="rect">
                          <a:avLst/>
                        </a:prstGeom>
                        <a:solidFill>
                          <a:srgbClr val="DDDDDD"/>
                        </a:solidFill>
                      </wps:spPr>
                      <wps:bodyPr/>
                    </wps:wsp>
                  </a:graphicData>
                </a:graphic>
              </wp:anchor>
            </w:drawing>
          </mc:Choice>
          <mc:Fallback>
            <w:pict>
              <v:rect id="Shape 32" o:spid="_x0000_s1057" style="position:absolute;margin-left:-2.1999pt;margin-top:3.05pt;width:106.55pt;height:1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49530</wp:posOffset>
                </wp:positionV>
                <wp:extent cx="1292225" cy="12509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5095"/>
                        </a:xfrm>
                        <a:prstGeom prst="rect">
                          <a:avLst/>
                        </a:prstGeom>
                        <a:solidFill>
                          <a:srgbClr val="DDDDDD"/>
                        </a:solidFill>
                      </wps:spPr>
                      <wps:bodyPr/>
                    </wps:wsp>
                  </a:graphicData>
                </a:graphic>
              </wp:anchor>
            </w:drawing>
          </mc:Choice>
          <mc:Fallback>
            <w:pict>
              <v:rect id="Shape 33" o:spid="_x0000_s1058" style="position:absolute;margin-left:0.2pt;margin-top:3.9pt;width:101.7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33020</wp:posOffset>
                </wp:positionV>
                <wp:extent cx="135318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4763"/>
                        </a:xfrm>
                        <a:prstGeom prst="line">
                          <a:avLst/>
                        </a:prstGeom>
                        <a:solidFill>
                          <a:srgbClr val="FFFFFF"/>
                        </a:solidFill>
                        <a:ln w="11125">
                          <a:solidFill>
                            <a:srgbClr val="DDDDDD"/>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99pt,2.6pt" to="104.35pt,2.6pt" o:allowincell="f" strokecolor="#DDDDDD" strokeweight="0.876pt"/>
            </w:pict>
          </mc:Fallback>
        </mc:AlternateContent>
      </w:r>
    </w:p>
    <w:p>
      <w:pPr>
        <w:spacing w:after="0" w:line="53" w:lineRule="exact"/>
        <w:rPr>
          <w:sz w:val="20"/>
          <w:szCs w:val="20"/>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Balance at December 31, 2019 Net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highlight w:val="lightGray"/>
        </w:rPr>
        <w:t>Cumulative translation adjustment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48895</wp:posOffset>
                </wp:positionV>
                <wp:extent cx="1352550" cy="24193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241935"/>
                        </a:xfrm>
                        <a:prstGeom prst="rect">
                          <a:avLst/>
                        </a:prstGeom>
                        <a:solidFill>
                          <a:srgbClr val="FFFFFF"/>
                        </a:solidFill>
                      </wps:spPr>
                      <wps:bodyPr/>
                    </wps:wsp>
                  </a:graphicData>
                </a:graphic>
              </wp:anchor>
            </w:drawing>
          </mc:Choice>
          <mc:Fallback>
            <w:pict>
              <v:rect id="Shape 35" o:spid="_x0000_s1060" style="position:absolute;margin-left:-2.1499pt;margin-top:3.85pt;width:106.5pt;height:1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1292225" cy="11938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19380"/>
                        </a:xfrm>
                        <a:prstGeom prst="rect">
                          <a:avLst/>
                        </a:prstGeom>
                        <a:solidFill>
                          <a:srgbClr val="FFFFFF"/>
                        </a:solidFill>
                      </wps:spPr>
                      <wps:bodyPr/>
                    </wps:wsp>
                  </a:graphicData>
                </a:graphic>
              </wp:anchor>
            </w:drawing>
          </mc:Choice>
          <mc:Fallback>
            <w:pict>
              <v:rect id="Shape 36" o:spid="_x0000_s1061" style="position:absolute;margin-left:0.2pt;margin-top:3.8pt;width:101.75pt;height:9.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167640</wp:posOffset>
                </wp:positionV>
                <wp:extent cx="1292225" cy="94615"/>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94615"/>
                        </a:xfrm>
                        <a:prstGeom prst="rect">
                          <a:avLst/>
                        </a:prstGeom>
                        <a:solidFill>
                          <a:srgbClr val="FFFFFF"/>
                        </a:solidFill>
                      </wps:spPr>
                      <wps:bodyPr/>
                    </wps:wsp>
                  </a:graphicData>
                </a:graphic>
              </wp:anchor>
            </w:drawing>
          </mc:Choice>
          <mc:Fallback>
            <w:pict>
              <v:rect id="Shape 37" o:spid="_x0000_s1062" style="position:absolute;margin-left:0.2pt;margin-top:13.2pt;width:101.75pt;height:7.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6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Losses on derivatives qualifying as hedges; net of tax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12065</wp:posOffset>
                </wp:positionV>
                <wp:extent cx="1352550" cy="24447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244475"/>
                        </a:xfrm>
                        <a:prstGeom prst="rect">
                          <a:avLst/>
                        </a:prstGeom>
                        <a:solidFill>
                          <a:srgbClr val="DDDDDD"/>
                        </a:solidFill>
                      </wps:spPr>
                      <wps:bodyPr/>
                    </wps:wsp>
                  </a:graphicData>
                </a:graphic>
              </wp:anchor>
            </w:drawing>
          </mc:Choice>
          <mc:Fallback>
            <w:pict>
              <v:rect id="Shape 38" o:spid="_x0000_s1063" style="position:absolute;margin-left:-2.1499pt;margin-top:0.95pt;width:106.5pt;height:1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12065</wp:posOffset>
                </wp:positionV>
                <wp:extent cx="1292225" cy="11684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16840"/>
                        </a:xfrm>
                        <a:prstGeom prst="rect">
                          <a:avLst/>
                        </a:prstGeom>
                        <a:solidFill>
                          <a:srgbClr val="DDDDDD"/>
                        </a:solidFill>
                      </wps:spPr>
                      <wps:bodyPr/>
                    </wps:wsp>
                  </a:graphicData>
                </a:graphic>
              </wp:anchor>
            </w:drawing>
          </mc:Choice>
          <mc:Fallback>
            <w:pict>
              <v:rect id="Shape 39" o:spid="_x0000_s1064" style="position:absolute;margin-left:0.2pt;margin-top:0.95pt;width:101.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128905</wp:posOffset>
                </wp:positionV>
                <wp:extent cx="1292225" cy="8572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85725"/>
                        </a:xfrm>
                        <a:prstGeom prst="rect">
                          <a:avLst/>
                        </a:prstGeom>
                        <a:solidFill>
                          <a:srgbClr val="DDDDDD"/>
                        </a:solidFill>
                      </wps:spPr>
                      <wps:bodyPr/>
                    </wps:wsp>
                  </a:graphicData>
                </a:graphic>
              </wp:anchor>
            </w:drawing>
          </mc:Choice>
          <mc:Fallback>
            <w:pict>
              <v:rect id="Shape 40" o:spid="_x0000_s1065" style="position:absolute;margin-left:0.2pt;margin-top:10.15pt;width:101.75pt;height:6.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-27305</wp:posOffset>
                </wp:positionH>
                <wp:positionV relativeFrom="paragraph">
                  <wp:posOffset>256540</wp:posOffset>
                </wp:positionV>
                <wp:extent cx="1352550" cy="241935"/>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241935"/>
                        </a:xfrm>
                        <a:prstGeom prst="rect">
                          <a:avLst/>
                        </a:prstGeom>
                        <a:solidFill>
                          <a:srgbClr val="FFFFFF"/>
                        </a:solidFill>
                      </wps:spPr>
                      <wps:bodyPr/>
                    </wps:wsp>
                  </a:graphicData>
                </a:graphic>
              </wp:anchor>
            </w:drawing>
          </mc:Choice>
          <mc:Fallback>
            <w:pict>
              <v:rect id="Shape 41" o:spid="_x0000_s1066" style="position:absolute;margin-left:-2.1499pt;margin-top:20.2pt;width:106.5pt;height:1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256540</wp:posOffset>
                </wp:positionV>
                <wp:extent cx="1292225" cy="10858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08585"/>
                        </a:xfrm>
                        <a:prstGeom prst="rect">
                          <a:avLst/>
                        </a:prstGeom>
                        <a:solidFill>
                          <a:srgbClr val="FFFFFF"/>
                        </a:solidFill>
                      </wps:spPr>
                      <wps:bodyPr/>
                    </wps:wsp>
                  </a:graphicData>
                </a:graphic>
              </wp:anchor>
            </w:drawing>
          </mc:Choice>
          <mc:Fallback>
            <w:pict>
              <v:rect id="Shape 42" o:spid="_x0000_s1067" style="position:absolute;margin-left:0.2pt;margin-top:20.2pt;width:101.75pt;height:8.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365125</wp:posOffset>
                </wp:positionV>
                <wp:extent cx="1292225" cy="11112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11125"/>
                        </a:xfrm>
                        <a:prstGeom prst="rect">
                          <a:avLst/>
                        </a:prstGeom>
                        <a:solidFill>
                          <a:srgbClr val="FFFFFF"/>
                        </a:solidFill>
                      </wps:spPr>
                      <wps:bodyPr/>
                    </wps:wsp>
                  </a:graphicData>
                </a:graphic>
              </wp:anchor>
            </w:drawing>
          </mc:Choice>
          <mc:Fallback>
            <w:pict>
              <v:rect id="Shape 43" o:spid="_x0000_s1068" style="position:absolute;margin-left:0.2pt;margin-top:28.75pt;width:101.75pt;height:8.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11"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2"/>
          <w:szCs w:val="12"/>
          <w:color w:val="auto"/>
        </w:rPr>
        <w:t>Pension liability and postretirement adjustment; net of tax $(9)</w:t>
      </w:r>
    </w:p>
    <w:p>
      <w:pPr>
        <w:spacing w:after="0" w:line="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Cash dividends declared ($3.04 per share)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options/SSARs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-98425</wp:posOffset>
                </wp:positionV>
                <wp:extent cx="1353185" cy="14668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46685"/>
                        </a:xfrm>
                        <a:prstGeom prst="rect">
                          <a:avLst/>
                        </a:prstGeom>
                        <a:solidFill>
                          <a:srgbClr val="DDDDDD"/>
                        </a:solidFill>
                      </wps:spPr>
                      <wps:bodyPr/>
                    </wps:wsp>
                  </a:graphicData>
                </a:graphic>
              </wp:anchor>
            </w:drawing>
          </mc:Choice>
          <mc:Fallback>
            <w:pict>
              <v:rect id="Shape 44" o:spid="_x0000_s1069" style="position:absolute;margin-left:-2.1999pt;margin-top:-7.7499pt;width:106.5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-97790</wp:posOffset>
                </wp:positionV>
                <wp:extent cx="1292225" cy="1263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6365"/>
                        </a:xfrm>
                        <a:prstGeom prst="rect">
                          <a:avLst/>
                        </a:prstGeom>
                        <a:solidFill>
                          <a:srgbClr val="DDDDDD"/>
                        </a:solidFill>
                      </wps:spPr>
                      <wps:bodyPr/>
                    </wps:wsp>
                  </a:graphicData>
                </a:graphic>
              </wp:anchor>
            </w:drawing>
          </mc:Choice>
          <mc:Fallback>
            <w:pict>
              <v:rect id="Shape 45" o:spid="_x0000_s1070" style="position:absolute;margin-left:0.2pt;margin-top:-7.6999pt;width:101.75pt;height:9.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68"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4"/>
          <w:szCs w:val="14"/>
          <w:color w:val="auto"/>
        </w:rPr>
        <w:t>Vested restricted stock units and awards</w:t>
      </w:r>
    </w:p>
    <w:p>
      <w:pPr>
        <w:spacing w:after="0" w:line="51" w:lineRule="exact"/>
        <w:rPr>
          <w:sz w:val="20"/>
          <w:szCs w:val="20"/>
          <w:color w:val="auto"/>
        </w:rPr>
      </w:pPr>
    </w:p>
    <w:p>
      <w:pPr>
        <w:ind w:right="460"/>
        <w:spacing w:after="0" w:line="358" w:lineRule="auto"/>
        <w:rPr>
          <w:sz w:val="20"/>
          <w:szCs w:val="20"/>
          <w:color w:val="auto"/>
        </w:rPr>
      </w:pPr>
      <w:r>
        <w:rPr>
          <w:rFonts w:ascii="Times New Roman" w:cs="Times New Roman" w:eastAsia="Times New Roman" w:hAnsi="Times New Roman"/>
          <w:sz w:val="14"/>
          <w:szCs w:val="14"/>
          <w:color w:val="auto"/>
        </w:rPr>
        <w:t>Stock-based compensation Redeemable NCI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-300990</wp:posOffset>
                </wp:positionV>
                <wp:extent cx="1353185" cy="14732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47320"/>
                        </a:xfrm>
                        <a:prstGeom prst="rect">
                          <a:avLst/>
                        </a:prstGeom>
                        <a:solidFill>
                          <a:srgbClr val="DDDDDD"/>
                        </a:solidFill>
                      </wps:spPr>
                      <wps:bodyPr/>
                    </wps:wsp>
                  </a:graphicData>
                </a:graphic>
              </wp:anchor>
            </w:drawing>
          </mc:Choice>
          <mc:Fallback>
            <w:pict>
              <v:rect id="Shape 46" o:spid="_x0000_s1071" style="position:absolute;margin-left:-2.1999pt;margin-top:-23.6999pt;width:106.5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-300990</wp:posOffset>
                </wp:positionV>
                <wp:extent cx="1292225" cy="12763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7635"/>
                        </a:xfrm>
                        <a:prstGeom prst="rect">
                          <a:avLst/>
                        </a:prstGeom>
                        <a:solidFill>
                          <a:srgbClr val="DDDDDD"/>
                        </a:solidFill>
                      </wps:spPr>
                      <wps:bodyPr/>
                    </wps:wsp>
                  </a:graphicData>
                </a:graphic>
              </wp:anchor>
            </w:drawing>
          </mc:Choice>
          <mc:Fallback>
            <w:pict>
              <v:rect id="Shape 47" o:spid="_x0000_s1072" style="position:absolute;margin-left:0.2pt;margin-top:-23.6999pt;width:101.7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-153670</wp:posOffset>
                </wp:positionV>
                <wp:extent cx="1292225" cy="12763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7635"/>
                        </a:xfrm>
                        <a:prstGeom prst="rect">
                          <a:avLst/>
                        </a:prstGeom>
                        <a:solidFill>
                          <a:srgbClr val="FFFFFF"/>
                        </a:solidFill>
                      </wps:spPr>
                      <wps:bodyPr/>
                    </wps:wsp>
                  </a:graphicData>
                </a:graphic>
              </wp:anchor>
            </w:drawing>
          </mc:Choice>
          <mc:Fallback>
            <w:pict>
              <v:rect id="Shape 48" o:spid="_x0000_s1073" style="position:absolute;margin-left:0.2pt;margin-top:-12.0999pt;width:101.75pt;height:10.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-27305</wp:posOffset>
                </wp:positionH>
                <wp:positionV relativeFrom="paragraph">
                  <wp:posOffset>-6350</wp:posOffset>
                </wp:positionV>
                <wp:extent cx="1925320" cy="244475"/>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5320" cy="244475"/>
                        </a:xfrm>
                        <a:prstGeom prst="rect">
                          <a:avLst/>
                        </a:prstGeom>
                        <a:solidFill>
                          <a:srgbClr val="DDDDDD"/>
                        </a:solidFill>
                      </wps:spPr>
                      <wps:bodyPr/>
                    </wps:wsp>
                  </a:graphicData>
                </a:graphic>
              </wp:anchor>
            </w:drawing>
          </mc:Choice>
          <mc:Fallback>
            <w:pict>
              <v:rect id="Shape 49" o:spid="_x0000_s1074" style="position:absolute;margin-left:-2.1499pt;margin-top:-0.4999pt;width:151.6pt;height:1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-6350</wp:posOffset>
                </wp:positionV>
                <wp:extent cx="1292225" cy="12128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1285"/>
                        </a:xfrm>
                        <a:prstGeom prst="rect">
                          <a:avLst/>
                        </a:prstGeom>
                        <a:solidFill>
                          <a:srgbClr val="DDDDDD"/>
                        </a:solidFill>
                      </wps:spPr>
                      <wps:bodyPr/>
                    </wps:wsp>
                  </a:graphicData>
                </a:graphic>
              </wp:anchor>
            </w:drawing>
          </mc:Choice>
          <mc:Fallback>
            <w:pict>
              <v:rect id="Shape 50" o:spid="_x0000_s1075" style="position:absolute;margin-left:0.2pt;margin-top:-0.4999pt;width:101.75pt;height: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right="300"/>
        <w:spacing w:after="0" w:line="264" w:lineRule="auto"/>
        <w:rPr>
          <w:sz w:val="20"/>
          <w:szCs w:val="20"/>
          <w:color w:val="auto"/>
        </w:rPr>
      </w:pPr>
      <w:r>
        <w:rPr>
          <w:rFonts w:ascii="Times New Roman" w:cs="Times New Roman" w:eastAsia="Times New Roman" w:hAnsi="Times New Roman"/>
          <w:sz w:val="14"/>
          <w:szCs w:val="14"/>
          <w:color w:val="auto"/>
        </w:rPr>
        <w:t>Dividends on non -controlling interest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-109855</wp:posOffset>
                </wp:positionV>
                <wp:extent cx="1292225" cy="92075"/>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92075"/>
                        </a:xfrm>
                        <a:prstGeom prst="rect">
                          <a:avLst/>
                        </a:prstGeom>
                        <a:solidFill>
                          <a:srgbClr val="DDDDDD"/>
                        </a:solidFill>
                      </wps:spPr>
                      <wps:bodyPr/>
                    </wps:wsp>
                  </a:graphicData>
                </a:graphic>
              </wp:anchor>
            </w:drawing>
          </mc:Choice>
          <mc:Fallback>
            <w:pict>
              <v:rect id="Shape 51" o:spid="_x0000_s1076" style="position:absolute;margin-left:0.2pt;margin-top:-8.6499pt;width:101.75pt;height: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17145</wp:posOffset>
                </wp:positionV>
                <wp:extent cx="135318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99pt,1.35pt" to="104.35pt,1.35pt" o:allowincell="f" strokecolor="#FFFFFF" strokeweight="0.876pt"/>
            </w:pict>
          </mc:Fallback>
        </mc:AlternateContent>
      </w:r>
    </w:p>
    <w:p>
      <w:pPr>
        <w:spacing w:after="0" w:line="24" w:lineRule="exact"/>
        <w:rPr>
          <w:sz w:val="20"/>
          <w:szCs w:val="20"/>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Balance at December 31, 2020 Net income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-142240</wp:posOffset>
                </wp:positionV>
                <wp:extent cx="1353185" cy="14668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46685"/>
                        </a:xfrm>
                        <a:prstGeom prst="rect">
                          <a:avLst/>
                        </a:prstGeom>
                        <a:solidFill>
                          <a:srgbClr val="DDDDDD"/>
                        </a:solidFill>
                      </wps:spPr>
                      <wps:bodyPr/>
                    </wps:wsp>
                  </a:graphicData>
                </a:graphic>
              </wp:anchor>
            </w:drawing>
          </mc:Choice>
          <mc:Fallback>
            <w:pict>
              <v:rect id="Shape 53" o:spid="_x0000_s1078" style="position:absolute;margin-left:-2.1999pt;margin-top:-11.1999pt;width:106.5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-142240</wp:posOffset>
                </wp:positionV>
                <wp:extent cx="1292225" cy="12509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5095"/>
                        </a:xfrm>
                        <a:prstGeom prst="rect">
                          <a:avLst/>
                        </a:prstGeom>
                        <a:solidFill>
                          <a:srgbClr val="DDDDDD"/>
                        </a:solidFill>
                      </wps:spPr>
                      <wps:bodyPr/>
                    </wps:wsp>
                  </a:graphicData>
                </a:graphic>
              </wp:anchor>
            </w:drawing>
          </mc:Choice>
          <mc:Fallback>
            <w:pict>
              <v:rect id="Shape 54" o:spid="_x0000_s1079" style="position:absolute;margin-left:0.2pt;margin-top:-11.1999pt;width:101.7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rPr>
          <w:sz w:val="20"/>
          <w:szCs w:val="20"/>
          <w:color w:val="auto"/>
        </w:rPr>
      </w:pPr>
      <w:r>
        <w:rPr>
          <w:rFonts w:ascii="Times New Roman" w:cs="Times New Roman" w:eastAsia="Times New Roman" w:hAnsi="Times New Roman"/>
          <w:sz w:val="14"/>
          <w:szCs w:val="14"/>
          <w:color w:val="auto"/>
        </w:rPr>
        <w:t>Cumulative translation adjustment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65405</wp:posOffset>
                </wp:positionV>
                <wp:extent cx="1872615" cy="24447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244475"/>
                        </a:xfrm>
                        <a:prstGeom prst="rect">
                          <a:avLst/>
                        </a:prstGeom>
                        <a:solidFill>
                          <a:srgbClr val="DDDDDD"/>
                        </a:solidFill>
                      </wps:spPr>
                      <wps:bodyPr/>
                    </wps:wsp>
                  </a:graphicData>
                </a:graphic>
              </wp:anchor>
            </w:drawing>
          </mc:Choice>
          <mc:Fallback>
            <w:pict>
              <v:rect id="Shape 55" o:spid="_x0000_s1080" style="position:absolute;margin-left:-2.1499pt;margin-top:5.15pt;width:147.45pt;height:1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65405</wp:posOffset>
                </wp:positionV>
                <wp:extent cx="1292225" cy="21336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213360"/>
                        </a:xfrm>
                        <a:prstGeom prst="rect">
                          <a:avLst/>
                        </a:prstGeom>
                        <a:solidFill>
                          <a:srgbClr val="DDDDDD"/>
                        </a:solidFill>
                      </wps:spPr>
                      <wps:bodyPr/>
                    </wps:wsp>
                  </a:graphicData>
                </a:graphic>
              </wp:anchor>
            </w:drawing>
          </mc:Choice>
          <mc:Fallback>
            <w:pict>
              <v:rect id="Shape 56" o:spid="_x0000_s1081" style="position:absolute;margin-left:0.2pt;margin-top:5.15pt;width:101.75pt;height:16.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-27305</wp:posOffset>
                </wp:positionH>
                <wp:positionV relativeFrom="paragraph">
                  <wp:posOffset>309880</wp:posOffset>
                </wp:positionV>
                <wp:extent cx="1872615" cy="241935"/>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241935"/>
                        </a:xfrm>
                        <a:prstGeom prst="rect">
                          <a:avLst/>
                        </a:prstGeom>
                        <a:solidFill>
                          <a:srgbClr val="FFFFFF"/>
                        </a:solidFill>
                      </wps:spPr>
                      <wps:bodyPr/>
                    </wps:wsp>
                  </a:graphicData>
                </a:graphic>
              </wp:anchor>
            </w:drawing>
          </mc:Choice>
          <mc:Fallback>
            <w:pict>
              <v:rect id="Shape 57" o:spid="_x0000_s1082" style="position:absolute;margin-left:-2.1499pt;margin-top:24.4pt;width:147.45pt;height:1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309880</wp:posOffset>
                </wp:positionV>
                <wp:extent cx="1292225" cy="20256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202565"/>
                        </a:xfrm>
                        <a:prstGeom prst="rect">
                          <a:avLst/>
                        </a:prstGeom>
                        <a:solidFill>
                          <a:srgbClr val="FFFFFF"/>
                        </a:solidFill>
                      </wps:spPr>
                      <wps:bodyPr/>
                    </wps:wsp>
                  </a:graphicData>
                </a:graphic>
              </wp:anchor>
            </w:drawing>
          </mc:Choice>
          <mc:Fallback>
            <w:pict>
              <v:rect id="Shape 58" o:spid="_x0000_s1083" style="position:absolute;margin-left:0.2pt;margin-top:24.4pt;width:101.75pt;height:15.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9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Gain on derivatives qualifying as hedges; net of tax $(1)</w:t>
      </w:r>
    </w:p>
    <w:p>
      <w:pPr>
        <w:spacing w:after="0" w:line="27"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2"/>
          <w:szCs w:val="12"/>
          <w:color w:val="auto"/>
        </w:rPr>
        <w:t>Pension liability and postretirement adjustment; net of tax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10795</wp:posOffset>
                </wp:positionV>
                <wp:extent cx="1352550" cy="24447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244475"/>
                        </a:xfrm>
                        <a:prstGeom prst="rect">
                          <a:avLst/>
                        </a:prstGeom>
                        <a:solidFill>
                          <a:srgbClr val="DDDDDD"/>
                        </a:solidFill>
                      </wps:spPr>
                      <wps:bodyPr/>
                    </wps:wsp>
                  </a:graphicData>
                </a:graphic>
              </wp:anchor>
            </w:drawing>
          </mc:Choice>
          <mc:Fallback>
            <w:pict>
              <v:rect id="Shape 59" o:spid="_x0000_s1084" style="position:absolute;margin-left:-2.1499pt;margin-top:0.85pt;width:106.5pt;height:1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10795</wp:posOffset>
                </wp:positionV>
                <wp:extent cx="1292225" cy="12192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1920"/>
                        </a:xfrm>
                        <a:prstGeom prst="rect">
                          <a:avLst/>
                        </a:prstGeom>
                        <a:solidFill>
                          <a:srgbClr val="DDDDDD"/>
                        </a:solidFill>
                      </wps:spPr>
                      <wps:bodyPr/>
                    </wps:wsp>
                  </a:graphicData>
                </a:graphic>
              </wp:anchor>
            </w:drawing>
          </mc:Choice>
          <mc:Fallback>
            <w:pict>
              <v:rect id="Shape 60" o:spid="_x0000_s1085" style="position:absolute;margin-left:0.2pt;margin-top:0.85pt;width:101.75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132715</wp:posOffset>
                </wp:positionV>
                <wp:extent cx="1292225" cy="10795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07950"/>
                        </a:xfrm>
                        <a:prstGeom prst="rect">
                          <a:avLst/>
                        </a:prstGeom>
                        <a:solidFill>
                          <a:srgbClr val="DDDDDD"/>
                        </a:solidFill>
                      </wps:spPr>
                      <wps:bodyPr/>
                    </wps:wsp>
                  </a:graphicData>
                </a:graphic>
              </wp:anchor>
            </w:drawing>
          </mc:Choice>
          <mc:Fallback>
            <w:pict>
              <v:rect id="Shape 61" o:spid="_x0000_s1086" style="position:absolute;margin-left:0.2pt;margin-top:10.45pt;width:101.75pt;height: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254635</wp:posOffset>
                </wp:positionV>
                <wp:extent cx="1353185" cy="14732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47320"/>
                        </a:xfrm>
                        <a:prstGeom prst="rect">
                          <a:avLst/>
                        </a:prstGeom>
                        <a:solidFill>
                          <a:srgbClr val="FFFFFF"/>
                        </a:solidFill>
                      </wps:spPr>
                      <wps:bodyPr/>
                    </wps:wsp>
                  </a:graphicData>
                </a:graphic>
              </wp:anchor>
            </w:drawing>
          </mc:Choice>
          <mc:Fallback>
            <w:pict>
              <v:rect id="Shape 62" o:spid="_x0000_s1087" style="position:absolute;margin-left:-2.1999pt;margin-top:20.05pt;width:106.5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254635</wp:posOffset>
                </wp:positionV>
                <wp:extent cx="1292225" cy="125095"/>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5095"/>
                        </a:xfrm>
                        <a:prstGeom prst="rect">
                          <a:avLst/>
                        </a:prstGeom>
                        <a:solidFill>
                          <a:srgbClr val="FFFFFF"/>
                        </a:solidFill>
                      </wps:spPr>
                      <wps:bodyPr/>
                    </wps:wsp>
                  </a:graphicData>
                </a:graphic>
              </wp:anchor>
            </w:drawing>
          </mc:Choice>
          <mc:Fallback>
            <w:pict>
              <v:rect id="Shape 63" o:spid="_x0000_s1088" style="position:absolute;margin-left:0.2pt;margin-top:20.05pt;width:101.7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8"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Cash dividends declared ($3.12 per share)</w:t>
      </w:r>
    </w:p>
    <w:p>
      <w:pPr>
        <w:spacing w:after="0" w:line="4" w:lineRule="exact"/>
        <w:rPr>
          <w:sz w:val="20"/>
          <w:szCs w:val="20"/>
          <w:color w:val="auto"/>
        </w:rPr>
      </w:pPr>
    </w:p>
    <w:p>
      <w:pPr>
        <w:ind w:right="640"/>
        <w:spacing w:after="0" w:line="345" w:lineRule="auto"/>
        <w:rPr>
          <w:sz w:val="20"/>
          <w:szCs w:val="20"/>
          <w:color w:val="auto"/>
        </w:rPr>
      </w:pPr>
      <w:r>
        <w:rPr>
          <w:rFonts w:ascii="Times New Roman" w:cs="Times New Roman" w:eastAsia="Times New Roman" w:hAnsi="Times New Roman"/>
          <w:sz w:val="14"/>
          <w:szCs w:val="14"/>
          <w:color w:val="auto"/>
        </w:rPr>
        <w:t>Stock options/SSARs Impact of N&amp;B Merger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-142875</wp:posOffset>
                </wp:positionV>
                <wp:extent cx="1353185" cy="14668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46685"/>
                        </a:xfrm>
                        <a:prstGeom prst="rect">
                          <a:avLst/>
                        </a:prstGeom>
                        <a:solidFill>
                          <a:srgbClr val="DDDDDD"/>
                        </a:solidFill>
                      </wps:spPr>
                      <wps:bodyPr/>
                    </wps:wsp>
                  </a:graphicData>
                </a:graphic>
              </wp:anchor>
            </w:drawing>
          </mc:Choice>
          <mc:Fallback>
            <w:pict>
              <v:rect id="Shape 64" o:spid="_x0000_s1089" style="position:absolute;margin-left:-2.1999pt;margin-top:-11.2499pt;width:106.55pt;height:1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-142875</wp:posOffset>
                </wp:positionV>
                <wp:extent cx="1292225" cy="12827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8270"/>
                        </a:xfrm>
                        <a:prstGeom prst="rect">
                          <a:avLst/>
                        </a:prstGeom>
                        <a:solidFill>
                          <a:srgbClr val="DDDDDD"/>
                        </a:solidFill>
                      </wps:spPr>
                      <wps:bodyPr/>
                    </wps:wsp>
                  </a:graphicData>
                </a:graphic>
              </wp:anchor>
            </w:drawing>
          </mc:Choice>
          <mc:Fallback>
            <w:pict>
              <v:rect id="Shape 65" o:spid="_x0000_s1090" style="position:absolute;margin-left:0.2pt;margin-top:-11.2499pt;width:101.7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rPr>
          <w:sz w:val="20"/>
          <w:szCs w:val="20"/>
          <w:color w:val="auto"/>
        </w:rPr>
      </w:pPr>
      <w:r>
        <w:rPr>
          <w:rFonts w:ascii="Times New Roman" w:cs="Times New Roman" w:eastAsia="Times New Roman" w:hAnsi="Times New Roman"/>
          <w:sz w:val="14"/>
          <w:szCs w:val="14"/>
          <w:color w:val="auto"/>
        </w:rPr>
        <w:t>Conversion of tangible equity units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48260</wp:posOffset>
                </wp:positionV>
                <wp:extent cx="1872615" cy="24511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245110"/>
                        </a:xfrm>
                        <a:prstGeom prst="rect">
                          <a:avLst/>
                        </a:prstGeom>
                        <a:solidFill>
                          <a:srgbClr val="DDDDDD"/>
                        </a:solidFill>
                      </wps:spPr>
                      <wps:bodyPr/>
                    </wps:wsp>
                  </a:graphicData>
                </a:graphic>
              </wp:anchor>
            </w:drawing>
          </mc:Choice>
          <mc:Fallback>
            <w:pict>
              <v:rect id="Shape 66" o:spid="_x0000_s1091" style="position:absolute;margin-left:-2.1499pt;margin-top:3.8pt;width:147.45pt;height:19.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1292225" cy="21399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213995"/>
                        </a:xfrm>
                        <a:prstGeom prst="rect">
                          <a:avLst/>
                        </a:prstGeom>
                        <a:solidFill>
                          <a:srgbClr val="DDDDDD"/>
                        </a:solidFill>
                      </wps:spPr>
                      <wps:bodyPr/>
                    </wps:wsp>
                  </a:graphicData>
                </a:graphic>
              </wp:anchor>
            </w:drawing>
          </mc:Choice>
          <mc:Fallback>
            <w:pict>
              <v:rect id="Shape 67" o:spid="_x0000_s1092" style="position:absolute;margin-left:0.2pt;margin-top:3.8pt;width:101.75pt;height:1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Vested restricted stock units and awards</w:t>
      </w:r>
    </w:p>
    <w:p>
      <w:pPr>
        <w:spacing w:after="0" w:line="13" w:lineRule="exact"/>
        <w:rPr>
          <w:sz w:val="20"/>
          <w:szCs w:val="20"/>
          <w:color w:val="auto"/>
        </w:rPr>
      </w:pPr>
    </w:p>
    <w:p>
      <w:pPr>
        <w:ind w:right="460"/>
        <w:spacing w:after="0" w:line="358" w:lineRule="auto"/>
        <w:rPr>
          <w:sz w:val="20"/>
          <w:szCs w:val="20"/>
          <w:color w:val="auto"/>
        </w:rPr>
      </w:pPr>
      <w:r>
        <w:rPr>
          <w:rFonts w:ascii="Times New Roman" w:cs="Times New Roman" w:eastAsia="Times New Roman" w:hAnsi="Times New Roman"/>
          <w:sz w:val="14"/>
          <w:szCs w:val="14"/>
          <w:color w:val="auto"/>
        </w:rPr>
        <w:t>Stock-based compensation Redeemable NCI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-153670</wp:posOffset>
                </wp:positionV>
                <wp:extent cx="1353185" cy="14732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47320"/>
                        </a:xfrm>
                        <a:prstGeom prst="rect">
                          <a:avLst/>
                        </a:prstGeom>
                        <a:solidFill>
                          <a:srgbClr val="DDDDDD"/>
                        </a:solidFill>
                      </wps:spPr>
                      <wps:bodyPr/>
                    </wps:wsp>
                  </a:graphicData>
                </a:graphic>
              </wp:anchor>
            </w:drawing>
          </mc:Choice>
          <mc:Fallback>
            <w:pict>
              <v:rect id="Shape 68" o:spid="_x0000_s1093" style="position:absolute;margin-left:-2.1999pt;margin-top:-12.0999pt;width:106.5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-153670</wp:posOffset>
                </wp:positionV>
                <wp:extent cx="1292225" cy="12509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5095"/>
                        </a:xfrm>
                        <a:prstGeom prst="rect">
                          <a:avLst/>
                        </a:prstGeom>
                        <a:solidFill>
                          <a:srgbClr val="DDDDDD"/>
                        </a:solidFill>
                      </wps:spPr>
                      <wps:bodyPr/>
                    </wps:wsp>
                  </a:graphicData>
                </a:graphic>
              </wp:anchor>
            </w:drawing>
          </mc:Choice>
          <mc:Fallback>
            <w:pict>
              <v:rect id="Shape 69" o:spid="_x0000_s1094" style="position:absolute;margin-left:0.2pt;margin-top:-12.0999pt;width:101.7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right="300"/>
        <w:spacing w:after="0" w:line="264" w:lineRule="auto"/>
        <w:rPr>
          <w:sz w:val="20"/>
          <w:szCs w:val="20"/>
          <w:color w:val="auto"/>
        </w:rPr>
      </w:pPr>
      <w:r>
        <w:rPr>
          <w:rFonts w:ascii="Times New Roman" w:cs="Times New Roman" w:eastAsia="Times New Roman" w:hAnsi="Times New Roman"/>
          <w:sz w:val="14"/>
          <w:szCs w:val="14"/>
          <w:color w:val="auto"/>
        </w:rPr>
        <w:t>Dividends on non -controlling interest and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14605</wp:posOffset>
                </wp:positionV>
                <wp:extent cx="135318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4763"/>
                        </a:xfrm>
                        <a:prstGeom prst="line">
                          <a:avLst/>
                        </a:prstGeom>
                        <a:solidFill>
                          <a:srgbClr val="FFFFFF"/>
                        </a:solidFill>
                        <a:ln w="11125">
                          <a:solidFill>
                            <a:srgbClr val="DDDDDD"/>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99pt,1.15pt" to="104.35pt,1.15pt" o:allowincell="f" strokecolor="#DDDDDD" strokeweight="0.876pt"/>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20320</wp:posOffset>
                </wp:positionV>
                <wp:extent cx="1353185" cy="13589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35890"/>
                        </a:xfrm>
                        <a:prstGeom prst="rect">
                          <a:avLst/>
                        </a:prstGeom>
                        <a:solidFill>
                          <a:srgbClr val="DDDDDD"/>
                        </a:solidFill>
                      </wps:spPr>
                      <wps:bodyPr/>
                    </wps:wsp>
                  </a:graphicData>
                </a:graphic>
              </wp:anchor>
            </w:drawing>
          </mc:Choice>
          <mc:Fallback>
            <w:pict>
              <v:rect id="Shape 71" o:spid="_x0000_s1096" style="position:absolute;margin-left:-2.1999pt;margin-top:1.6pt;width:106.55pt;height:10.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31115</wp:posOffset>
                </wp:positionV>
                <wp:extent cx="1292225" cy="12509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5095"/>
                        </a:xfrm>
                        <a:prstGeom prst="rect">
                          <a:avLst/>
                        </a:prstGeom>
                        <a:solidFill>
                          <a:srgbClr val="DDDDDD"/>
                        </a:solidFill>
                      </wps:spPr>
                      <wps:bodyPr/>
                    </wps:wsp>
                  </a:graphicData>
                </a:graphic>
              </wp:anchor>
            </w:drawing>
          </mc:Choice>
          <mc:Fallback>
            <w:pict>
              <v:rect id="Shape 72" o:spid="_x0000_s1097" style="position:absolute;margin-left:0.2pt;margin-top:2.45pt;width:101.7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-27940</wp:posOffset>
                </wp:positionH>
                <wp:positionV relativeFrom="paragraph">
                  <wp:posOffset>156210</wp:posOffset>
                </wp:positionV>
                <wp:extent cx="1353185" cy="15049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50495"/>
                        </a:xfrm>
                        <a:prstGeom prst="rect">
                          <a:avLst/>
                        </a:prstGeom>
                        <a:solidFill>
                          <a:srgbClr val="FFFFFF"/>
                        </a:solidFill>
                      </wps:spPr>
                      <wps:bodyPr/>
                    </wps:wsp>
                  </a:graphicData>
                </a:graphic>
              </wp:anchor>
            </w:drawing>
          </mc:Choice>
          <mc:Fallback>
            <w:pict>
              <v:rect id="Shape 73" o:spid="_x0000_s1098" style="position:absolute;margin-left:-2.1999pt;margin-top:12.3pt;width:106.55pt;height:1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156210</wp:posOffset>
                </wp:positionV>
                <wp:extent cx="1292225" cy="12827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8270"/>
                        </a:xfrm>
                        <a:prstGeom prst="rect">
                          <a:avLst/>
                        </a:prstGeom>
                        <a:solidFill>
                          <a:srgbClr val="FFFFFF"/>
                        </a:solidFill>
                      </wps:spPr>
                      <wps:bodyPr/>
                    </wps:wsp>
                  </a:graphicData>
                </a:graphic>
              </wp:anchor>
            </w:drawing>
          </mc:Choice>
          <mc:Fallback>
            <w:pict>
              <v:rect id="Shape 74" o:spid="_x0000_s1099" style="position:absolute;margin-left:0.2pt;margin-top:12.3pt;width:101.75pt;height:10.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4" w:lineRule="exact"/>
        <w:rPr>
          <w:sz w:val="20"/>
          <w:szCs w:val="20"/>
          <w:color w:val="auto"/>
        </w:rPr>
      </w:pPr>
    </w:p>
    <w:p>
      <w:pPr>
        <w:ind w:right="220"/>
        <w:spacing w:after="0" w:line="322" w:lineRule="auto"/>
        <w:rPr>
          <w:sz w:val="20"/>
          <w:szCs w:val="20"/>
          <w:color w:val="auto"/>
        </w:rPr>
      </w:pPr>
      <w:r>
        <w:rPr>
          <w:rFonts w:ascii="Times New Roman" w:cs="Times New Roman" w:eastAsia="Times New Roman" w:hAnsi="Times New Roman"/>
          <w:sz w:val="14"/>
          <w:szCs w:val="14"/>
          <w:color w:val="auto"/>
        </w:rPr>
        <w:t>Balance at December 31, 2021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highlight w:val="lightGray"/>
        </w:rPr>
        <w:t>Cumulative translation adjustment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65405</wp:posOffset>
                </wp:positionV>
                <wp:extent cx="1872615" cy="24193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241935"/>
                        </a:xfrm>
                        <a:prstGeom prst="rect">
                          <a:avLst/>
                        </a:prstGeom>
                        <a:solidFill>
                          <a:srgbClr val="FFFFFF"/>
                        </a:solidFill>
                      </wps:spPr>
                      <wps:bodyPr/>
                    </wps:wsp>
                  </a:graphicData>
                </a:graphic>
              </wp:anchor>
            </w:drawing>
          </mc:Choice>
          <mc:Fallback>
            <w:pict>
              <v:rect id="Shape 75" o:spid="_x0000_s1100" style="position:absolute;margin-left:-2.1499pt;margin-top:5.15pt;width:147.45pt;height:1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64770</wp:posOffset>
                </wp:positionV>
                <wp:extent cx="1292225" cy="20320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203200"/>
                        </a:xfrm>
                        <a:prstGeom prst="rect">
                          <a:avLst/>
                        </a:prstGeom>
                        <a:solidFill>
                          <a:srgbClr val="FFFFFF"/>
                        </a:solidFill>
                      </wps:spPr>
                      <wps:bodyPr/>
                    </wps:wsp>
                  </a:graphicData>
                </a:graphic>
              </wp:anchor>
            </w:drawing>
          </mc:Choice>
          <mc:Fallback>
            <w:pict>
              <v:rect id="Shape 76" o:spid="_x0000_s1101" style="position:absolute;margin-left:0.2pt;margin-top:5.1pt;width:101.75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95"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2"/>
          <w:szCs w:val="12"/>
          <w:color w:val="auto"/>
        </w:rPr>
        <w:t>Pension liability and postretirement adjustment; net of tax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7620</wp:posOffset>
                </wp:positionV>
                <wp:extent cx="1872615" cy="244475"/>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244475"/>
                        </a:xfrm>
                        <a:prstGeom prst="rect">
                          <a:avLst/>
                        </a:prstGeom>
                        <a:solidFill>
                          <a:srgbClr val="DDDDDD"/>
                        </a:solidFill>
                      </wps:spPr>
                      <wps:bodyPr/>
                    </wps:wsp>
                  </a:graphicData>
                </a:graphic>
              </wp:anchor>
            </w:drawing>
          </mc:Choice>
          <mc:Fallback>
            <w:pict>
              <v:rect id="Shape 77" o:spid="_x0000_s1102" style="position:absolute;margin-left:-2.1499pt;margin-top:0.6pt;width:147.45pt;height:1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7620</wp:posOffset>
                </wp:positionV>
                <wp:extent cx="1292225" cy="21399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213995"/>
                        </a:xfrm>
                        <a:prstGeom prst="rect">
                          <a:avLst/>
                        </a:prstGeom>
                        <a:solidFill>
                          <a:srgbClr val="DDDDDD"/>
                        </a:solidFill>
                      </wps:spPr>
                      <wps:bodyPr/>
                    </wps:wsp>
                  </a:graphicData>
                </a:graphic>
              </wp:anchor>
            </w:drawing>
          </mc:Choice>
          <mc:Fallback>
            <w:pict>
              <v:rect id="Shape 78" o:spid="_x0000_s1103" style="position:absolute;margin-left:0.2pt;margin-top:0.6pt;width:101.75pt;height:1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Cash dividends declared ($3.20 per share)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options/SSARs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-27305</wp:posOffset>
                </wp:positionH>
                <wp:positionV relativeFrom="paragraph">
                  <wp:posOffset>48895</wp:posOffset>
                </wp:positionV>
                <wp:extent cx="1872615" cy="244475"/>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244475"/>
                        </a:xfrm>
                        <a:prstGeom prst="rect">
                          <a:avLst/>
                        </a:prstGeom>
                        <a:solidFill>
                          <a:srgbClr val="DDDDDD"/>
                        </a:solidFill>
                      </wps:spPr>
                      <wps:bodyPr/>
                    </wps:wsp>
                  </a:graphicData>
                </a:graphic>
              </wp:anchor>
            </w:drawing>
          </mc:Choice>
          <mc:Fallback>
            <w:pict>
              <v:rect id="Shape 79" o:spid="_x0000_s1104" style="position:absolute;margin-left:-2.1499pt;margin-top:3.85pt;width:147.45pt;height:19.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48260</wp:posOffset>
                </wp:positionV>
                <wp:extent cx="1292225" cy="21399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213995"/>
                        </a:xfrm>
                        <a:prstGeom prst="rect">
                          <a:avLst/>
                        </a:prstGeom>
                        <a:solidFill>
                          <a:srgbClr val="DDDDDD"/>
                        </a:solidFill>
                      </wps:spPr>
                      <wps:bodyPr/>
                    </wps:wsp>
                  </a:graphicData>
                </a:graphic>
              </wp:anchor>
            </w:drawing>
          </mc:Choice>
          <mc:Fallback>
            <w:pict>
              <v:rect id="Shape 80" o:spid="_x0000_s1105" style="position:absolute;margin-left:0.2pt;margin-top:3.8pt;width:101.75pt;height:16.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Vested restricted stock units and awards</w:t>
      </w:r>
    </w:p>
    <w:p>
      <w:pPr>
        <w:spacing w:after="0" w:line="13" w:lineRule="exact"/>
        <w:rPr>
          <w:sz w:val="20"/>
          <w:szCs w:val="20"/>
          <w:color w:val="auto"/>
        </w:rPr>
      </w:pPr>
    </w:p>
    <w:p>
      <w:pPr>
        <w:ind w:right="460"/>
        <w:spacing w:after="0" w:line="354" w:lineRule="auto"/>
        <w:rPr>
          <w:sz w:val="20"/>
          <w:szCs w:val="20"/>
          <w:color w:val="auto"/>
        </w:rPr>
      </w:pPr>
      <w:r>
        <w:rPr>
          <w:rFonts w:ascii="Times New Roman" w:cs="Times New Roman" w:eastAsia="Times New Roman" w:hAnsi="Times New Roman"/>
          <w:sz w:val="14"/>
          <w:szCs w:val="14"/>
          <w:color w:val="auto"/>
        </w:rPr>
        <w:t>Stock-based compensation Purchase of NCI Redeemable NCI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wp:posOffset>
                </wp:positionH>
                <wp:positionV relativeFrom="paragraph">
                  <wp:posOffset>-300990</wp:posOffset>
                </wp:positionV>
                <wp:extent cx="1353185" cy="14732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3185" cy="147320"/>
                        </a:xfrm>
                        <a:prstGeom prst="rect">
                          <a:avLst/>
                        </a:prstGeom>
                        <a:solidFill>
                          <a:srgbClr val="DDDDDD"/>
                        </a:solidFill>
                      </wps:spPr>
                      <wps:bodyPr/>
                    </wps:wsp>
                  </a:graphicData>
                </a:graphic>
              </wp:anchor>
            </w:drawing>
          </mc:Choice>
          <mc:Fallback>
            <w:pict>
              <v:rect id="Shape 81" o:spid="_x0000_s1106" style="position:absolute;margin-left:-2.1999pt;margin-top:-23.6999pt;width:106.55pt;height:1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-300990</wp:posOffset>
                </wp:positionV>
                <wp:extent cx="1292225" cy="12509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5095"/>
                        </a:xfrm>
                        <a:prstGeom prst="rect">
                          <a:avLst/>
                        </a:prstGeom>
                        <a:solidFill>
                          <a:srgbClr val="DDDDDD"/>
                        </a:solidFill>
                      </wps:spPr>
                      <wps:bodyPr/>
                    </wps:wsp>
                  </a:graphicData>
                </a:graphic>
              </wp:anchor>
            </w:drawing>
          </mc:Choice>
          <mc:Fallback>
            <w:pict>
              <v:rect id="Shape 82" o:spid="_x0000_s1107" style="position:absolute;margin-left:0.2pt;margin-top:-23.6999pt;width:101.75pt;height:9.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-27305</wp:posOffset>
                </wp:positionH>
                <wp:positionV relativeFrom="paragraph">
                  <wp:posOffset>-6350</wp:posOffset>
                </wp:positionV>
                <wp:extent cx="1872615" cy="24130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2615" cy="241300"/>
                        </a:xfrm>
                        <a:prstGeom prst="rect">
                          <a:avLst/>
                        </a:prstGeom>
                        <a:solidFill>
                          <a:srgbClr val="DDDDDD"/>
                        </a:solidFill>
                      </wps:spPr>
                      <wps:bodyPr/>
                    </wps:wsp>
                  </a:graphicData>
                </a:graphic>
              </wp:anchor>
            </w:drawing>
          </mc:Choice>
          <mc:Fallback>
            <w:pict>
              <v:rect id="Shape 83" o:spid="_x0000_s1108" style="position:absolute;margin-left:-2.1499pt;margin-top:-0.4999pt;width:147.45pt;height:1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-6350</wp:posOffset>
                </wp:positionV>
                <wp:extent cx="1292225" cy="12128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121285"/>
                        </a:xfrm>
                        <a:prstGeom prst="rect">
                          <a:avLst/>
                        </a:prstGeom>
                        <a:solidFill>
                          <a:srgbClr val="DDDDDD"/>
                        </a:solidFill>
                      </wps:spPr>
                      <wps:bodyPr/>
                    </wps:wsp>
                  </a:graphicData>
                </a:graphic>
              </wp:anchor>
            </w:drawing>
          </mc:Choice>
          <mc:Fallback>
            <w:pict>
              <v:rect id="Shape 84" o:spid="_x0000_s1109" style="position:absolute;margin-left:0.2pt;margin-top:-0.4999pt;width:101.75pt;height:9.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114935</wp:posOffset>
                </wp:positionV>
                <wp:extent cx="1292225" cy="9207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2225" cy="92075"/>
                        </a:xfrm>
                        <a:prstGeom prst="rect">
                          <a:avLst/>
                        </a:prstGeom>
                        <a:solidFill>
                          <a:srgbClr val="DDDDDD"/>
                        </a:solidFill>
                      </wps:spPr>
                      <wps:bodyPr/>
                    </wps:wsp>
                  </a:graphicData>
                </a:graphic>
              </wp:anchor>
            </w:drawing>
          </mc:Choice>
          <mc:Fallback>
            <w:pict>
              <v:rect id="Shape 85" o:spid="_x0000_s1110" style="position:absolute;margin-left:0.2pt;margin-top:9.05pt;width:101.75pt;height:7.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right="300"/>
        <w:spacing w:after="0" w:line="264" w:lineRule="auto"/>
        <w:rPr>
          <w:sz w:val="20"/>
          <w:szCs w:val="20"/>
          <w:color w:val="auto"/>
        </w:rPr>
      </w:pPr>
      <w:r>
        <w:rPr>
          <w:rFonts w:ascii="Times New Roman" w:cs="Times New Roman" w:eastAsia="Times New Roman" w:hAnsi="Times New Roman"/>
          <w:sz w:val="14"/>
          <w:szCs w:val="14"/>
          <w:color w:val="auto"/>
        </w:rPr>
        <w:t>Dividends on non -controlling interest and other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December 31, 2022</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12"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Pr>
          <w:p>
            <w:pPr>
              <w:spacing w:after="0"/>
              <w:rPr>
                <w:sz w:val="13"/>
                <w:szCs w:val="13"/>
                <w:color w:val="auto"/>
              </w:rPr>
            </w:pPr>
          </w:p>
        </w:tc>
        <w:tc>
          <w:tcPr>
            <w:tcW w:w="1460" w:type="dxa"/>
            <w:vAlign w:val="bottom"/>
            <w:gridSpan w:val="5"/>
            <w:vMerge w:val="restart"/>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68"/>
              <w:spacing w:after="0" w:line="120" w:lineRule="exact"/>
              <w:rPr>
                <w:sz w:val="20"/>
                <w:szCs w:val="20"/>
                <w:color w:val="auto"/>
              </w:rPr>
            </w:pPr>
            <w:r>
              <w:rPr>
                <w:rFonts w:ascii="Times New Roman" w:cs="Times New Roman" w:eastAsia="Times New Roman" w:hAnsi="Times New Roman"/>
                <w:sz w:val="12"/>
                <w:szCs w:val="12"/>
                <w:b w:val="1"/>
                <w:bCs w:val="1"/>
                <w:color w:val="auto"/>
              </w:rPr>
              <w:t>stock</w:t>
            </w: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Capital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8"/>
              <w:spacing w:after="0" w:line="140" w:lineRule="exact"/>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76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49"/>
              <w:spacing w:after="0" w:line="116" w:lineRule="exact"/>
              <w:rPr>
                <w:sz w:val="20"/>
                <w:szCs w:val="20"/>
                <w:color w:val="auto"/>
              </w:rPr>
            </w:pPr>
            <w:r>
              <w:rPr>
                <w:rFonts w:ascii="Times New Roman" w:cs="Times New Roman" w:eastAsia="Times New Roman" w:hAnsi="Times New Roman"/>
                <w:sz w:val="12"/>
                <w:szCs w:val="12"/>
                <w:b w:val="1"/>
                <w:bCs w:val="1"/>
                <w:color w:val="auto"/>
              </w:rPr>
              <w:t>excess of</w:t>
            </w:r>
          </w:p>
        </w:tc>
        <w:tc>
          <w:tcPr>
            <w:tcW w:w="100" w:type="dxa"/>
            <w:vAlign w:val="bottom"/>
          </w:tcPr>
          <w:p>
            <w:pPr>
              <w:spacing w:after="0"/>
              <w:rPr>
                <w:sz w:val="10"/>
                <w:szCs w:val="10"/>
                <w:color w:val="auto"/>
              </w:rPr>
            </w:pPr>
          </w:p>
        </w:tc>
        <w:tc>
          <w:tcPr>
            <w:tcW w:w="680" w:type="dxa"/>
            <w:vAlign w:val="bottom"/>
            <w:gridSpan w:val="2"/>
          </w:tcPr>
          <w:p>
            <w:pPr>
              <w:jc w:val="right"/>
              <w:ind w:right="8"/>
              <w:spacing w:after="0" w:line="116"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0"/>
                <w:szCs w:val="10"/>
                <w:color w:val="auto"/>
              </w:rPr>
            </w:pPr>
          </w:p>
        </w:tc>
        <w:tc>
          <w:tcPr>
            <w:tcW w:w="1120" w:type="dxa"/>
            <w:vAlign w:val="bottom"/>
            <w:gridSpan w:val="4"/>
          </w:tcPr>
          <w:p>
            <w:pPr>
              <w:jc w:val="center"/>
              <w:ind w:right="80"/>
              <w:spacing w:after="0" w:line="11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40" w:type="dxa"/>
            <w:vAlign w:val="bottom"/>
          </w:tcPr>
          <w:p>
            <w:pPr>
              <w:spacing w:after="0"/>
              <w:rPr>
                <w:sz w:val="10"/>
                <w:szCs w:val="10"/>
                <w:color w:val="auto"/>
              </w:rPr>
            </w:pPr>
          </w:p>
        </w:tc>
        <w:tc>
          <w:tcPr>
            <w:tcW w:w="7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tcPr>
          <w:p>
            <w:pPr>
              <w:jc w:val="center"/>
              <w:spacing w:after="0" w:line="116" w:lineRule="exact"/>
              <w:rPr>
                <w:sz w:val="20"/>
                <w:szCs w:val="20"/>
                <w:color w:val="auto"/>
              </w:rPr>
            </w:pPr>
            <w:r>
              <w:rPr>
                <w:rFonts w:ascii="Times New Roman" w:cs="Times New Roman" w:eastAsia="Times New Roman" w:hAnsi="Times New Roman"/>
                <w:sz w:val="12"/>
                <w:szCs w:val="12"/>
                <w:b w:val="1"/>
                <w:bCs w:val="1"/>
                <w:color w:val="auto"/>
              </w:rPr>
              <w:t>controlling</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0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(loss) income</w:t>
            </w:r>
          </w:p>
        </w:tc>
        <w:tc>
          <w:tcPr>
            <w:tcW w:w="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interest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20" w:type="dxa"/>
            <w:vAlign w:val="bottom"/>
            <w:tcBorders>
              <w:top w:val="single" w:sz="8" w:color="auto"/>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highlight w:val="lightGray"/>
              </w:rPr>
              <w:t>128,526,137</w:t>
            </w:r>
          </w:p>
        </w:tc>
        <w:tc>
          <w:tcPr>
            <w:tcW w:w="80" w:type="dxa"/>
            <w:vAlign w:val="bottom"/>
            <w:tcBorders>
              <w:top w:val="single" w:sz="8" w:color="DDDDDD"/>
              <w:left w:val="single" w:sz="8" w:color="DDDDDD"/>
            </w:tcBorders>
            <w:shd w:val="clear" w:color="auto" w:fill="DDDDDD"/>
          </w:tcPr>
          <w:p>
            <w:pPr>
              <w:spacing w:after="0"/>
              <w:rPr>
                <w:sz w:val="16"/>
                <w:szCs w:val="16"/>
                <w:color w:val="auto"/>
              </w:rPr>
            </w:pPr>
          </w:p>
        </w:tc>
        <w:tc>
          <w:tcPr>
            <w:tcW w:w="20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tcBorders>
              <w:top w:val="single" w:sz="8" w:color="DDDDDD"/>
              <w:right w:val="single" w:sz="8" w:color="DDDDDD"/>
            </w:tcBorders>
            <w:shd w:val="clear" w:color="auto" w:fill="DDDDDD"/>
          </w:tcPr>
          <w:p>
            <w:pPr>
              <w:spacing w:after="0"/>
              <w:rPr>
                <w:sz w:val="16"/>
                <w:szCs w:val="16"/>
                <w:color w:val="auto"/>
              </w:rPr>
            </w:pPr>
          </w:p>
        </w:tc>
        <w:tc>
          <w:tcPr>
            <w:tcW w:w="180" w:type="dxa"/>
            <w:vAlign w:val="bottom"/>
            <w:tcBorders>
              <w:top w:val="single" w:sz="8" w:color="auto"/>
              <w:bottom w:val="single" w:sz="8" w:color="auto"/>
            </w:tcBorders>
            <w:shd w:val="clear" w:color="auto" w:fill="DDDDD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8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8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780" w:type="dxa"/>
            <w:vAlign w:val="bottom"/>
            <w:tcBorders>
              <w:top w:val="single" w:sz="8" w:color="auto"/>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highlight w:val="lightGray"/>
              </w:rPr>
              <w:t>(21,738,838)</w:t>
            </w:r>
          </w:p>
        </w:tc>
        <w:tc>
          <w:tcPr>
            <w:tcW w:w="4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1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DDDDDD"/>
            </w:tcBorders>
            <w:shd w:val="clear" w:color="auto" w:fill="DDDDDD"/>
          </w:tcPr>
          <w:p>
            <w:pPr>
              <w:spacing w:after="0"/>
              <w:rPr>
                <w:sz w:val="16"/>
                <w:szCs w:val="16"/>
                <w:color w:val="auto"/>
              </w:rPr>
            </w:pPr>
          </w:p>
        </w:tc>
        <w:tc>
          <w:tcPr>
            <w:tcW w:w="20" w:type="dxa"/>
            <w:vAlign w:val="bottom"/>
            <w:tcBorders>
              <w:top w:val="single" w:sz="8" w:color="DDDDDD"/>
            </w:tcBorders>
            <w:shd w:val="clear" w:color="auto" w:fill="DDDDDD"/>
          </w:tcPr>
          <w:p>
            <w:pPr>
              <w:spacing w:after="0"/>
              <w:rPr>
                <w:sz w:val="16"/>
                <w:szCs w:val="16"/>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6,229</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234"/>
        </w:trPr>
        <w:tc>
          <w:tcPr>
            <w:tcW w:w="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80" w:type="dxa"/>
            <w:vAlign w:val="bottom"/>
            <w:tcBorders>
              <w:left w:val="single" w:sz="8" w:color="DDDDDD"/>
            </w:tcBorders>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tcBorders>
              <w:right w:val="single" w:sz="8" w:color="DDDDDD"/>
            </w:tcBorders>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37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392"/>
        </w:trPr>
        <w:tc>
          <w:tcPr>
            <w:tcW w:w="6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80" w:type="dxa"/>
            <w:vAlign w:val="bottom"/>
            <w:tcBorders>
              <w:left w:val="single" w:sz="8" w:color="DDDDDD"/>
            </w:tcBorders>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100" w:type="dxa"/>
            <w:vAlign w:val="bottom"/>
            <w:tcBorders>
              <w:right w:val="single" w:sz="8" w:color="DDDDDD"/>
            </w:tcBorders>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38"/>
        </w:trPr>
        <w:tc>
          <w:tcPr>
            <w:tcW w:w="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80" w:type="dxa"/>
            <w:vAlign w:val="bottom"/>
            <w:tcBorders>
              <w:left w:val="single" w:sz="8" w:color="DDDDDD"/>
            </w:tcBorders>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tcBorders>
              <w:right w:val="single" w:sz="8" w:color="DDDDDD"/>
            </w:tcBorders>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7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57,652</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77"/>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93,039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40"/>
        </w:trPr>
        <w:tc>
          <w:tcPr>
            <w:tcW w:w="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80" w:type="dxa"/>
            <w:vAlign w:val="bottom"/>
            <w:tcBorders>
              <w:left w:val="single" w:sz="8" w:color="DDDDDD"/>
            </w:tcBorders>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right w:val="single" w:sz="8" w:color="DDDDDD"/>
            </w:tcBorders>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100" w:type="dxa"/>
            <w:vAlign w:val="bottom"/>
            <w:tcBorders>
              <w:right w:val="single" w:sz="8" w:color="DDDDDD"/>
            </w:tcBorders>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9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74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6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5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96"/>
        </w:trPr>
        <w:tc>
          <w:tcPr>
            <w:tcW w:w="60" w:type="dxa"/>
            <w:vAlign w:val="bottom"/>
          </w:tcPr>
          <w:p>
            <w:pPr>
              <w:spacing w:after="0"/>
              <w:rPr>
                <w:sz w:val="8"/>
                <w:szCs w:val="8"/>
                <w:color w:val="auto"/>
              </w:rPr>
            </w:pPr>
          </w:p>
        </w:tc>
        <w:tc>
          <w:tcPr>
            <w:tcW w:w="760" w:type="dxa"/>
            <w:vAlign w:val="bottom"/>
            <w:shd w:val="clear" w:color="auto" w:fill="DDDDDD"/>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620" w:type="dxa"/>
            <w:vAlign w:val="bottom"/>
            <w:shd w:val="clear" w:color="auto" w:fill="DDDDDD"/>
          </w:tcPr>
          <w:p>
            <w:pPr>
              <w:spacing w:after="0"/>
              <w:rPr>
                <w:sz w:val="8"/>
                <w:szCs w:val="8"/>
                <w:color w:val="auto"/>
              </w:rPr>
            </w:pPr>
          </w:p>
        </w:tc>
        <w:tc>
          <w:tcPr>
            <w:tcW w:w="100" w:type="dxa"/>
            <w:vAlign w:val="bottom"/>
            <w:tcBorders>
              <w:right w:val="single" w:sz="8" w:color="DDDDDD"/>
            </w:tcBorders>
          </w:tcPr>
          <w:p>
            <w:pPr>
              <w:spacing w:after="0"/>
              <w:rPr>
                <w:sz w:val="8"/>
                <w:szCs w:val="8"/>
                <w:color w:val="auto"/>
              </w:rPr>
            </w:pPr>
          </w:p>
        </w:tc>
        <w:tc>
          <w:tcPr>
            <w:tcW w:w="18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9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74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6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640" w:type="dxa"/>
            <w:vAlign w:val="bottom"/>
            <w:vMerge w:val="continue"/>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40" w:type="dxa"/>
            <w:vAlign w:val="bottom"/>
            <w:shd w:val="clear" w:color="auto" w:fill="DDDDDD"/>
          </w:tcPr>
          <w:p>
            <w:pPr>
              <w:spacing w:after="0"/>
              <w:rPr>
                <w:sz w:val="8"/>
                <w:szCs w:val="8"/>
                <w:color w:val="auto"/>
              </w:rPr>
            </w:pPr>
          </w:p>
        </w:tc>
        <w:tc>
          <w:tcPr>
            <w:tcW w:w="540" w:type="dxa"/>
            <w:vAlign w:val="bottom"/>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shd w:val="clear" w:color="auto" w:fill="DDDDDD"/>
          </w:tcPr>
          <w:p>
            <w:pPr>
              <w:spacing w:after="0"/>
              <w:rPr>
                <w:sz w:val="18"/>
                <w:szCs w:val="18"/>
                <w:color w:val="auto"/>
              </w:rPr>
            </w:pPr>
          </w:p>
        </w:tc>
        <w:tc>
          <w:tcPr>
            <w:tcW w:w="80" w:type="dxa"/>
            <w:vAlign w:val="bottom"/>
            <w:tcBorders>
              <w:left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50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spacing w:after="0"/>
              <w:rPr>
                <w:sz w:val="18"/>
                <w:szCs w:val="18"/>
                <w:color w:val="auto"/>
              </w:rPr>
            </w:pPr>
          </w:p>
        </w:tc>
        <w:tc>
          <w:tcPr>
            <w:tcW w:w="6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right w:val="single" w:sz="8" w:color="DDDDDD"/>
            </w:tcBorders>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50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900" w:type="dxa"/>
            <w:vAlign w:val="bottom"/>
            <w:tcBorders>
              <w:bottom w:val="single" w:sz="8" w:color="auto"/>
            </w:tcBorders>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40" w:type="dxa"/>
            <w:vAlign w:val="bottom"/>
            <w:tcBorders>
              <w:bottom w:val="single" w:sz="8" w:color="auto"/>
            </w:tcBorders>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spacing w:after="0"/>
              <w:rPr>
                <w:sz w:val="18"/>
                <w:szCs w:val="18"/>
                <w:color w:val="auto"/>
              </w:rPr>
            </w:pP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500" w:type="dxa"/>
            <w:vAlign w:val="bottom"/>
            <w:tcBorders>
              <w:bottom w:val="single" w:sz="8" w:color="auto"/>
            </w:tcBorders>
            <w:shd w:val="clear" w:color="auto" w:fill="DDDDDD"/>
          </w:tcPr>
          <w:p>
            <w:pPr>
              <w:spacing w:after="0"/>
              <w:rPr>
                <w:sz w:val="18"/>
                <w:szCs w:val="18"/>
                <w:color w:val="auto"/>
              </w:rPr>
            </w:pPr>
          </w:p>
        </w:tc>
        <w:tc>
          <w:tcPr>
            <w:tcW w:w="4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640" w:type="dxa"/>
            <w:vAlign w:val="bottom"/>
            <w:tcBorders>
              <w:bottom w:val="single" w:sz="8" w:color="auto"/>
            </w:tcBorders>
            <w:vMerge w:val="continue"/>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540" w:type="dxa"/>
            <w:vAlign w:val="bottom"/>
            <w:tcBorders>
              <w:bottom w:val="single" w:sz="8" w:color="auto"/>
            </w:tcBorders>
            <w:vMerge w:val="continue"/>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128,526,137</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(21,588,147)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0" w:type="dxa"/>
            <w:vAlign w:val="bottom"/>
          </w:tcPr>
          <w:p>
            <w:pPr>
              <w:spacing w:after="0"/>
              <w:rPr>
                <w:sz w:val="1"/>
                <w:szCs w:val="1"/>
                <w:color w:val="auto"/>
              </w:rPr>
            </w:pPr>
          </w:p>
        </w:tc>
      </w:tr>
      <w:tr>
        <w:trPr>
          <w:trHeight w:val="234"/>
        </w:trPr>
        <w:tc>
          <w:tcPr>
            <w:tcW w:w="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80" w:type="dxa"/>
            <w:vAlign w:val="bottom"/>
            <w:tcBorders>
              <w:left w:val="single" w:sz="8" w:color="DDDDDD"/>
            </w:tcBorders>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tcBorders>
              <w:right w:val="single" w:sz="8" w:color="DDDDDD"/>
            </w:tcBorders>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left w:val="single" w:sz="8" w:color="DDDDDD"/>
            </w:tcBorders>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100" w:type="dxa"/>
            <w:vAlign w:val="bottom"/>
            <w:tcBorders>
              <w:right w:val="single" w:sz="8" w:color="DDDDDD"/>
            </w:tcBorders>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74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64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5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96"/>
        </w:trPr>
        <w:tc>
          <w:tcPr>
            <w:tcW w:w="60" w:type="dxa"/>
            <w:vAlign w:val="bottom"/>
            <w:shd w:val="clear" w:color="auto" w:fill="DDDDDD"/>
          </w:tcPr>
          <w:p>
            <w:pPr>
              <w:spacing w:after="0"/>
              <w:rPr>
                <w:sz w:val="8"/>
                <w:szCs w:val="8"/>
                <w:color w:val="auto"/>
              </w:rPr>
            </w:pPr>
          </w:p>
        </w:tc>
        <w:tc>
          <w:tcPr>
            <w:tcW w:w="760" w:type="dxa"/>
            <w:vAlign w:val="bottom"/>
            <w:shd w:val="clear" w:color="auto" w:fill="DDDDDD"/>
          </w:tcPr>
          <w:p>
            <w:pPr>
              <w:spacing w:after="0"/>
              <w:rPr>
                <w:sz w:val="8"/>
                <w:szCs w:val="8"/>
                <w:color w:val="auto"/>
              </w:rPr>
            </w:pPr>
          </w:p>
        </w:tc>
        <w:tc>
          <w:tcPr>
            <w:tcW w:w="80" w:type="dxa"/>
            <w:vAlign w:val="bottom"/>
            <w:tcBorders>
              <w:left w:val="single" w:sz="8" w:color="DDDDDD"/>
            </w:tcBorders>
            <w:shd w:val="clear" w:color="auto" w:fill="DDDDDD"/>
          </w:tcPr>
          <w:p>
            <w:pPr>
              <w:spacing w:after="0"/>
              <w:rPr>
                <w:sz w:val="8"/>
                <w:szCs w:val="8"/>
                <w:color w:val="auto"/>
              </w:rPr>
            </w:pPr>
          </w:p>
        </w:tc>
        <w:tc>
          <w:tcPr>
            <w:tcW w:w="20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620" w:type="dxa"/>
            <w:vAlign w:val="bottom"/>
            <w:shd w:val="clear" w:color="auto" w:fill="DDDDDD"/>
          </w:tcPr>
          <w:p>
            <w:pPr>
              <w:spacing w:after="0"/>
              <w:rPr>
                <w:sz w:val="8"/>
                <w:szCs w:val="8"/>
                <w:color w:val="auto"/>
              </w:rPr>
            </w:pPr>
          </w:p>
        </w:tc>
        <w:tc>
          <w:tcPr>
            <w:tcW w:w="100" w:type="dxa"/>
            <w:vAlign w:val="bottom"/>
            <w:tcBorders>
              <w:right w:val="single" w:sz="8" w:color="DDDDDD"/>
            </w:tcBorders>
          </w:tcPr>
          <w:p>
            <w:pPr>
              <w:spacing w:after="0"/>
              <w:rPr>
                <w:sz w:val="8"/>
                <w:szCs w:val="8"/>
                <w:color w:val="auto"/>
              </w:rPr>
            </w:pPr>
          </w:p>
        </w:tc>
        <w:tc>
          <w:tcPr>
            <w:tcW w:w="18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900" w:type="dxa"/>
            <w:vAlign w:val="bottom"/>
            <w:vMerge w:val="continue"/>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74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6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64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40" w:type="dxa"/>
            <w:vAlign w:val="bottom"/>
            <w:shd w:val="clear" w:color="auto" w:fill="DDDDDD"/>
          </w:tcPr>
          <w:p>
            <w:pPr>
              <w:spacing w:after="0"/>
              <w:rPr>
                <w:sz w:val="8"/>
                <w:szCs w:val="8"/>
                <w:color w:val="auto"/>
              </w:rPr>
            </w:pPr>
          </w:p>
        </w:tc>
        <w:tc>
          <w:tcPr>
            <w:tcW w:w="540" w:type="dxa"/>
            <w:vAlign w:val="bottom"/>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tcBorders>
              <w:left w:val="single" w:sz="8" w:color="DDDDDD"/>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0" w:type="dxa"/>
            <w:vAlign w:val="bottom"/>
            <w:tcBorders>
              <w:right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00" w:type="dxa"/>
            <w:vAlign w:val="bottom"/>
            <w:vMerge w:val="continue"/>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54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309"/>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80" w:type="dxa"/>
            <w:vAlign w:val="bottom"/>
            <w:tcBorders>
              <w:left w:val="single" w:sz="8" w:color="DDDDDD"/>
            </w:tcBorders>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100" w:type="dxa"/>
            <w:vAlign w:val="bottom"/>
            <w:tcBorders>
              <w:right w:val="single" w:sz="8" w:color="DDDDDD"/>
            </w:tcBorders>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8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7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5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159,222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4"/>
        </w:trPr>
        <w:tc>
          <w:tcPr>
            <w:tcW w:w="8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highlight w:val="lightGray"/>
              </w:rPr>
              <w:t>141,740,461</w:t>
            </w:r>
          </w:p>
        </w:tc>
        <w:tc>
          <w:tcPr>
            <w:tcW w:w="80" w:type="dxa"/>
            <w:vAlign w:val="bottom"/>
            <w:tcBorders>
              <w:left w:val="single" w:sz="8" w:color="DDDDDD"/>
            </w:tcBorders>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15,936</w:t>
            </w:r>
          </w:p>
        </w:tc>
        <w:tc>
          <w:tcPr>
            <w:tcW w:w="100" w:type="dxa"/>
            <w:vAlign w:val="bottom"/>
            <w:tcBorders>
              <w:right w:val="single" w:sz="8" w:color="DDDDDD"/>
            </w:tcBorders>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15,976</w:t>
            </w:r>
          </w:p>
        </w:tc>
        <w:tc>
          <w:tcPr>
            <w:tcW w:w="0" w:type="dxa"/>
            <w:vAlign w:val="bottom"/>
          </w:tcPr>
          <w:p>
            <w:pPr>
              <w:spacing w:after="0"/>
              <w:rPr>
                <w:sz w:val="1"/>
                <w:szCs w:val="1"/>
                <w:color w:val="auto"/>
              </w:rPr>
            </w:pPr>
          </w:p>
        </w:tc>
      </w:tr>
      <w:tr>
        <w:trPr>
          <w:trHeight w:val="230"/>
        </w:trPr>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5,460,031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left w:val="single" w:sz="8" w:color="DDDDDD"/>
            </w:tcBorders>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right w:val="single" w:sz="8" w:color="DDDDDD"/>
            </w:tcBorders>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9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78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276,280</w:t>
            </w: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5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64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5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96"/>
        </w:trPr>
        <w:tc>
          <w:tcPr>
            <w:tcW w:w="60" w:type="dxa"/>
            <w:vAlign w:val="bottom"/>
            <w:shd w:val="clear" w:color="auto" w:fill="DDDDDD"/>
          </w:tcPr>
          <w:p>
            <w:pPr>
              <w:spacing w:after="0"/>
              <w:rPr>
                <w:sz w:val="8"/>
                <w:szCs w:val="8"/>
                <w:color w:val="auto"/>
              </w:rPr>
            </w:pPr>
          </w:p>
        </w:tc>
        <w:tc>
          <w:tcPr>
            <w:tcW w:w="760" w:type="dxa"/>
            <w:vAlign w:val="bottom"/>
            <w:shd w:val="clear" w:color="auto" w:fill="DDDDDD"/>
          </w:tcPr>
          <w:p>
            <w:pPr>
              <w:spacing w:after="0"/>
              <w:rPr>
                <w:sz w:val="8"/>
                <w:szCs w:val="8"/>
                <w:color w:val="auto"/>
              </w:rPr>
            </w:pPr>
          </w:p>
        </w:tc>
        <w:tc>
          <w:tcPr>
            <w:tcW w:w="80" w:type="dxa"/>
            <w:vAlign w:val="bottom"/>
            <w:tcBorders>
              <w:left w:val="single" w:sz="8" w:color="DDDDDD"/>
            </w:tcBorders>
            <w:shd w:val="clear" w:color="auto" w:fill="DDDDDD"/>
          </w:tcPr>
          <w:p>
            <w:pPr>
              <w:spacing w:after="0"/>
              <w:rPr>
                <w:sz w:val="8"/>
                <w:szCs w:val="8"/>
                <w:color w:val="auto"/>
              </w:rPr>
            </w:pPr>
          </w:p>
        </w:tc>
        <w:tc>
          <w:tcPr>
            <w:tcW w:w="20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620" w:type="dxa"/>
            <w:vAlign w:val="bottom"/>
            <w:vMerge w:val="continue"/>
            <w:shd w:val="clear" w:color="auto" w:fill="DDDDDD"/>
          </w:tcPr>
          <w:p>
            <w:pPr>
              <w:spacing w:after="0"/>
              <w:rPr>
                <w:sz w:val="8"/>
                <w:szCs w:val="8"/>
                <w:color w:val="auto"/>
              </w:rPr>
            </w:pPr>
          </w:p>
        </w:tc>
        <w:tc>
          <w:tcPr>
            <w:tcW w:w="100" w:type="dxa"/>
            <w:vAlign w:val="bottom"/>
            <w:tcBorders>
              <w:right w:val="single" w:sz="8" w:color="DDDDDD"/>
            </w:tcBorders>
          </w:tcPr>
          <w:p>
            <w:pPr>
              <w:spacing w:after="0"/>
              <w:rPr>
                <w:sz w:val="8"/>
                <w:szCs w:val="8"/>
                <w:color w:val="auto"/>
              </w:rPr>
            </w:pPr>
          </w:p>
        </w:tc>
        <w:tc>
          <w:tcPr>
            <w:tcW w:w="18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9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780" w:type="dxa"/>
            <w:vAlign w:val="bottom"/>
            <w:gridSpan w:val="2"/>
            <w:vMerge w:val="continue"/>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60" w:type="dxa"/>
            <w:vAlign w:val="bottom"/>
            <w:shd w:val="clear" w:color="auto" w:fill="DDDDDD"/>
          </w:tcPr>
          <w:p>
            <w:pPr>
              <w:spacing w:after="0"/>
              <w:rPr>
                <w:sz w:val="8"/>
                <w:szCs w:val="8"/>
                <w:color w:val="auto"/>
              </w:rPr>
            </w:pPr>
          </w:p>
        </w:tc>
        <w:tc>
          <w:tcPr>
            <w:tcW w:w="500" w:type="dxa"/>
            <w:vAlign w:val="bottom"/>
            <w:vMerge w:val="continue"/>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64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40" w:type="dxa"/>
            <w:vAlign w:val="bottom"/>
            <w:shd w:val="clear" w:color="auto" w:fill="DDDDDD"/>
          </w:tcPr>
          <w:p>
            <w:pPr>
              <w:spacing w:after="0"/>
              <w:rPr>
                <w:sz w:val="8"/>
                <w:szCs w:val="8"/>
                <w:color w:val="auto"/>
              </w:rPr>
            </w:pPr>
          </w:p>
        </w:tc>
        <w:tc>
          <w:tcPr>
            <w:tcW w:w="540" w:type="dxa"/>
            <w:vAlign w:val="bottom"/>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tcBorders>
              <w:left w:val="single" w:sz="8" w:color="DDDDDD"/>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620" w:type="dxa"/>
            <w:vAlign w:val="bottom"/>
            <w:vMerge w:val="continue"/>
            <w:shd w:val="clear" w:color="auto" w:fill="DDDDDD"/>
          </w:tcPr>
          <w:p>
            <w:pPr>
              <w:spacing w:after="0"/>
              <w:rPr>
                <w:sz w:val="19"/>
                <w:szCs w:val="19"/>
                <w:color w:val="auto"/>
              </w:rPr>
            </w:pPr>
          </w:p>
        </w:tc>
        <w:tc>
          <w:tcPr>
            <w:tcW w:w="100" w:type="dxa"/>
            <w:vAlign w:val="bottom"/>
            <w:tcBorders>
              <w:right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780" w:type="dxa"/>
            <w:vAlign w:val="bottom"/>
            <w:gridSpan w:val="2"/>
            <w:vMerge w:val="continue"/>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500" w:type="dxa"/>
            <w:vAlign w:val="bottom"/>
            <w:vMerge w:val="continue"/>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54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34"/>
        </w:trPr>
        <w:tc>
          <w:tcPr>
            <w:tcW w:w="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80" w:type="dxa"/>
            <w:vAlign w:val="bottom"/>
            <w:tcBorders>
              <w:left w:val="single" w:sz="8" w:color="DDDDDD"/>
            </w:tcBorders>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right w:val="single" w:sz="8" w:color="DDDDDD"/>
            </w:tcBorders>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8"/>
        </w:trPr>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4"/>
        </w:trPr>
        <w:tc>
          <w:tcPr>
            <w:tcW w:w="8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highlight w:val="lightGray"/>
              </w:rPr>
              <w:t>275,726,629</w:t>
            </w:r>
          </w:p>
        </w:tc>
        <w:tc>
          <w:tcPr>
            <w:tcW w:w="80" w:type="dxa"/>
            <w:vAlign w:val="bottom"/>
            <w:tcBorders>
              <w:left w:val="single" w:sz="8" w:color="DDDDDD"/>
            </w:tcBorders>
            <w:shd w:val="clear" w:color="auto" w:fill="DDDDDD"/>
          </w:tcPr>
          <w:p>
            <w:pPr>
              <w:spacing w:after="0"/>
              <w:rPr>
                <w:sz w:val="18"/>
                <w:szCs w:val="18"/>
                <w:color w:val="auto"/>
              </w:rPr>
            </w:pPr>
          </w:p>
        </w:tc>
        <w:tc>
          <w:tcPr>
            <w:tcW w:w="20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19,826</w:t>
            </w:r>
          </w:p>
        </w:tc>
        <w:tc>
          <w:tcPr>
            <w:tcW w:w="100" w:type="dxa"/>
            <w:vAlign w:val="bottom"/>
            <w:tcBorders>
              <w:bottom w:val="single" w:sz="8" w:color="DDDDDD"/>
              <w:right w:val="single" w:sz="8" w:color="DDDDDD"/>
            </w:tcBorders>
            <w:shd w:val="clear" w:color="auto" w:fill="DDDDDD"/>
          </w:tcPr>
          <w:p>
            <w:pPr>
              <w:spacing w:after="0"/>
              <w:rPr>
                <w:sz w:val="18"/>
                <w:szCs w:val="18"/>
                <w:color w:val="auto"/>
              </w:rPr>
            </w:pPr>
          </w:p>
        </w:tc>
        <w:tc>
          <w:tcPr>
            <w:tcW w:w="180" w:type="dxa"/>
            <w:vAlign w:val="bottom"/>
            <w:shd w:val="clear" w:color="auto" w:fill="DDDDDD"/>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3,641</w:t>
            </w:r>
          </w:p>
        </w:tc>
        <w:tc>
          <w:tcPr>
            <w:tcW w:w="80" w:type="dxa"/>
            <w:vAlign w:val="bottom"/>
            <w:shd w:val="clear" w:color="auto" w:fill="DDDDDD"/>
          </w:tcPr>
          <w:p>
            <w:pPr>
              <w:spacing w:after="0"/>
              <w:rPr>
                <w:sz w:val="18"/>
                <w:szCs w:val="18"/>
                <w:color w:val="auto"/>
              </w:rPr>
            </w:pP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8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7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highlight w:val="lightGray"/>
              </w:rPr>
              <w:t>(21,152,645)</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4"/>
                <w:szCs w:val="14"/>
                <w:color w:val="auto"/>
              </w:rPr>
              <w:t>21,117</w:t>
            </w:r>
          </w:p>
        </w:tc>
        <w:tc>
          <w:tcPr>
            <w:tcW w:w="0" w:type="dxa"/>
            <w:vAlign w:val="bottom"/>
          </w:tcPr>
          <w:p>
            <w:pPr>
              <w:spacing w:after="0"/>
              <w:rPr>
                <w:sz w:val="1"/>
                <w:szCs w:val="1"/>
                <w:color w:val="auto"/>
              </w:rPr>
            </w:pPr>
          </w:p>
        </w:tc>
      </w:tr>
      <w:tr>
        <w:trPr>
          <w:trHeight w:val="212"/>
        </w:trPr>
        <w:tc>
          <w:tcPr>
            <w:tcW w:w="60" w:type="dxa"/>
            <w:vAlign w:val="bottom"/>
            <w:tcBorders>
              <w:bottom w:val="single" w:sz="8" w:color="DDDDDD"/>
            </w:tcBorders>
          </w:tcPr>
          <w:p>
            <w:pPr>
              <w:spacing w:after="0"/>
              <w:rPr>
                <w:sz w:val="18"/>
                <w:szCs w:val="18"/>
                <w:color w:val="auto"/>
              </w:rPr>
            </w:pPr>
          </w:p>
        </w:tc>
        <w:tc>
          <w:tcPr>
            <w:tcW w:w="76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200" w:type="dxa"/>
            <w:vAlign w:val="bottom"/>
            <w:tcBorders>
              <w:bottom w:val="single" w:sz="8" w:color="DDDDDD"/>
            </w:tcBorders>
          </w:tcPr>
          <w:p>
            <w:pPr>
              <w:spacing w:after="0"/>
              <w:rPr>
                <w:sz w:val="18"/>
                <w:szCs w:val="18"/>
                <w:color w:val="auto"/>
              </w:rPr>
            </w:pPr>
          </w:p>
        </w:tc>
        <w:tc>
          <w:tcPr>
            <w:tcW w:w="50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00" w:type="dxa"/>
            <w:vAlign w:val="bottom"/>
            <w:tcBorders>
              <w:bottom w:val="single" w:sz="8" w:color="DDDDDD"/>
            </w:tcBorders>
          </w:tcPr>
          <w:p>
            <w:pPr>
              <w:spacing w:after="0"/>
              <w:rPr>
                <w:sz w:val="18"/>
                <w:szCs w:val="18"/>
                <w:color w:val="auto"/>
              </w:rPr>
            </w:pPr>
          </w:p>
        </w:tc>
        <w:tc>
          <w:tcPr>
            <w:tcW w:w="620" w:type="dxa"/>
            <w:vAlign w:val="bottom"/>
            <w:tcBorders>
              <w:bottom w:val="single" w:sz="8" w:color="DDDDDD"/>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DDDDDD"/>
            </w:tcBorders>
          </w:tcPr>
          <w:p>
            <w:pPr>
              <w:spacing w:after="0"/>
              <w:rPr>
                <w:sz w:val="18"/>
                <w:szCs w:val="18"/>
                <w:color w:val="auto"/>
              </w:rPr>
            </w:pPr>
          </w:p>
        </w:tc>
        <w:tc>
          <w:tcPr>
            <w:tcW w:w="5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8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900" w:type="dxa"/>
            <w:vAlign w:val="bottom"/>
            <w:tcBorders>
              <w:bottom w:val="single" w:sz="8" w:color="DDDDDD"/>
            </w:tcBorders>
          </w:tcPr>
          <w:p>
            <w:pPr>
              <w:spacing w:after="0"/>
              <w:rPr>
                <w:sz w:val="18"/>
                <w:szCs w:val="18"/>
                <w:color w:val="auto"/>
              </w:rPr>
            </w:pPr>
          </w:p>
        </w:tc>
        <w:tc>
          <w:tcPr>
            <w:tcW w:w="8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740" w:type="dxa"/>
            <w:vAlign w:val="bottom"/>
            <w:tcBorders>
              <w:bottom w:val="single" w:sz="8" w:color="DDDDDD"/>
            </w:tcBorders>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60" w:type="dxa"/>
            <w:vAlign w:val="bottom"/>
            <w:tcBorders>
              <w:bottom w:val="single" w:sz="8" w:color="DDDDDD"/>
            </w:tcBorders>
          </w:tcPr>
          <w:p>
            <w:pPr>
              <w:spacing w:after="0"/>
              <w:rPr>
                <w:sz w:val="18"/>
                <w:szCs w:val="18"/>
                <w:color w:val="auto"/>
              </w:rPr>
            </w:pPr>
          </w:p>
        </w:tc>
        <w:tc>
          <w:tcPr>
            <w:tcW w:w="500" w:type="dxa"/>
            <w:vAlign w:val="bottom"/>
            <w:tcBorders>
              <w:bottom w:val="single" w:sz="8" w:color="DDDDDD"/>
            </w:tcBorders>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20" w:type="dxa"/>
            <w:vAlign w:val="bottom"/>
            <w:tcBorders>
              <w:bottom w:val="single" w:sz="8" w:color="DDDDDD"/>
            </w:tcBorders>
          </w:tcPr>
          <w:p>
            <w:pPr>
              <w:spacing w:after="0"/>
              <w:rPr>
                <w:sz w:val="18"/>
                <w:szCs w:val="18"/>
                <w:color w:val="auto"/>
              </w:rPr>
            </w:pPr>
          </w:p>
        </w:tc>
        <w:tc>
          <w:tcPr>
            <w:tcW w:w="6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40" w:type="dxa"/>
            <w:vAlign w:val="bottom"/>
            <w:tcBorders>
              <w:bottom w:val="single" w:sz="8" w:color="DDDDDD"/>
            </w:tcBorders>
          </w:tcPr>
          <w:p>
            <w:pPr>
              <w:spacing w:after="0"/>
              <w:rPr>
                <w:sz w:val="18"/>
                <w:szCs w:val="18"/>
                <w:color w:val="auto"/>
              </w:rPr>
            </w:pPr>
          </w:p>
        </w:tc>
        <w:tc>
          <w:tcPr>
            <w:tcW w:w="5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242"/>
        </w:trPr>
        <w:tc>
          <w:tcPr>
            <w:tcW w:w="60" w:type="dxa"/>
            <w:vAlign w:val="bottom"/>
            <w:tcBorders>
              <w:bottom w:val="single" w:sz="8" w:color="DDDDDD"/>
            </w:tcBorders>
            <w:shd w:val="clear" w:color="auto" w:fill="DDDDDD"/>
          </w:tcPr>
          <w:p>
            <w:pPr>
              <w:spacing w:after="0"/>
              <w:rPr>
                <w:sz w:val="21"/>
                <w:szCs w:val="21"/>
                <w:color w:val="auto"/>
              </w:rPr>
            </w:pPr>
          </w:p>
        </w:tc>
        <w:tc>
          <w:tcPr>
            <w:tcW w:w="760" w:type="dxa"/>
            <w:vAlign w:val="bottom"/>
            <w:tcBorders>
              <w:bottom w:val="single" w:sz="8" w:color="DDDDDD"/>
            </w:tcBorders>
            <w:shd w:val="clear" w:color="auto" w:fill="DDDDDD"/>
          </w:tcPr>
          <w:p>
            <w:pPr>
              <w:spacing w:after="0"/>
              <w:rPr>
                <w:sz w:val="21"/>
                <w:szCs w:val="21"/>
                <w:color w:val="auto"/>
              </w:rPr>
            </w:pPr>
          </w:p>
        </w:tc>
        <w:tc>
          <w:tcPr>
            <w:tcW w:w="80" w:type="dxa"/>
            <w:vAlign w:val="bottom"/>
            <w:tcBorders>
              <w:left w:val="single" w:sz="8" w:color="DDDDDD"/>
            </w:tcBorders>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50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20" w:type="dxa"/>
            <w:vAlign w:val="bottom"/>
            <w:shd w:val="clear" w:color="auto" w:fill="DDDDDD"/>
          </w:tcPr>
          <w:p>
            <w:pPr>
              <w:spacing w:after="0"/>
              <w:rPr>
                <w:sz w:val="21"/>
                <w:szCs w:val="21"/>
                <w:color w:val="auto"/>
              </w:rPr>
            </w:pPr>
          </w:p>
        </w:tc>
        <w:tc>
          <w:tcPr>
            <w:tcW w:w="100" w:type="dxa"/>
            <w:vAlign w:val="bottom"/>
            <w:tcBorders>
              <w:right w:val="single" w:sz="8" w:color="DDDDDD"/>
            </w:tcBorders>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50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8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740" w:type="dxa"/>
            <w:vAlign w:val="bottom"/>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500" w:type="dxa"/>
            <w:vAlign w:val="bottom"/>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6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left w:val="single" w:sz="8" w:color="DDDDDD"/>
            </w:tcBorders>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100" w:type="dxa"/>
            <w:vAlign w:val="bottom"/>
            <w:tcBorders>
              <w:right w:val="single" w:sz="8" w:color="DDDDDD"/>
            </w:tcBorders>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9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74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64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5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0" w:type="dxa"/>
            <w:vAlign w:val="bottom"/>
          </w:tcPr>
          <w:p>
            <w:pPr>
              <w:spacing w:after="0"/>
              <w:rPr>
                <w:sz w:val="1"/>
                <w:szCs w:val="1"/>
                <w:color w:val="auto"/>
              </w:rPr>
            </w:pPr>
          </w:p>
        </w:tc>
      </w:tr>
      <w:tr>
        <w:trPr>
          <w:trHeight w:val="96"/>
        </w:trPr>
        <w:tc>
          <w:tcPr>
            <w:tcW w:w="60" w:type="dxa"/>
            <w:vAlign w:val="bottom"/>
            <w:shd w:val="clear" w:color="auto" w:fill="DDDDDD"/>
          </w:tcPr>
          <w:p>
            <w:pPr>
              <w:spacing w:after="0"/>
              <w:rPr>
                <w:sz w:val="8"/>
                <w:szCs w:val="8"/>
                <w:color w:val="auto"/>
              </w:rPr>
            </w:pPr>
          </w:p>
        </w:tc>
        <w:tc>
          <w:tcPr>
            <w:tcW w:w="760" w:type="dxa"/>
            <w:vAlign w:val="bottom"/>
            <w:shd w:val="clear" w:color="auto" w:fill="DDDDDD"/>
          </w:tcPr>
          <w:p>
            <w:pPr>
              <w:spacing w:after="0"/>
              <w:rPr>
                <w:sz w:val="8"/>
                <w:szCs w:val="8"/>
                <w:color w:val="auto"/>
              </w:rPr>
            </w:pPr>
          </w:p>
        </w:tc>
        <w:tc>
          <w:tcPr>
            <w:tcW w:w="80" w:type="dxa"/>
            <w:vAlign w:val="bottom"/>
            <w:tcBorders>
              <w:left w:val="single" w:sz="8" w:color="DDDDDD"/>
            </w:tcBorders>
            <w:shd w:val="clear" w:color="auto" w:fill="DDDDDD"/>
          </w:tcPr>
          <w:p>
            <w:pPr>
              <w:spacing w:after="0"/>
              <w:rPr>
                <w:sz w:val="8"/>
                <w:szCs w:val="8"/>
                <w:color w:val="auto"/>
              </w:rPr>
            </w:pPr>
          </w:p>
        </w:tc>
        <w:tc>
          <w:tcPr>
            <w:tcW w:w="20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620" w:type="dxa"/>
            <w:vAlign w:val="bottom"/>
            <w:shd w:val="clear" w:color="auto" w:fill="DDDDDD"/>
          </w:tcPr>
          <w:p>
            <w:pPr>
              <w:spacing w:after="0"/>
              <w:rPr>
                <w:sz w:val="8"/>
                <w:szCs w:val="8"/>
                <w:color w:val="auto"/>
              </w:rPr>
            </w:pPr>
          </w:p>
        </w:tc>
        <w:tc>
          <w:tcPr>
            <w:tcW w:w="100" w:type="dxa"/>
            <w:vAlign w:val="bottom"/>
            <w:tcBorders>
              <w:right w:val="single" w:sz="8" w:color="DDDDDD"/>
            </w:tcBorders>
          </w:tcPr>
          <w:p>
            <w:pPr>
              <w:spacing w:after="0"/>
              <w:rPr>
                <w:sz w:val="8"/>
                <w:szCs w:val="8"/>
                <w:color w:val="auto"/>
              </w:rPr>
            </w:pPr>
          </w:p>
        </w:tc>
        <w:tc>
          <w:tcPr>
            <w:tcW w:w="180" w:type="dxa"/>
            <w:vAlign w:val="bottom"/>
            <w:shd w:val="clear" w:color="auto" w:fill="DDDDDD"/>
          </w:tcPr>
          <w:p>
            <w:pPr>
              <w:spacing w:after="0"/>
              <w:rPr>
                <w:sz w:val="8"/>
                <w:szCs w:val="8"/>
                <w:color w:val="auto"/>
              </w:rPr>
            </w:pPr>
          </w:p>
        </w:tc>
        <w:tc>
          <w:tcPr>
            <w:tcW w:w="500" w:type="dxa"/>
            <w:vAlign w:val="bottom"/>
            <w:vMerge w:val="continue"/>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9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74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6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64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40" w:type="dxa"/>
            <w:vAlign w:val="bottom"/>
            <w:shd w:val="clear" w:color="auto" w:fill="DDDDDD"/>
          </w:tcPr>
          <w:p>
            <w:pPr>
              <w:spacing w:after="0"/>
              <w:rPr>
                <w:sz w:val="8"/>
                <w:szCs w:val="8"/>
                <w:color w:val="auto"/>
              </w:rPr>
            </w:pPr>
          </w:p>
        </w:tc>
        <w:tc>
          <w:tcPr>
            <w:tcW w:w="540" w:type="dxa"/>
            <w:vAlign w:val="bottom"/>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tcBorders>
              <w:left w:val="single" w:sz="8" w:color="DDDDDD"/>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0" w:type="dxa"/>
            <w:vAlign w:val="bottom"/>
            <w:tcBorders>
              <w:right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00" w:type="dxa"/>
            <w:vAlign w:val="bottom"/>
            <w:vMerge w:val="continue"/>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54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85,728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left w:val="single" w:sz="8" w:color="DDDDDD"/>
            </w:tcBorders>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right w:val="single" w:sz="8" w:color="DDDDDD"/>
            </w:tcBorders>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9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78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308,751</w:t>
            </w: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5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64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5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96"/>
        </w:trPr>
        <w:tc>
          <w:tcPr>
            <w:tcW w:w="60" w:type="dxa"/>
            <w:vAlign w:val="bottom"/>
            <w:shd w:val="clear" w:color="auto" w:fill="DDDDDD"/>
          </w:tcPr>
          <w:p>
            <w:pPr>
              <w:spacing w:after="0"/>
              <w:rPr>
                <w:sz w:val="8"/>
                <w:szCs w:val="8"/>
                <w:color w:val="auto"/>
              </w:rPr>
            </w:pPr>
          </w:p>
        </w:tc>
        <w:tc>
          <w:tcPr>
            <w:tcW w:w="760" w:type="dxa"/>
            <w:vAlign w:val="bottom"/>
            <w:shd w:val="clear" w:color="auto" w:fill="DDDDDD"/>
          </w:tcPr>
          <w:p>
            <w:pPr>
              <w:spacing w:after="0"/>
              <w:rPr>
                <w:sz w:val="8"/>
                <w:szCs w:val="8"/>
                <w:color w:val="auto"/>
              </w:rPr>
            </w:pPr>
          </w:p>
        </w:tc>
        <w:tc>
          <w:tcPr>
            <w:tcW w:w="80" w:type="dxa"/>
            <w:vAlign w:val="bottom"/>
            <w:tcBorders>
              <w:left w:val="single" w:sz="8" w:color="DDDDDD"/>
            </w:tcBorders>
            <w:shd w:val="clear" w:color="auto" w:fill="DDDDDD"/>
          </w:tcPr>
          <w:p>
            <w:pPr>
              <w:spacing w:after="0"/>
              <w:rPr>
                <w:sz w:val="8"/>
                <w:szCs w:val="8"/>
                <w:color w:val="auto"/>
              </w:rPr>
            </w:pPr>
          </w:p>
        </w:tc>
        <w:tc>
          <w:tcPr>
            <w:tcW w:w="20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620" w:type="dxa"/>
            <w:vAlign w:val="bottom"/>
            <w:vMerge w:val="continue"/>
            <w:shd w:val="clear" w:color="auto" w:fill="DDDDDD"/>
          </w:tcPr>
          <w:p>
            <w:pPr>
              <w:spacing w:after="0"/>
              <w:rPr>
                <w:sz w:val="8"/>
                <w:szCs w:val="8"/>
                <w:color w:val="auto"/>
              </w:rPr>
            </w:pPr>
          </w:p>
        </w:tc>
        <w:tc>
          <w:tcPr>
            <w:tcW w:w="100" w:type="dxa"/>
            <w:vAlign w:val="bottom"/>
            <w:tcBorders>
              <w:right w:val="single" w:sz="8" w:color="DDDDDD"/>
            </w:tcBorders>
          </w:tcPr>
          <w:p>
            <w:pPr>
              <w:spacing w:after="0"/>
              <w:rPr>
                <w:sz w:val="8"/>
                <w:szCs w:val="8"/>
                <w:color w:val="auto"/>
              </w:rPr>
            </w:pPr>
          </w:p>
        </w:tc>
        <w:tc>
          <w:tcPr>
            <w:tcW w:w="180" w:type="dxa"/>
            <w:vAlign w:val="bottom"/>
            <w:shd w:val="clear" w:color="auto" w:fill="DDDDDD"/>
          </w:tcPr>
          <w:p>
            <w:pPr>
              <w:spacing w:after="0"/>
              <w:rPr>
                <w:sz w:val="8"/>
                <w:szCs w:val="8"/>
                <w:color w:val="auto"/>
              </w:rPr>
            </w:pPr>
          </w:p>
        </w:tc>
        <w:tc>
          <w:tcPr>
            <w:tcW w:w="5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900" w:type="dxa"/>
            <w:vAlign w:val="bottom"/>
            <w:shd w:val="clear" w:color="auto" w:fill="DDDDDD"/>
          </w:tcPr>
          <w:p>
            <w:pPr>
              <w:spacing w:after="0"/>
              <w:rPr>
                <w:sz w:val="8"/>
                <w:szCs w:val="8"/>
                <w:color w:val="auto"/>
              </w:rPr>
            </w:pPr>
          </w:p>
        </w:tc>
        <w:tc>
          <w:tcPr>
            <w:tcW w:w="8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780" w:type="dxa"/>
            <w:vAlign w:val="bottom"/>
            <w:gridSpan w:val="2"/>
            <w:vMerge w:val="continue"/>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60" w:type="dxa"/>
            <w:vAlign w:val="bottom"/>
            <w:shd w:val="clear" w:color="auto" w:fill="DDDDDD"/>
          </w:tcPr>
          <w:p>
            <w:pPr>
              <w:spacing w:after="0"/>
              <w:rPr>
                <w:sz w:val="8"/>
                <w:szCs w:val="8"/>
                <w:color w:val="auto"/>
              </w:rPr>
            </w:pPr>
          </w:p>
        </w:tc>
        <w:tc>
          <w:tcPr>
            <w:tcW w:w="500" w:type="dxa"/>
            <w:vAlign w:val="bottom"/>
            <w:vMerge w:val="continue"/>
            <w:shd w:val="clear" w:color="auto" w:fill="DDDDDD"/>
          </w:tcPr>
          <w:p>
            <w:pPr>
              <w:spacing w:after="0"/>
              <w:rPr>
                <w:sz w:val="8"/>
                <w:szCs w:val="8"/>
                <w:color w:val="auto"/>
              </w:rPr>
            </w:pPr>
          </w:p>
        </w:tc>
        <w:tc>
          <w:tcPr>
            <w:tcW w:w="4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20" w:type="dxa"/>
            <w:vAlign w:val="bottom"/>
            <w:shd w:val="clear" w:color="auto" w:fill="DDDDDD"/>
          </w:tcPr>
          <w:p>
            <w:pPr>
              <w:spacing w:after="0"/>
              <w:rPr>
                <w:sz w:val="8"/>
                <w:szCs w:val="8"/>
                <w:color w:val="auto"/>
              </w:rPr>
            </w:pPr>
          </w:p>
        </w:tc>
        <w:tc>
          <w:tcPr>
            <w:tcW w:w="640" w:type="dxa"/>
            <w:vAlign w:val="bottom"/>
            <w:shd w:val="clear" w:color="auto" w:fill="DDDDDD"/>
          </w:tcPr>
          <w:p>
            <w:pPr>
              <w:spacing w:after="0"/>
              <w:rPr>
                <w:sz w:val="8"/>
                <w:szCs w:val="8"/>
                <w:color w:val="auto"/>
              </w:rPr>
            </w:pPr>
          </w:p>
        </w:tc>
        <w:tc>
          <w:tcPr>
            <w:tcW w:w="100" w:type="dxa"/>
            <w:vAlign w:val="bottom"/>
            <w:shd w:val="clear" w:color="auto" w:fill="DDDDDD"/>
          </w:tcPr>
          <w:p>
            <w:pPr>
              <w:spacing w:after="0"/>
              <w:rPr>
                <w:sz w:val="8"/>
                <w:szCs w:val="8"/>
                <w:color w:val="auto"/>
              </w:rPr>
            </w:pPr>
          </w:p>
        </w:tc>
        <w:tc>
          <w:tcPr>
            <w:tcW w:w="20" w:type="dxa"/>
            <w:vAlign w:val="bottom"/>
            <w:shd w:val="clear" w:color="auto" w:fill="DDDDDD"/>
          </w:tcPr>
          <w:p>
            <w:pPr>
              <w:spacing w:after="0"/>
              <w:rPr>
                <w:sz w:val="8"/>
                <w:szCs w:val="8"/>
                <w:color w:val="auto"/>
              </w:rPr>
            </w:pPr>
          </w:p>
        </w:tc>
        <w:tc>
          <w:tcPr>
            <w:tcW w:w="140" w:type="dxa"/>
            <w:vAlign w:val="bottom"/>
            <w:shd w:val="clear" w:color="auto" w:fill="DDDDDD"/>
          </w:tcPr>
          <w:p>
            <w:pPr>
              <w:spacing w:after="0"/>
              <w:rPr>
                <w:sz w:val="8"/>
                <w:szCs w:val="8"/>
                <w:color w:val="auto"/>
              </w:rPr>
            </w:pPr>
          </w:p>
        </w:tc>
        <w:tc>
          <w:tcPr>
            <w:tcW w:w="540" w:type="dxa"/>
            <w:vAlign w:val="bottom"/>
            <w:vMerge w:val="continue"/>
            <w:shd w:val="clear" w:color="auto" w:fill="DDDDDD"/>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tcBorders>
              <w:left w:val="single" w:sz="8" w:color="DDDDDD"/>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620" w:type="dxa"/>
            <w:vAlign w:val="bottom"/>
            <w:vMerge w:val="continue"/>
            <w:shd w:val="clear" w:color="auto" w:fill="DDDDDD"/>
          </w:tcPr>
          <w:p>
            <w:pPr>
              <w:spacing w:after="0"/>
              <w:rPr>
                <w:sz w:val="19"/>
                <w:szCs w:val="19"/>
                <w:color w:val="auto"/>
              </w:rPr>
            </w:pPr>
          </w:p>
        </w:tc>
        <w:tc>
          <w:tcPr>
            <w:tcW w:w="100" w:type="dxa"/>
            <w:vAlign w:val="bottom"/>
            <w:tcBorders>
              <w:right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780" w:type="dxa"/>
            <w:vAlign w:val="bottom"/>
            <w:gridSpan w:val="2"/>
            <w:vMerge w:val="continue"/>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500" w:type="dxa"/>
            <w:vAlign w:val="bottom"/>
            <w:vMerge w:val="continue"/>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54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34"/>
        </w:trPr>
        <w:tc>
          <w:tcPr>
            <w:tcW w:w="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80" w:type="dxa"/>
            <w:vAlign w:val="bottom"/>
            <w:tcBorders>
              <w:left w:val="single" w:sz="8" w:color="DDDDDD"/>
            </w:tcBorders>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DDDDDD"/>
            </w:tcBorders>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90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74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Borders>
              <w:left w:val="single" w:sz="8" w:color="DDDDDD"/>
            </w:tcBorders>
            <w:shd w:val="clear" w:color="auto" w:fill="DDDDDD"/>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0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100" w:type="dxa"/>
            <w:vAlign w:val="bottom"/>
            <w:tcBorders>
              <w:right w:val="single" w:sz="8" w:color="DDDDDD"/>
            </w:tcBorders>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9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74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500" w:type="dxa"/>
            <w:vAlign w:val="bottom"/>
            <w:shd w:val="clear" w:color="auto" w:fill="DDDDDD"/>
          </w:tcPr>
          <w:p>
            <w:pPr>
              <w:spacing w:after="0"/>
              <w:rPr>
                <w:sz w:val="6"/>
                <w:szCs w:val="6"/>
                <w:color w:val="auto"/>
              </w:rPr>
            </w:pPr>
          </w:p>
        </w:tc>
        <w:tc>
          <w:tcPr>
            <w:tcW w:w="4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20" w:type="dxa"/>
            <w:vAlign w:val="bottom"/>
            <w:shd w:val="clear" w:color="auto" w:fill="DDDDDD"/>
          </w:tcPr>
          <w:p>
            <w:pPr>
              <w:spacing w:after="0"/>
              <w:rPr>
                <w:sz w:val="6"/>
                <w:szCs w:val="6"/>
                <w:color w:val="auto"/>
              </w:rPr>
            </w:pPr>
          </w:p>
        </w:tc>
        <w:tc>
          <w:tcPr>
            <w:tcW w:w="6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DDDDDD"/>
          </w:tcPr>
          <w:p>
            <w:pPr>
              <w:spacing w:after="0"/>
              <w:rPr>
                <w:sz w:val="6"/>
                <w:szCs w:val="6"/>
                <w:color w:val="auto"/>
              </w:rPr>
            </w:pPr>
          </w:p>
        </w:tc>
        <w:tc>
          <w:tcPr>
            <w:tcW w:w="2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5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08"/>
        </w:trPr>
        <w:tc>
          <w:tcPr>
            <w:tcW w:w="6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spacing w:after="0"/>
              <w:rPr>
                <w:sz w:val="24"/>
                <w:szCs w:val="24"/>
                <w:color w:val="auto"/>
              </w:rPr>
            </w:pPr>
          </w:p>
        </w:tc>
        <w:tc>
          <w:tcPr>
            <w:tcW w:w="80" w:type="dxa"/>
            <w:vAlign w:val="bottom"/>
            <w:tcBorders>
              <w:left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50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00" w:type="dxa"/>
            <w:vAlign w:val="bottom"/>
            <w:tcBorders>
              <w:bottom w:val="single" w:sz="8" w:color="auto"/>
            </w:tcBorders>
            <w:shd w:val="clear" w:color="auto" w:fill="DDDDDD"/>
          </w:tcPr>
          <w:p>
            <w:pPr>
              <w:spacing w:after="0"/>
              <w:rPr>
                <w:sz w:val="24"/>
                <w:szCs w:val="24"/>
                <w:color w:val="auto"/>
              </w:rPr>
            </w:pPr>
          </w:p>
        </w:tc>
        <w:tc>
          <w:tcPr>
            <w:tcW w:w="620" w:type="dxa"/>
            <w:vAlign w:val="bottom"/>
            <w:tcBorders>
              <w:bottom w:val="single" w:sz="8" w:color="auto"/>
            </w:tcBorders>
            <w:shd w:val="clear" w:color="auto" w:fill="DDDDDD"/>
          </w:tcPr>
          <w:p>
            <w:pPr>
              <w:spacing w:after="0"/>
              <w:rPr>
                <w:sz w:val="24"/>
                <w:szCs w:val="24"/>
                <w:color w:val="auto"/>
              </w:rPr>
            </w:pPr>
          </w:p>
        </w:tc>
        <w:tc>
          <w:tcPr>
            <w:tcW w:w="100" w:type="dxa"/>
            <w:vAlign w:val="bottom"/>
            <w:tcBorders>
              <w:right w:val="single" w:sz="8" w:color="DDDDDD"/>
            </w:tcBorders>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50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2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50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vMerge w:val="continue"/>
            <w:shd w:val="clear" w:color="auto" w:fill="DDDDDD"/>
          </w:tcPr>
          <w:p>
            <w:pPr>
              <w:spacing w:after="0"/>
              <w:rPr>
                <w:sz w:val="24"/>
                <w:szCs w:val="24"/>
                <w:color w:val="auto"/>
              </w:rPr>
            </w:pPr>
          </w:p>
        </w:tc>
        <w:tc>
          <w:tcPr>
            <w:tcW w:w="1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540" w:type="dxa"/>
            <w:vAlign w:val="bottom"/>
            <w:tcBorders>
              <w:bottom w:val="single" w:sz="8" w:color="auto"/>
            </w:tcBorders>
            <w:vMerge w:val="continue"/>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275,726,629</w:t>
            </w:r>
          </w:p>
        </w:tc>
        <w:tc>
          <w:tcPr>
            <w:tcW w:w="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19,841</w:t>
            </w:r>
          </w:p>
        </w:tc>
        <w:tc>
          <w:tcPr>
            <w:tcW w:w="2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(20,758,166)</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17,714</w:t>
            </w:r>
          </w:p>
        </w:tc>
        <w:tc>
          <w:tcPr>
            <w:tcW w:w="0" w:type="dxa"/>
            <w:vAlign w:val="bottom"/>
          </w:tcPr>
          <w:p>
            <w:pPr>
              <w:spacing w:after="0"/>
              <w:rPr>
                <w:sz w:val="1"/>
                <w:szCs w:val="1"/>
                <w:color w:val="auto"/>
              </w:rPr>
            </w:pPr>
          </w:p>
        </w:tc>
      </w:tr>
      <w:tr>
        <w:trPr>
          <w:trHeight w:val="20"/>
        </w:trPr>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3289300</wp:posOffset>
                </wp:positionH>
                <wp:positionV relativeFrom="paragraph">
                  <wp:posOffset>-6722745</wp:posOffset>
                </wp:positionV>
                <wp:extent cx="36195" cy="1206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86" o:spid="_x0000_s1111" style="position:absolute;margin-left:259pt;margin-top:-529.3499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-6722745</wp:posOffset>
                </wp:positionV>
                <wp:extent cx="36195" cy="1206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87" o:spid="_x0000_s1112" style="position:absolute;margin-left:294.65pt;margin-top:-529.3499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3307080</wp:posOffset>
                </wp:positionH>
                <wp:positionV relativeFrom="paragraph">
                  <wp:posOffset>-5791200</wp:posOffset>
                </wp:positionV>
                <wp:extent cx="0" cy="241935"/>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935"/>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pt,-456pt" to="260.4pt,-436.9499pt" o:allowincell="f" strokecolor="#FFFFFF" strokeweight="2.845pt"/>
            </w:pict>
          </mc:Fallback>
        </mc:AlternateContent>
        <mc:AlternateContent>
          <mc:Choice Requires="wps">
            <w:drawing>
              <wp:anchor simplePos="0" relativeHeight="251657728" behindDoc="1" locked="0" layoutInCell="0" allowOverlap="1">
                <wp:simplePos x="0" y="0"/>
                <wp:positionH relativeFrom="column">
                  <wp:posOffset>3760470</wp:posOffset>
                </wp:positionH>
                <wp:positionV relativeFrom="paragraph">
                  <wp:posOffset>-5791200</wp:posOffset>
                </wp:positionV>
                <wp:extent cx="0" cy="24193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935"/>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1pt,-456pt" to="296.1pt,-436.9499pt" o:allowincell="f" strokecolor="#FFFFFF" strokeweight="2.845pt"/>
            </w:pict>
          </mc:Fallback>
        </mc:AlternateContent>
        <mc:AlternateContent>
          <mc:Choice Requires="wps">
            <w:drawing>
              <wp:anchor simplePos="0" relativeHeight="251657728" behindDoc="1" locked="0" layoutInCell="0" allowOverlap="1">
                <wp:simplePos x="0" y="0"/>
                <wp:positionH relativeFrom="column">
                  <wp:posOffset>3289300</wp:posOffset>
                </wp:positionH>
                <wp:positionV relativeFrom="paragraph">
                  <wp:posOffset>-4618990</wp:posOffset>
                </wp:positionV>
                <wp:extent cx="36195" cy="1206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FFFFFF"/>
                        </a:solidFill>
                      </wps:spPr>
                      <wps:bodyPr/>
                    </wps:wsp>
                  </a:graphicData>
                </a:graphic>
              </wp:anchor>
            </w:drawing>
          </mc:Choice>
          <mc:Fallback>
            <w:pict>
              <v:rect id="Shape 90" o:spid="_x0000_s1115" style="position:absolute;margin-left:259pt;margin-top:-363.6999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-4618990</wp:posOffset>
                </wp:positionV>
                <wp:extent cx="36195" cy="1206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FFFFFF"/>
                        </a:solidFill>
                      </wps:spPr>
                      <wps:bodyPr/>
                    </wps:wsp>
                  </a:graphicData>
                </a:graphic>
              </wp:anchor>
            </w:drawing>
          </mc:Choice>
          <mc:Fallback>
            <w:pict>
              <v:rect id="Shape 91" o:spid="_x0000_s1116" style="position:absolute;margin-left:294.65pt;margin-top:-363.6999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4264660</wp:posOffset>
                </wp:positionH>
                <wp:positionV relativeFrom="paragraph">
                  <wp:posOffset>-4612640</wp:posOffset>
                </wp:positionV>
                <wp:extent cx="7239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8pt,-363.1999pt" to="341.5pt,-363.19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3307080</wp:posOffset>
                </wp:positionH>
                <wp:positionV relativeFrom="paragraph">
                  <wp:posOffset>-3915410</wp:posOffset>
                </wp:positionV>
                <wp:extent cx="0" cy="24193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935"/>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pt,-308.2999pt" to="260.4pt,-289.2499pt" o:allowincell="f" strokecolor="#FFFFFF" strokeweight="2.845pt"/>
            </w:pict>
          </mc:Fallback>
        </mc:AlternateContent>
        <mc:AlternateContent>
          <mc:Choice Requires="wps">
            <w:drawing>
              <wp:anchor simplePos="0" relativeHeight="251657728" behindDoc="1" locked="0" layoutInCell="0" allowOverlap="1">
                <wp:simplePos x="0" y="0"/>
                <wp:positionH relativeFrom="column">
                  <wp:posOffset>3760470</wp:posOffset>
                </wp:positionH>
                <wp:positionV relativeFrom="paragraph">
                  <wp:posOffset>-3915410</wp:posOffset>
                </wp:positionV>
                <wp:extent cx="0" cy="24193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935"/>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1pt,-308.2999pt" to="296.1pt,-289.2499pt" o:allowincell="f" strokecolor="#FFFFFF" strokeweight="2.845pt"/>
            </w:pict>
          </mc:Fallback>
        </mc:AlternateContent>
        <mc:AlternateContent>
          <mc:Choice Requires="wps">
            <w:drawing>
              <wp:anchor simplePos="0" relativeHeight="251657728" behindDoc="1" locked="0" layoutInCell="0" allowOverlap="1">
                <wp:simplePos x="0" y="0"/>
                <wp:positionH relativeFrom="column">
                  <wp:posOffset>3289300</wp:posOffset>
                </wp:positionH>
                <wp:positionV relativeFrom="paragraph">
                  <wp:posOffset>-2206625</wp:posOffset>
                </wp:positionV>
                <wp:extent cx="36195" cy="1206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95" o:spid="_x0000_s1120" style="position:absolute;margin-left:259pt;margin-top:-173.7499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3742055</wp:posOffset>
                </wp:positionH>
                <wp:positionV relativeFrom="paragraph">
                  <wp:posOffset>-2206625</wp:posOffset>
                </wp:positionV>
                <wp:extent cx="36195" cy="1206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96" o:spid="_x0000_s1121" style="position:absolute;margin-left:294.65pt;margin-top:-173.7499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3307080</wp:posOffset>
                </wp:positionH>
                <wp:positionV relativeFrom="paragraph">
                  <wp:posOffset>-1744980</wp:posOffset>
                </wp:positionV>
                <wp:extent cx="0" cy="24193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935"/>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4pt,-137.3999pt" to="260.4pt,-118.3499pt" o:allowincell="f" strokecolor="#FFFFFF" strokeweight="2.845pt"/>
            </w:pict>
          </mc:Fallback>
        </mc:AlternateContent>
        <mc:AlternateContent>
          <mc:Choice Requires="wps">
            <w:drawing>
              <wp:anchor simplePos="0" relativeHeight="251657728" behindDoc="1" locked="0" layoutInCell="0" allowOverlap="1">
                <wp:simplePos x="0" y="0"/>
                <wp:positionH relativeFrom="column">
                  <wp:posOffset>3760470</wp:posOffset>
                </wp:positionH>
                <wp:positionV relativeFrom="paragraph">
                  <wp:posOffset>-1744980</wp:posOffset>
                </wp:positionV>
                <wp:extent cx="0" cy="24193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1935"/>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1pt,-137.3999pt" to="296.1pt,-118.3499pt" o:allowincell="f" strokecolor="#FFFFFF" strokeweight="2.845pt"/>
            </w:pict>
          </mc:Fallback>
        </mc:AlternateContent>
      </w:r>
    </w:p>
    <w:p>
      <w:pPr>
        <w:spacing w:after="0" w:line="200" w:lineRule="exact"/>
        <w:rPr>
          <w:sz w:val="20"/>
          <w:szCs w:val="20"/>
          <w:color w:val="auto"/>
        </w:rPr>
      </w:pPr>
    </w:p>
    <w:p>
      <w:pPr>
        <w:sectPr>
          <w:pgSz w:w="11880" w:h="15480" w:orient="portrait"/>
          <w:cols w:equalWidth="0" w:num="2">
            <w:col w:w="2020" w:space="60"/>
            <w:col w:w="7520"/>
          </w:cols>
          <w:pgMar w:left="1100" w:top="937" w:right="1180" w:bottom="2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880" w:h="15480" w:orient="portrait"/>
          <w:cols w:equalWidth="0" w:num="1">
            <w:col w:w="9600"/>
          </w:cols>
          <w:pgMar w:left="1100" w:top="937" w:right="1180" w:bottom="254" w:gutter="0" w:footer="0" w:header="0"/>
          <w:type w:val="continuous"/>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8" w:lineRule="exact"/>
        <w:rPr>
          <w:sz w:val="20"/>
          <w:szCs w:val="20"/>
          <w:color w:val="auto"/>
        </w:rPr>
      </w:pPr>
    </w:p>
    <w:p>
      <w:pPr>
        <w:ind w:right="980"/>
        <w:spacing w:after="0" w:line="382" w:lineRule="auto"/>
        <w:rPr>
          <w:sz w:val="20"/>
          <w:szCs w:val="20"/>
          <w:color w:val="auto"/>
        </w:rPr>
      </w:pPr>
      <w:r>
        <w:rPr>
          <w:rFonts w:ascii="Times New Roman" w:cs="Times New Roman" w:eastAsia="Times New Roman" w:hAnsi="Times New Roman"/>
          <w:sz w:val="18"/>
          <w:szCs w:val="18"/>
          <w:b w:val="1"/>
          <w:bCs w:val="1"/>
          <w:color w:val="auto"/>
        </w:rPr>
        <w:t>NOTE 1. NATURE OF OPERATIONS AND SUMMARY OF SIGNIFICANT ACCOUNTING POLICIES Nature of Operations</w:t>
      </w:r>
    </w:p>
    <w:p>
      <w:pPr>
        <w:spacing w:after="0" w:line="1"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International Flavors &amp; Fragrances Inc. and its subsidiaries (the “Registrant,” “IFF,” “the Company,” “we,” “us” and “our”) is a leading creator and manufacturer of food, beverage, health &amp; biosciences, scent and pharma solutions and complementary adjacent products, including cosmetic active and natural health ingredients, which are used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sweeteners, dietary supplements, food protection, infant and elderly nutrition, functional food, and pharmaceutical excipients and oral care products.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4"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On February 1, 2021 (the “Closing Date”), the Company completed the combination (the “Merger”) of IFF and DuPont de Nemours, Inc (“DuPont”) nutrition and biosciences business (the “N&amp;B Business”), which had been transferred to Nutrition and Biosciences, Inc., a Delaware corporation and wholly owned subsidiary of DuPont (“N&amp;B”) in a Reverse Morris Trust transaction. See Note 3 for additional information. As a result, the Company’s Consolidated Financial Statements for the period ended December 31, 2022 reflect the results of N&amp;B for the full twelve months of 2022, whereas the period ended December 31, 2021 reflect the results of N&amp;B from the Closing Date and the period ended December 31, 2020 do not reflect any results of N&amp;B.</w:t>
      </w:r>
    </w:p>
    <w:p>
      <w:pPr>
        <w:spacing w:after="0" w:line="65"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periods’ financial information in order to conform to the current period’s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Effective 2021, the Company changed its fiscal year end from a 52/53-week fiscal year ending on the Friday closest to the last day of the quarter, to a calendar year of the twelve-month period from January 1 to December 31. The Company elected to change its fiscal year end in connection with the Merger with N&amp;B to align the Company’s fiscal year with N&amp;B’s. The 2022, 2021 and 2020 fiscal years were 52 week periods. For ease of presentation, December 31 is used consistently throughout the financial statements and notes to represent the period-end date. For the 2022 and 2021 fiscal years, the actual closing dates were December 31 and for the 2020 fiscal year, the actual closing date was January 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4"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(“U.S. GAAP”) requires management to make estimates and judgments that affect the amounts reported in the Consolidated Financial Statements and accompanying notes. The inputs into our judgments and estimates take into account the current economic implications of the novel coronavirus (“COVID-19”), the events in Russia and Ukraine, and the ongoing adverse macroeconomic environment on our critical and significant accounting estimates, including estimates associated with future cash flows that are used in assessing the risk of impairment of certain assets. Actual results could differ from those estimates.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International Flavors &amp; Fragrances Inc. and those of its subsidiaries. Significant intercompany balances and transactions have been eliminated. To the extent a subsidiary is not wholly owned, any related non-controlling interests are included as a separate component of Shareholders’ Equity.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4" w:lineRule="exact"/>
        <w:rPr>
          <w:sz w:val="20"/>
          <w:szCs w:val="20"/>
          <w:color w:val="auto"/>
        </w:rPr>
      </w:pPr>
    </w:p>
    <w:p>
      <w:pPr>
        <w:jc w:val="both"/>
        <w:ind w:firstLine="328"/>
        <w:spacing w:after="0" w:line="263"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when the contract or purchase order has received approval and commitment from both parties, has the rights of the parties and payment terms (which can vary by customer) identified, has commercial substance, collectability of consideration is probable, and control has transferred. The revenue recognized reflects the consideration the Company expects to be entitled to in exchange for those goods. Sales, value added, and other taxes the Company collects are excluded from revenues. The Company receives payment in accordance with standard customer terms.</w:t>
      </w:r>
    </w:p>
    <w:p>
      <w:pPr>
        <w:spacing w:after="0" w:line="288"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Sales are reduced, at the time revenue is recognized, for applicable discounts, rebates and sales allowances based on historical experience. Related accruals are included in Other current liabilities in the accompanying Consolidated Balance Sheets. The Company considers shipping and handling activities undertaken after the customer has obtained control of the related goods as a fulfillment activity. Net sales include shipping and handling charges billed to customers. Cost of goods sold includes all costs incurred in connection with shipping and handling.</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880" w:h="15480" w:orient="portrait"/>
          <w:cols w:equalWidth="0" w:num="1">
            <w:col w:w="9360"/>
          </w:cols>
          <w:pgMar w:left="1260" w:top="1252" w:right="1260" w:bottom="254" w:gutter="0" w:footer="0" w:header="0"/>
        </w:sectPr>
      </w:pPr>
    </w:p>
    <w:bookmarkStart w:id="65" w:name="page66"/>
    <w:bookmarkEnd w:id="65"/>
    <w:p>
      <w:pPr>
        <w:ind w:left="40"/>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4"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With respect to a small number of contracts for the sale of compounds, the Company has an “enforceable right to payment for performance to date” and as the products do not have an alternative use, the Company recognizes revenue for these contracts over time and records a contract asset using the output method. The output method recognizes revenue on the basis of direct measurements of the value to the customer of the goods or services transferred to date relative to the remaining goods or services promised under the contract.</w:t>
      </w:r>
    </w:p>
    <w:p>
      <w:pPr>
        <w:spacing w:after="0" w:line="61"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As of December 31, 2022 and 2021, the Company’s gross accounts receivable was $1.871 billion and $1.952 billion, respectively. The Company’s contract assets and contract liabilities as of December 31, 2022 and 2021 were not material.</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4" w:lineRule="exact"/>
        <w:rPr>
          <w:sz w:val="20"/>
          <w:szCs w:val="20"/>
          <w:color w:val="auto"/>
        </w:rPr>
      </w:pPr>
    </w:p>
    <w:p>
      <w:pPr>
        <w:jc w:val="both"/>
        <w:ind w:left="40" w:firstLine="329"/>
        <w:spacing w:after="0" w:line="276" w:lineRule="auto"/>
        <w:rPr>
          <w:sz w:val="20"/>
          <w:szCs w:val="20"/>
          <w:color w:val="auto"/>
        </w:rPr>
      </w:pPr>
      <w:r>
        <w:rPr>
          <w:rFonts w:ascii="Times New Roman" w:cs="Times New Roman" w:eastAsia="Times New Roman" w:hAnsi="Times New Roman"/>
          <w:sz w:val="18"/>
          <w:szCs w:val="18"/>
          <w:color w:val="auto"/>
        </w:rPr>
        <w:t>The Company translates the assets and liabilities of non-U.S. subsidiaries into U.S. dollars at year-end exchange rates. Income and expense items are translated at average exchange rates during the year. Cumulative translation adjustments are shown as a separate component of Shareholders’ Equity.</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4"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Research and development (“R&amp;D”) expenses relate to the development of new and improved products, technical product support and compliance with governmental regulation. All research and development costs are expensed as incurred.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and cash equivalents include highly liquid investments with maturities of three months or less at date of purchase.</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4"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Restricted cash is comprised of cash or cash equivalents which has been placed into an account that is restricted for a specific use and from which the Company cannot withdraw the cash on demand.</w:t>
      </w:r>
    </w:p>
    <w:p>
      <w:pPr>
        <w:spacing w:after="0" w:line="30" w:lineRule="exact"/>
        <w:rPr>
          <w:sz w:val="20"/>
          <w:szCs w:val="20"/>
          <w:color w:val="auto"/>
        </w:rPr>
      </w:pPr>
    </w:p>
    <w:p>
      <w:pPr>
        <w:ind w:left="40" w:right="220" w:firstLine="329"/>
        <w:spacing w:after="0" w:line="27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Company’s statement of cash flows periods ended December 31, 2022, 2021 and 2020 to the amounts reported in the Company’s balance sheets as of December 31, 2022, 2021 and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tcPr>
          <w:p>
            <w:pPr>
              <w:spacing w:after="0"/>
              <w:rPr>
                <w:sz w:val="17"/>
                <w:szCs w:val="17"/>
                <w:color w:val="auto"/>
              </w:rPr>
            </w:pPr>
          </w:p>
        </w:tc>
        <w:tc>
          <w:tcPr>
            <w:tcW w:w="31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17"/>
                <w:szCs w:val="17"/>
                <w:color w:val="auto"/>
              </w:rPr>
            </w:pPr>
          </w:p>
        </w:tc>
        <w:tc>
          <w:tcPr>
            <w:tcW w:w="17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December 31, 2020</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146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shd w:val="clear" w:color="auto" w:fill="DDDDDD"/>
          </w:tcPr>
          <w:p>
            <w:pPr>
              <w:spacing w:after="0"/>
              <w:rPr>
                <w:sz w:val="21"/>
                <w:szCs w:val="21"/>
                <w:color w:val="auto"/>
              </w:rPr>
            </w:pPr>
          </w:p>
        </w:tc>
        <w:tc>
          <w:tcPr>
            <w:tcW w:w="30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76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76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78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40" w:type="dxa"/>
            <w:vAlign w:val="bottom"/>
          </w:tcPr>
          <w:p>
            <w:pPr>
              <w:spacing w:after="0"/>
              <w:rPr>
                <w:sz w:val="7"/>
                <w:szCs w:val="7"/>
                <w:color w:val="auto"/>
              </w:rPr>
            </w:pPr>
          </w:p>
        </w:tc>
        <w:tc>
          <w:tcPr>
            <w:tcW w:w="312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120" w:type="dxa"/>
            <w:vAlign w:val="bottom"/>
            <w:gridSpan w:val="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DDDDDD"/>
          </w:tcPr>
          <w:p>
            <w:pPr>
              <w:spacing w:after="0"/>
              <w:rPr>
                <w:sz w:val="18"/>
                <w:szCs w:val="18"/>
                <w:color w:val="auto"/>
              </w:rPr>
            </w:pPr>
          </w:p>
        </w:tc>
        <w:tc>
          <w:tcPr>
            <w:tcW w:w="306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Cash and cash equivalents included in</w:t>
            </w:r>
          </w:p>
        </w:tc>
        <w:tc>
          <w:tcPr>
            <w:tcW w:w="4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0" w:type="dxa"/>
            <w:vAlign w:val="bottom"/>
            <w:shd w:val="clear" w:color="auto" w:fill="DDDDDD"/>
          </w:tcPr>
          <w:p>
            <w:pPr>
              <w:spacing w:after="0"/>
              <w:rPr>
                <w:sz w:val="20"/>
                <w:szCs w:val="20"/>
                <w:color w:val="auto"/>
              </w:rPr>
            </w:pPr>
          </w:p>
        </w:tc>
        <w:tc>
          <w:tcPr>
            <w:tcW w:w="306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Assets held for sale</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760" w:type="dxa"/>
            <w:vAlign w:val="bottom"/>
            <w:vMerge w:val="continue"/>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760" w:type="dxa"/>
            <w:vAlign w:val="bottom"/>
            <w:vMerge w:val="continue"/>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78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1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30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7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76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178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40" w:type="dxa"/>
            <w:vAlign w:val="bottom"/>
            <w:tcBorders>
              <w:bottom w:val="single" w:sz="8" w:color="DDDDDD"/>
            </w:tcBorders>
          </w:tcPr>
          <w:p>
            <w:pPr>
              <w:spacing w:after="0"/>
              <w:rPr>
                <w:sz w:val="24"/>
                <w:szCs w:val="24"/>
                <w:color w:val="auto"/>
              </w:rPr>
            </w:pPr>
          </w:p>
        </w:tc>
        <w:tc>
          <w:tcPr>
            <w:tcW w:w="3120" w:type="dxa"/>
            <w:vAlign w:val="bottom"/>
            <w:tcBorders>
              <w:bottom w:val="single" w:sz="8" w:color="DDDDDD"/>
            </w:tcBorders>
            <w:gridSpan w:val="4"/>
          </w:tcPr>
          <w:p>
            <w:pPr>
              <w:ind w:left="1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3"/>
        </w:trPr>
        <w:tc>
          <w:tcPr>
            <w:tcW w:w="40" w:type="dxa"/>
            <w:vAlign w:val="bottom"/>
            <w:shd w:val="clear" w:color="auto" w:fill="DDDDDD"/>
          </w:tcPr>
          <w:p>
            <w:pPr>
              <w:spacing w:after="0"/>
              <w:rPr>
                <w:sz w:val="5"/>
                <w:szCs w:val="5"/>
                <w:color w:val="auto"/>
              </w:rPr>
            </w:pPr>
          </w:p>
        </w:tc>
        <w:tc>
          <w:tcPr>
            <w:tcW w:w="3060" w:type="dxa"/>
            <w:vAlign w:val="bottom"/>
            <w:gridSpan w:val="2"/>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4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220" w:type="dxa"/>
            <w:vAlign w:val="bottom"/>
            <w:vMerge w:val="restart"/>
            <w:shd w:val="clear" w:color="auto" w:fill="DDDDDD"/>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220" w:type="dxa"/>
            <w:vAlign w:val="bottom"/>
            <w:vMerge w:val="restart"/>
            <w:shd w:val="clear" w:color="auto" w:fill="DDDDDD"/>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200" w:type="dxa"/>
            <w:vAlign w:val="bottom"/>
            <w:vMerge w:val="restart"/>
            <w:shd w:val="clear" w:color="auto" w:fill="DDDDDD"/>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vMerge w:val="restart"/>
            <w:shd w:val="clear" w:color="auto" w:fill="DDDDDD"/>
          </w:tcPr>
          <w:p>
            <w:pPr>
              <w:jc w:val="right"/>
              <w:ind w:right="13"/>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75"/>
        </w:trPr>
        <w:tc>
          <w:tcPr>
            <w:tcW w:w="40" w:type="dxa"/>
            <w:vAlign w:val="bottom"/>
            <w:shd w:val="clear" w:color="auto" w:fill="DDDDDD"/>
          </w:tcPr>
          <w:p>
            <w:pPr>
              <w:spacing w:after="0"/>
              <w:rPr>
                <w:sz w:val="15"/>
                <w:szCs w:val="15"/>
                <w:color w:val="auto"/>
              </w:rPr>
            </w:pPr>
          </w:p>
        </w:tc>
        <w:tc>
          <w:tcPr>
            <w:tcW w:w="3060" w:type="dxa"/>
            <w:vAlign w:val="bottom"/>
            <w:gridSpan w:val="2"/>
            <w:vMerge w:val="continue"/>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vMerge w:val="continue"/>
            <w:shd w:val="clear" w:color="auto" w:fill="DDDDDD"/>
          </w:tcPr>
          <w:p>
            <w:pPr>
              <w:spacing w:after="0"/>
              <w:rPr>
                <w:sz w:val="15"/>
                <w:szCs w:val="15"/>
                <w:color w:val="auto"/>
              </w:rPr>
            </w:pPr>
          </w:p>
        </w:tc>
        <w:tc>
          <w:tcPr>
            <w:tcW w:w="1760" w:type="dxa"/>
            <w:vAlign w:val="bottom"/>
            <w:tcBorders>
              <w:bottom w:val="single" w:sz="8" w:color="auto"/>
            </w:tcBorders>
            <w:vMerge w:val="continue"/>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vMerge w:val="continue"/>
            <w:shd w:val="clear" w:color="auto" w:fill="DDDDDD"/>
          </w:tcPr>
          <w:p>
            <w:pPr>
              <w:spacing w:after="0"/>
              <w:rPr>
                <w:sz w:val="15"/>
                <w:szCs w:val="15"/>
                <w:color w:val="auto"/>
              </w:rPr>
            </w:pPr>
          </w:p>
        </w:tc>
        <w:tc>
          <w:tcPr>
            <w:tcW w:w="1760" w:type="dxa"/>
            <w:vAlign w:val="bottom"/>
            <w:tcBorders>
              <w:bottom w:val="single" w:sz="8" w:color="auto"/>
            </w:tcBorders>
            <w:vMerge w:val="continue"/>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200" w:type="dxa"/>
            <w:vAlign w:val="bottom"/>
            <w:tcBorders>
              <w:bottom w:val="single" w:sz="8" w:color="auto"/>
            </w:tcBorders>
            <w:vMerge w:val="continue"/>
            <w:shd w:val="clear" w:color="auto" w:fill="DDDDDD"/>
          </w:tcPr>
          <w:p>
            <w:pPr>
              <w:spacing w:after="0"/>
              <w:rPr>
                <w:sz w:val="15"/>
                <w:szCs w:val="15"/>
                <w:color w:val="auto"/>
              </w:rPr>
            </w:pPr>
          </w:p>
        </w:tc>
        <w:tc>
          <w:tcPr>
            <w:tcW w:w="1780" w:type="dxa"/>
            <w:vAlign w:val="bottom"/>
            <w:tcBorders>
              <w:bottom w:val="single" w:sz="8" w:color="auto"/>
            </w:tcBorders>
            <w:vMerge w:val="continue"/>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4"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Company has certain factoring agreements in the U.S. and The Netherlands under which it can factor up to €250 million of its trade receivables. The factoring agreements supplement the Company's existing factoring programs that are sponsored by certain customers. Under all of the arrangements, the Company sells the trade receivables on a non-recourse basis to unrelated financial institutions and accounts for the transactions as sales of receivables. The applicable receivables are removed from the Company’s Consolidated Balance Sheets when the cash proceeds are received by the Company.</w:t>
      </w:r>
    </w:p>
    <w:p>
      <w:pPr>
        <w:spacing w:after="0" w:line="61"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Company sold approximately $1.030 billion, $668 million and $351 million of receivables in 2022, 2021 and 2020, respectively. The outstanding principal amounts of receivables under these arrangements amounted to approximately $212 million, $153 million and $57 million, respectively, as of December 31, 2022, 2021 and 2020. The proceeds from the sales of receivables are included in net cash from operating activities in the Consolidated Statements of Cash Flows. The cost of participating in these programs was approximately $12 million, $6 million and $4 million in 2022, 2021 and 2020, respectively, and is included as a component of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880" w:h="15480" w:orient="portrait"/>
          <w:cols w:equalWidth="0" w:num="1">
            <w:col w:w="9400"/>
          </w:cols>
          <w:pgMar w:left="1220" w:top="1252" w:right="1260" w:bottom="254" w:gutter="0" w:footer="0" w:header="0"/>
        </w:sectPr>
      </w:pPr>
    </w:p>
    <w:bookmarkStart w:id="66" w:name="page67"/>
    <w:bookmarkEnd w:id="66"/>
    <w:p>
      <w:pPr>
        <w:ind w:left="40"/>
        <w:spacing w:after="0"/>
        <w:rPr>
          <w:sz w:val="20"/>
          <w:szCs w:val="20"/>
          <w:color w:val="auto"/>
        </w:rPr>
      </w:pPr>
      <w:r>
        <w:rPr>
          <w:rFonts w:ascii="Times New Roman" w:cs="Times New Roman" w:eastAsia="Times New Roman" w:hAnsi="Times New Roman"/>
          <w:sz w:val="18"/>
          <w:szCs w:val="18"/>
          <w:b w:val="1"/>
          <w:bCs w:val="1"/>
          <w:color w:val="auto"/>
        </w:rPr>
        <w:t>Expected Credit Losses</w:t>
      </w:r>
    </w:p>
    <w:p>
      <w:pPr>
        <w:spacing w:after="0" w:line="124"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Company is exposed to credit losses primarily through its sales of products. To determine the appropriate allowance for expected credit losses, the Company considers certain credit quality indicators, such as aging, collection history, and creditworthiness of debtors. Regional and Global Credit committees review and approve specific customer allowance reserves. The allowance for expected credit losses is primarily based on two primary factors: i) the aging of the different categories of trade receivables, and ii) a specific reserve for accounts identified as uncollectible.</w:t>
      </w:r>
    </w:p>
    <w:p>
      <w:pPr>
        <w:spacing w:after="0" w:line="61"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The Company also considers current and future economic conditions in the determination of the allowance. At December 31, 2022, the Company reported $1.818 billion of trade receivables, net of allowances of $53 million. Based on the aging analysis as of December 31, 2022, approximately 1% of the Company’s accounts receivable were past due by over 365 days based on the payment terms of the invoice.</w:t>
      </w:r>
    </w:p>
    <w:p>
      <w:pPr>
        <w:spacing w:after="0" w:line="57" w:lineRule="exact"/>
        <w:rPr>
          <w:sz w:val="20"/>
          <w:szCs w:val="20"/>
          <w:color w:val="auto"/>
        </w:rPr>
      </w:pPr>
    </w:p>
    <w:p>
      <w:pPr>
        <w:jc w:val="both"/>
        <w:ind w:left="40" w:firstLine="328"/>
        <w:spacing w:after="0" w:line="270" w:lineRule="auto"/>
        <w:rPr>
          <w:sz w:val="20"/>
          <w:szCs w:val="20"/>
          <w:color w:val="auto"/>
        </w:rPr>
      </w:pPr>
      <w:r>
        <w:rPr>
          <w:rFonts w:ascii="Times New Roman" w:cs="Times New Roman" w:eastAsia="Times New Roman" w:hAnsi="Times New Roman"/>
          <w:sz w:val="18"/>
          <w:szCs w:val="18"/>
          <w:color w:val="auto"/>
        </w:rPr>
        <w:t>The following is a roll forward of the Company’s allowances for bad debts for the years ended December 31, 2021 and 2022:</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7"/>
                <w:szCs w:val="17"/>
                <w:color w:val="auto"/>
              </w:rPr>
            </w:pPr>
          </w:p>
        </w:tc>
        <w:tc>
          <w:tcPr>
            <w:tcW w:w="1300" w:type="dxa"/>
            <w:vAlign w:val="bottom"/>
          </w:tcPr>
          <w:p>
            <w:pPr>
              <w:jc w:val="right"/>
              <w:ind w:right="248"/>
              <w:spacing w:after="0" w:line="201" w:lineRule="exact"/>
              <w:rPr>
                <w:sz w:val="20"/>
                <w:szCs w:val="20"/>
                <w:color w:val="auto"/>
              </w:rPr>
            </w:pPr>
            <w:r>
              <w:rPr>
                <w:rFonts w:ascii="Times New Roman" w:cs="Times New Roman" w:eastAsia="Times New Roman" w:hAnsi="Times New Roman"/>
                <w:sz w:val="18"/>
                <w:szCs w:val="18"/>
                <w:b w:val="1"/>
                <w:bCs w:val="1"/>
                <w:color w:val="auto"/>
              </w:rPr>
              <w:t>Bad Debts</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620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 w:type="dxa"/>
            <w:vAlign w:val="bottom"/>
            <w:shd w:val="clear" w:color="auto" w:fill="DDDDDD"/>
          </w:tcPr>
          <w:p>
            <w:pPr>
              <w:spacing w:after="0"/>
              <w:rPr>
                <w:sz w:val="23"/>
                <w:szCs w:val="23"/>
                <w:color w:val="auto"/>
              </w:rPr>
            </w:pPr>
          </w:p>
        </w:tc>
        <w:tc>
          <w:tcPr>
            <w:tcW w:w="7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Bad debt expense</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89"/>
        </w:trPr>
        <w:tc>
          <w:tcPr>
            <w:tcW w:w="40" w:type="dxa"/>
            <w:vAlign w:val="bottom"/>
            <w:shd w:val="clear" w:color="auto" w:fill="DDDDDD"/>
          </w:tcPr>
          <w:p>
            <w:pPr>
              <w:spacing w:after="0"/>
              <w:rPr>
                <w:sz w:val="24"/>
                <w:szCs w:val="24"/>
                <w:color w:val="auto"/>
              </w:rPr>
            </w:pPr>
          </w:p>
        </w:tc>
        <w:tc>
          <w:tcPr>
            <w:tcW w:w="7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Write-offs</w:t>
            </w:r>
          </w:p>
        </w:tc>
        <w:tc>
          <w:tcPr>
            <w:tcW w:w="4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7"/>
        </w:trPr>
        <w:tc>
          <w:tcPr>
            <w:tcW w:w="40" w:type="dxa"/>
            <w:vAlign w:val="bottom"/>
            <w:tcBorders>
              <w:bottom w:val="single" w:sz="8" w:color="DDDDDD"/>
            </w:tcBorders>
          </w:tcPr>
          <w:p>
            <w:pPr>
              <w:spacing w:after="0"/>
              <w:rPr>
                <w:sz w:val="24"/>
                <w:szCs w:val="24"/>
                <w:color w:val="auto"/>
              </w:rPr>
            </w:pPr>
          </w:p>
        </w:tc>
        <w:tc>
          <w:tcPr>
            <w:tcW w:w="780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11"/>
                <w:szCs w:val="11"/>
                <w:color w:val="auto"/>
              </w:rPr>
              <w:t>(1)</w:t>
            </w:r>
          </w:p>
        </w:tc>
        <w:tc>
          <w:tcPr>
            <w:tcW w:w="4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66"/>
        </w:trPr>
        <w:tc>
          <w:tcPr>
            <w:tcW w:w="40" w:type="dxa"/>
            <w:vAlign w:val="bottom"/>
            <w:shd w:val="clear" w:color="auto" w:fill="DDDDDD"/>
          </w:tcPr>
          <w:p>
            <w:pPr>
              <w:spacing w:after="0"/>
              <w:rPr>
                <w:sz w:val="23"/>
                <w:szCs w:val="23"/>
                <w:color w:val="auto"/>
              </w:rPr>
            </w:pPr>
          </w:p>
        </w:tc>
        <w:tc>
          <w:tcPr>
            <w:tcW w:w="7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Bad debt expense</w:t>
            </w:r>
            <w:r>
              <w:rPr>
                <w:rFonts w:ascii="Times New Roman" w:cs="Times New Roman" w:eastAsia="Times New Roman" w:hAnsi="Times New Roman"/>
                <w:sz w:val="11"/>
                <w:szCs w:val="11"/>
                <w:color w:val="auto"/>
              </w:rPr>
              <w:t>(2)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89"/>
        </w:trPr>
        <w:tc>
          <w:tcPr>
            <w:tcW w:w="40" w:type="dxa"/>
            <w:vAlign w:val="bottom"/>
            <w:tcBorders>
              <w:bottom w:val="single" w:sz="8" w:color="DDDDDD"/>
            </w:tcBorders>
            <w:shd w:val="clear" w:color="auto" w:fill="DDDDDD"/>
          </w:tcPr>
          <w:p>
            <w:pPr>
              <w:spacing w:after="0"/>
              <w:rPr>
                <w:sz w:val="24"/>
                <w:szCs w:val="24"/>
                <w:color w:val="auto"/>
              </w:rPr>
            </w:pPr>
          </w:p>
        </w:tc>
        <w:tc>
          <w:tcPr>
            <w:tcW w:w="7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4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7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78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-338455</wp:posOffset>
                </wp:positionV>
                <wp:extent cx="501015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10150" cy="4763"/>
                        </a:xfrm>
                        <a:prstGeom prst="line">
                          <a:avLst/>
                        </a:prstGeom>
                        <a:solidFill>
                          <a:srgbClr val="FFFFFF"/>
                        </a:solidFill>
                        <a:ln w="11124">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6.6499pt" to="394.4pt,-26.6499pt" o:allowincell="f" strokecolor="#FFFFFF" strokeweight="0.8759pt"/>
            </w:pict>
          </mc:Fallback>
        </mc:AlternateContent>
      </w:r>
    </w:p>
    <w:p>
      <w:pPr>
        <w:spacing w:after="0" w:line="9" w:lineRule="exact"/>
        <w:rPr>
          <w:sz w:val="20"/>
          <w:szCs w:val="20"/>
          <w:color w:val="auto"/>
        </w:rPr>
      </w:pPr>
    </w:p>
    <w:p>
      <w:pPr>
        <w:ind w:left="380" w:hanging="334"/>
        <w:spacing w:after="0"/>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adjustment to allowances for bad debts was a result of purchase price allocation related to the Merger with N&amp;B.</w:t>
      </w:r>
    </w:p>
    <w:p>
      <w:pPr>
        <w:spacing w:after="0" w:line="53" w:lineRule="exact"/>
        <w:rPr>
          <w:rFonts w:ascii="Times New Roman" w:cs="Times New Roman" w:eastAsia="Times New Roman" w:hAnsi="Times New Roman"/>
          <w:sz w:val="17"/>
          <w:szCs w:val="17"/>
          <w:color w:val="auto"/>
        </w:rPr>
      </w:pPr>
    </w:p>
    <w:p>
      <w:pPr>
        <w:jc w:val="both"/>
        <w:ind w:left="380" w:hanging="334"/>
        <w:spacing w:after="0" w:line="258" w:lineRule="auto"/>
        <w:tabs>
          <w:tab w:leader="none" w:pos="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bad debt expense included approximately $11 million related to expected credit losses on receivables from customers located in Russia and Ukraine (for export and domestic sales) due to recent events in those countries. The Company will continue to evaluate its credit exposure related to Russia and Ukraine.</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4"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Inventories are stated at the lower of cost (on a weighted-average basis) or net realizable value. The Company's inventories consisted of the following:</w:t>
      </w:r>
    </w:p>
    <w:p>
      <w:pPr>
        <w:spacing w:after="0" w:line="40"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28"/>
              <w:spacing w:after="0" w:line="186"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28"/>
              <w:spacing w:after="0" w:line="186"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40" w:type="dxa"/>
            <w:vAlign w:val="bottom"/>
            <w:tcBorders>
              <w:top w:val="single" w:sz="8" w:color="DDDDDD"/>
            </w:tcBorders>
            <w:shd w:val="clear" w:color="auto" w:fill="DDDDDD"/>
          </w:tcPr>
          <w:p>
            <w:pPr>
              <w:spacing w:after="0"/>
              <w:rPr>
                <w:sz w:val="21"/>
                <w:szCs w:val="21"/>
                <w:color w:val="auto"/>
              </w:rPr>
            </w:pPr>
          </w:p>
        </w:tc>
        <w:tc>
          <w:tcPr>
            <w:tcW w:w="16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240" w:type="dxa"/>
            <w:vAlign w:val="bottom"/>
            <w:tcBorders>
              <w:top w:val="single" w:sz="8" w:color="DDDDDD"/>
            </w:tcBorders>
            <w:shd w:val="clear" w:color="auto" w:fill="DDDDDD"/>
          </w:tcPr>
          <w:p>
            <w:pPr>
              <w:spacing w:after="0"/>
              <w:rPr>
                <w:sz w:val="21"/>
                <w:szCs w:val="21"/>
                <w:color w:val="auto"/>
              </w:rPr>
            </w:pPr>
          </w:p>
        </w:tc>
        <w:tc>
          <w:tcPr>
            <w:tcW w:w="20" w:type="dxa"/>
            <w:vAlign w:val="bottom"/>
            <w:tcBorders>
              <w:top w:val="single" w:sz="8" w:color="DDDDDD"/>
            </w:tcBorders>
            <w:shd w:val="clear" w:color="auto" w:fill="DDDDDD"/>
          </w:tcPr>
          <w:p>
            <w:pPr>
              <w:spacing w:after="0"/>
              <w:rPr>
                <w:sz w:val="21"/>
                <w:szCs w:val="21"/>
                <w:color w:val="auto"/>
              </w:rPr>
            </w:pPr>
          </w:p>
        </w:tc>
        <w:tc>
          <w:tcPr>
            <w:tcW w:w="260" w:type="dxa"/>
            <w:vAlign w:val="bottom"/>
            <w:tcBorders>
              <w:top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60" w:type="dxa"/>
            <w:vAlign w:val="bottom"/>
            <w:tcBorders>
              <w:top w:val="single" w:sz="8" w:color="DDDDDD"/>
            </w:tcBorders>
            <w:shd w:val="clear" w:color="auto" w:fill="DDDDDD"/>
          </w:tcPr>
          <w:p>
            <w:pPr>
              <w:spacing w:after="0"/>
              <w:rPr>
                <w:sz w:val="21"/>
                <w:szCs w:val="21"/>
                <w:color w:val="auto"/>
              </w:rPr>
            </w:pPr>
          </w:p>
        </w:tc>
        <w:tc>
          <w:tcPr>
            <w:tcW w:w="280" w:type="dxa"/>
            <w:vAlign w:val="bottom"/>
            <w:tcBorders>
              <w:top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73"/>
        </w:trPr>
        <w:tc>
          <w:tcPr>
            <w:tcW w:w="40" w:type="dxa"/>
            <w:vAlign w:val="bottom"/>
          </w:tcPr>
          <w:p>
            <w:pPr>
              <w:spacing w:after="0"/>
              <w:rPr>
                <w:sz w:val="23"/>
                <w:szCs w:val="2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94"/>
        </w:trPr>
        <w:tc>
          <w:tcPr>
            <w:tcW w:w="40" w:type="dxa"/>
            <w:vAlign w:val="bottom"/>
            <w:tcBorders>
              <w:bottom w:val="single" w:sz="8" w:color="DDDDDD"/>
            </w:tcBorders>
            <w:shd w:val="clear" w:color="auto" w:fill="DDDDDD"/>
          </w:tcPr>
          <w:p>
            <w:pPr>
              <w:spacing w:after="0"/>
              <w:rPr>
                <w:sz w:val="24"/>
                <w:szCs w:val="24"/>
                <w:color w:val="auto"/>
              </w:rPr>
            </w:pPr>
          </w:p>
        </w:tc>
        <w:tc>
          <w:tcPr>
            <w:tcW w:w="16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2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6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34"/>
        </w:trPr>
        <w:tc>
          <w:tcPr>
            <w:tcW w:w="40" w:type="dxa"/>
            <w:vAlign w:val="bottom"/>
          </w:tcPr>
          <w:p>
            <w:pPr>
              <w:spacing w:after="0"/>
              <w:rPr>
                <w:sz w:val="20"/>
                <w:szCs w:val="20"/>
                <w:color w:val="auto"/>
              </w:rPr>
            </w:pPr>
          </w:p>
        </w:tc>
        <w:tc>
          <w:tcPr>
            <w:tcW w:w="1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5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-202565</wp:posOffset>
                </wp:positionV>
                <wp:extent cx="437642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7642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5.9499pt" to="344.5pt,-15.9499pt" o:allowincell="f" strokecolor="#FFFFFF" strokeweight="0.876pt"/>
            </w:pict>
          </mc:Fallback>
        </mc:AlternateConten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4" w:lineRule="exact"/>
        <w:rPr>
          <w:sz w:val="20"/>
          <w:szCs w:val="20"/>
          <w:color w:val="auto"/>
        </w:rPr>
      </w:pPr>
    </w:p>
    <w:p>
      <w:pPr>
        <w:jc w:val="both"/>
        <w:ind w:left="40" w:firstLine="328"/>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86"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When the Company determines the arrangement is a lease, or contains a lease, at inception, it then determines whether the lease is an operating lease or a finance lease at the commencement date.</w:t>
      </w:r>
    </w:p>
    <w:p>
      <w:pPr>
        <w:spacing w:after="0" w:line="30"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Company leases property and equipment, principally under operating leases. The Company records a right of use asset and related obligation at the present value of lease payments and, over the term of the lease, depreciates the right of use asset and accretes the obligation to future value. Some of the leases include rental escalation clauses, renewal options and/or termination options that are factored into the determination of lease payments when appropriate. The Company has elected not to separate non-lease components from lease components for all classes of leased assets.</w:t>
      </w: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880" w:h="15480" w:orient="portrait"/>
          <w:cols w:equalWidth="0" w:num="1">
            <w:col w:w="9400"/>
          </w:cols>
          <w:pgMar w:left="1220" w:top="1252" w:right="1260" w:bottom="254" w:gutter="0" w:footer="0" w:header="0"/>
        </w:sectPr>
      </w:pPr>
    </w:p>
    <w:bookmarkStart w:id="67" w:name="page68"/>
    <w:bookmarkEnd w:id="67"/>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When available, the Company uses the rate implicit in the lease to discount lease payments to present value, however, most of the Company's leases do not provide a readily determinable implicit rate and the Company calculates the applicable incremental borrowing rate to discount the lease payments based on the term of the lease at lease commencement. The incremental borrowing rate is determined based on the Company's credit rating, currency and lease terms.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is calculated on a straight-line basis, principally over the following estimated useful lives: buildings and improvements, 1 to 50 years; machinery and equipment, 1 to 40 years; information technology hardware and software, 1 to 23 years; and leasehold improvements which are included in buildings and improvements, the estimated life of the improvements or the remaining term of the lease, whichever is shorter.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118"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Finite-lived intangible assets include customer relationships, patents, trade names, technological know-how and other intellectual property valued at acquisition and amortized on a straight-line basis over the following estimated useful lives: customer relationships, 10 to 27 years; patents, 11 to 15 years; trade names, 4 to 28 years; and technological know-how, 5 to 28 years.</w:t>
      </w:r>
    </w:p>
    <w:p>
      <w:pPr>
        <w:spacing w:after="0" w:line="57"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The Company reviews long-lived assets for impairment when events or changes in business conditions indicate that their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8"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During the second quarter of 2022, the sales and margins declined for certain entities within Russia due to supply chain issues, reduced product demand and exchange rate volatility. Additionally, future growth is expected to be limited given operating conditions in Russia, which inhibit the required future investment.</w:t>
      </w:r>
    </w:p>
    <w:p>
      <w:pPr>
        <w:spacing w:after="0" w:line="52"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In connection with uncertainties related to the Company’s operations in Russia and Ukraine, the Company updated its analysis of the undiscounted cash flows of the applicable asset groups to determine if the cash flows exceeded the carrying values of the applicable asset groups. With respect to an asset group in the Nourish segment, that manufactures and sells in Russia and related markets, it was determined that the undiscounted cash flows were insufficient to cover the carrying value and that an impairment charge was required to write-down the long-lived assets to their fair values. The fair value of such asset group was determined based on a discounted cash flow approach which involved estimating the future cash flows for the business discounted to their present values. The discount rate used in the determination of such fair value was based on consideration of the risks inherent in the cash flows and market as of the valuation date.</w:t>
      </w:r>
    </w:p>
    <w:p>
      <w:pPr>
        <w:spacing w:after="0" w:line="66"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As a result of this assessment, the Company recognized an impairment charge of $120 million in the Consolidated Statements of (Loss) Income and Comprehensive (Loss) Income for the year ended December 31, 2022, which was allocated on a pro rata basis to intangible assets and property, plant and equipment within the asset group in the amounts of approximately $92 million and $28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4"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Goodwill represents the difference between the total purchase price and the fair value of identifiable assets and liabilities acquired in business acquisitions.</w:t>
      </w:r>
    </w:p>
    <w:p>
      <w:pPr>
        <w:spacing w:after="0" w:line="30"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Company tests goodwill for 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52"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The Company identifies their reporting units by assessing whether the components of their reporting units constitute businesses for which discrete financial information is available and management of each reporting unit regularly reviews the operating results of those components. The Company determined that it has six reporting units under the Nourish, Health &amp; Biosciences, Scent and Pharma Solutions segments: (1) Nourish, (2) Fragrance Compounds, (3) Fragrance Ingredients, (4) Cosmetic Actives, (5) Health &amp; Biosciences and (6) Pharma Solutions. These reporting units were determined based on the level at which the performance is measured and reviewed by segment management. In cases where the components of an operating segment have similar economic characteristics, they are aggregated into a single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880" w:h="15480" w:orient="portrait"/>
          <w:cols w:equalWidth="0" w:num="1">
            <w:col w:w="9360"/>
          </w:cols>
          <w:pgMar w:left="1260" w:top="1255" w:right="1260" w:bottom="254" w:gutter="0" w:footer="0" w:header="0"/>
        </w:sectPr>
      </w:pPr>
    </w:p>
    <w:bookmarkStart w:id="68" w:name="page69"/>
    <w:bookmarkEnd w:id="68"/>
    <w:p>
      <w:pPr>
        <w:jc w:val="both"/>
        <w:ind w:firstLine="328"/>
        <w:spacing w:after="0" w:line="266" w:lineRule="auto"/>
        <w:rPr>
          <w:sz w:val="20"/>
          <w:szCs w:val="20"/>
          <w:color w:val="auto"/>
        </w:rPr>
      </w:pPr>
      <w:r>
        <w:rPr>
          <w:rFonts w:ascii="Times New Roman" w:cs="Times New Roman" w:eastAsia="Times New Roman" w:hAnsi="Times New Roman"/>
          <w:sz w:val="18"/>
          <w:szCs w:val="18"/>
          <w:color w:val="auto"/>
        </w:rPr>
        <w:t>When testing goodwill for impairment, the Company has the option of first performing a qualitative assessment to determine whether it is more likely than not that the fair value of a reporting unit is less than the carrying amount. If the Company elects to bypass the qualitative assessment for any reporting units, or if a qualitative assessment indicates it is more likely than not that the estimated carrying value of a reporting unit exceeds its fair value, the Company performs a quantitative goodwill impairment test.</w:t>
      </w:r>
    </w:p>
    <w:p>
      <w:pPr>
        <w:spacing w:after="0" w:line="286" w:lineRule="exact"/>
        <w:rPr>
          <w:sz w:val="20"/>
          <w:szCs w:val="20"/>
          <w:color w:val="auto"/>
        </w:rPr>
      </w:pPr>
    </w:p>
    <w:p>
      <w:pPr>
        <w:jc w:val="both"/>
        <w:ind w:firstLine="329"/>
        <w:spacing w:after="0" w:line="276" w:lineRule="auto"/>
        <w:rPr>
          <w:sz w:val="20"/>
          <w:szCs w:val="20"/>
          <w:color w:val="auto"/>
        </w:rPr>
      </w:pPr>
      <w:r>
        <w:rPr>
          <w:rFonts w:ascii="Times New Roman" w:cs="Times New Roman" w:eastAsia="Times New Roman" w:hAnsi="Times New Roman"/>
          <w:sz w:val="18"/>
          <w:szCs w:val="18"/>
          <w:color w:val="auto"/>
        </w:rPr>
        <w:t>Under the quantitative goodwill impairment test, if a reporting unit’s carrying amount exceeds its fair value, the Company will record an impairment charge based on that difference, and the impairment charge will be limited to the amount of goodwill allocated to that reporting unit.</w:t>
      </w:r>
    </w:p>
    <w:p>
      <w:pPr>
        <w:spacing w:after="0" w:line="52"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For the third quarter of 2022, the Company determined that the carrying value of the Health &amp; Biosciences reporting unit exceeded its fair value and recorded a goodwill impairment charge of $2.250 billion in the Consolidated Statements of (Loss) Income and Comprehensive (Loss) Income for the year ended December 31, 2022 (see Note 6 for additional information).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The Company accounts for taxes under the asset and liability method. Under this method, deferred income taxes are recognized for temporary differences between the financial statement and tax return bases of assets and liabilities, based on enacted tax rates and other provisions of the tax law. The effect of a change in tax laws or rates on deferred tax assets and liabilities is recognized as income in the period in which such change is enacted. Future tax benefits are recognized to the extent that the realization of such benefits is more likely than not, and a valuation allowance is established for any portion of a deferred tax asset that management believes may not be realized.</w:t>
      </w:r>
    </w:p>
    <w:p>
      <w:pPr>
        <w:spacing w:after="0" w:line="66"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The Company recognizes uncertain tax positions that it has taken or expects to take on a tax return. Pursuant to accounting requirements, the Company first determines whether it is “more likely than not” its tax position will be sustained if the relevant tax authority were to audit the position with full knowledge of all the relevant facts and other information. For those tax positions that meet this threshold, the Company measures the amount of tax benefit based on the largest amount of tax benefit that it has a greater than 50% chance of realizing in a final settlement with the relevant authority. Those tax positions failing to qualify for initial recognition are recognized in the first interim period in which they meet the more likely than not standard. The Company maintains a cumulative risk portfolio relating to all of its uncertainties in income taxes in order to perform this analysis, but the evaluation of its tax positions requires significant judgment and estimation in part because, in certain cases, tax law is subject to varied interpretation, and whether a tax position will ultimately be sustained may be uncertain.</w:t>
      </w:r>
    </w:p>
    <w:p>
      <w:pPr>
        <w:spacing w:after="0" w:line="68" w:lineRule="exact"/>
        <w:rPr>
          <w:sz w:val="20"/>
          <w:szCs w:val="20"/>
          <w:color w:val="auto"/>
        </w:rPr>
      </w:pPr>
    </w:p>
    <w:p>
      <w:pPr>
        <w:ind w:right="800" w:firstLine="328"/>
        <w:spacing w:after="0" w:line="380" w:lineRule="auto"/>
        <w:rPr>
          <w:sz w:val="20"/>
          <w:szCs w:val="20"/>
          <w:color w:val="auto"/>
        </w:rPr>
      </w:pPr>
      <w:r>
        <w:rPr>
          <w:rFonts w:ascii="Times New Roman" w:cs="Times New Roman" w:eastAsia="Times New Roman" w:hAnsi="Times New Roman"/>
          <w:sz w:val="18"/>
          <w:szCs w:val="18"/>
          <w:color w:val="auto"/>
        </w:rPr>
        <w:t xml:space="preserve">Interest and penalties related to unrecognized tax benefits are recognized as a component of income tax expense. </w:t>
      </w:r>
      <w:r>
        <w:rPr>
          <w:rFonts w:ascii="Times New Roman" w:cs="Times New Roman" w:eastAsia="Times New Roman" w:hAnsi="Times New Roman"/>
          <w:sz w:val="18"/>
          <w:szCs w:val="18"/>
          <w:b w:val="1"/>
          <w:bCs w:val="1"/>
          <w:color w:val="auto"/>
        </w:rPr>
        <w:t>Retirement Benefits</w:t>
      </w:r>
    </w:p>
    <w:p>
      <w:pPr>
        <w:spacing w:after="0" w:line="1"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Current service costs of retirement plans and postretirement health care and life insurance benefits are accrued. Prior service costs resulting from plan improvements are amortized over periods ranging from 10 to 20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4"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Derivative financial instruments are used to manage interest and foreign currency exposures. The gain or loss on the hedging 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57"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(loss) income. If the derivative is designated as a cash flow hedge, the effective portions of changes in the fair value of the derivative are recorded in Accumulated Other Comprehensive Income (Loss) (“AOCI”) in the accompanying Consolidated Balance Sheets and are subsequently recognized in Net income when the hedged item affects earnings. Ineffective portions of changes in the fair value of cash flow hedges, if any, are recognized as a charge or credit to earnings.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Costs</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Company capitalizes direct internal and external development costs for certain significant projects associated with internal-use software and amortizes these costs over seven years. Neither preliminary evaluation costs nor costs associated with the software after implementation are capitalized. Costs related to projects that are not significant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880" w:h="15480" w:orient="portrait"/>
          <w:cols w:equalWidth="0" w:num="1">
            <w:col w:w="9360"/>
          </w:cols>
          <w:pgMar w:left="1260" w:top="1255" w:right="1260" w:bottom="254"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Net (Loss) Income Per Share</w:t>
      </w:r>
    </w:p>
    <w:p>
      <w:pPr>
        <w:spacing w:after="0" w:line="124"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Under the two-class method, earnings are adjusted by accretion of amounts to redeemable non-controlling interests recorded at redemption value. The adjustments represent in-substance dividend distributions to the non-controlling interest holders as the holders have a contractual right to receive a specified amount upon redemption. As a result, earnings are adjusted to reflect this in-substance distribution that is different from other common shareholders. In addition, the Company has unvested share based payment awards with a right to receive nonforfeitable dividends and thus are considered participating securities which are required to be included in the computation of basic and diluted earnings per share.</w:t>
      </w:r>
    </w:p>
    <w:p>
      <w:pPr>
        <w:spacing w:after="0" w:line="66"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Basic (loss) income per share represents the amount of earnings available to each share of common stock outstanding during the period. Basic (loss) income per share includes the effect of issuing shares of common stock, where (i) for 2021, the prepaid stock purchase contracts (“SPCs”) were converted using the final settlement rate on September 14, 2021 (see Note 11 for additional information) and for 2020, the prepaid SPCs were converted into the minimum number of shares of common stock under the if-converted method, and (ii) an adjustment to (loss) income to reflect adjustments made to record the redeemable value of redeemable non-controlling interests. Diluted (loss) income per share also includes the effect of issuing shares of common stock, assuming (i) stock options and warrants are exercised, (ii) restricted stock units are fully vested under the treasury stock method, and (iii) for 2021, the incremental effect of the prepaid SPCs were converted using the final settlement rate on September 14, 2021 (see Note 11 for additional information) and for 2020, the incremental effect of the prepaid SPCs were converted into the maximum number of shares of common stock under the if-converted method.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4" w:lineRule="exact"/>
        <w:rPr>
          <w:sz w:val="20"/>
          <w:szCs w:val="20"/>
          <w:color w:val="auto"/>
        </w:rPr>
      </w:pPr>
    </w:p>
    <w:p>
      <w:pPr>
        <w:jc w:val="both"/>
        <w:ind w:firstLine="329"/>
        <w:spacing w:after="0" w:line="276" w:lineRule="auto"/>
        <w:rPr>
          <w:sz w:val="20"/>
          <w:szCs w:val="20"/>
          <w:color w:val="auto"/>
        </w:rPr>
      </w:pPr>
      <w:r>
        <w:rPr>
          <w:rFonts w:ascii="Times New Roman" w:cs="Times New Roman" w:eastAsia="Times New Roman" w:hAnsi="Times New Roman"/>
          <w:sz w:val="18"/>
          <w:szCs w:val="18"/>
          <w:color w:val="auto"/>
        </w:rPr>
        <w:t>Compensation cost of all stock-based awards is measured at fair value on the date of grant and recognized over the service period for which awards are expected to vest. The cost of such stock-based awards is principally recognized on a straight-line attribution basis over their respective vesting periods, net of estimated forfeitures.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Costs</w:t>
      </w:r>
    </w:p>
    <w:p>
      <w:pPr>
        <w:spacing w:after="0" w:line="124"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Costs incurred in the issuance of debt are deferred and amortized as part of interest expense over the stated life of the applicable debt instrument. Unamortized deferred financing costs relating to debt are presented as a reduction in the amount of debt outstanding on the Consolidated Balance Sheets. Unamortized deferred financing costs relating to the revolving credit facility are recorded in Other assets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4"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Non-controlling interests in subsidiaries that are redeemable for cash or other assets outside of the Company’s control are classified as mezzanine equity, outside of equity and liabilities, at the greater of the carrying value or the redemption value. The increases or decreases in the estimated redemption amount are recorded with corresponding adjustments against Capital in excess of par value and are reflected in the computation of earnings per share using the two-class method.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Held for Sale</w:t>
      </w:r>
    </w:p>
    <w:p>
      <w:pPr>
        <w:spacing w:after="0" w:line="124" w:lineRule="exact"/>
        <w:rPr>
          <w:sz w:val="20"/>
          <w:szCs w:val="20"/>
          <w:color w:val="auto"/>
        </w:rPr>
      </w:pPr>
    </w:p>
    <w:p>
      <w:pPr>
        <w:jc w:val="both"/>
        <w:ind w:firstLine="329"/>
        <w:spacing w:after="0" w:line="259" w:lineRule="auto"/>
        <w:rPr>
          <w:sz w:val="20"/>
          <w:szCs w:val="20"/>
          <w:color w:val="auto"/>
        </w:rPr>
      </w:pPr>
      <w:r>
        <w:rPr>
          <w:rFonts w:ascii="Times New Roman" w:cs="Times New Roman" w:eastAsia="Times New Roman" w:hAnsi="Times New Roman"/>
          <w:sz w:val="18"/>
          <w:szCs w:val="18"/>
          <w:color w:val="auto"/>
        </w:rPr>
        <w:t>Assets and liabilities to be disposed of by sale (“disposal groups”) are reclassified into assets and liabilities held for sale on the Company’s Consolidated Balance Sheets. The reclassification occurs when an agreement to sell exists, or management has committed to a plan to sell the assets within one year. Disposal groups are measured at the lower of carrying value or fair value less costs to sell and are not depreciated or amortized. When the net realizable value of a disposal group increases during a period, a gain can be recognized to the extent that it does not increase the value of the disposal group beyond its original carrying value when the disposal group was reclassified as held for sale.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See Note 21 for additional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4"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In December 2022, the Financial Accounting Standards Board (“FASB”) issued Accounting Standards Update (“ASU”) 2022-06, “Reference Rate Reform (Topic 848): Deferral of the Sunset Date of Topic 848.” The ASU was issued to provide an update on ASU 2020-04 and ASU 2021-01 that were issued in March 2020 and January 2021, respectively, which provided optional accounting guidance for a limited period of time to ease the potential burden in accounting for reference rate reform. The guidance provides optional expedients and exceptions to existing accounting requirements for contract modifications and hedge accounting related to transitioning from discontinued reference rates, such as London Interbank Offered Rate (“LIBOR”), to alternative reference rates, if certain criteria are met. With the issuance of ASU 2022-06, the sunset date of Topic 848 has been deferred from December 31, 2022 to December 31, 2024, after which entities will no longer be permitted to apply the relief in Topic 848. The Company is currently evaluating the impact of this guidance, but does not expect this guidance to have a material impact on its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880" w:h="15480" w:orient="portrait"/>
          <w:cols w:equalWidth="0" w:num="1">
            <w:col w:w="9360"/>
          </w:cols>
          <w:pgMar w:left="1260" w:top="1252" w:right="1260" w:bottom="254" w:gutter="0" w:footer="0" w:header="0"/>
        </w:sectPr>
      </w:pPr>
    </w:p>
    <w:bookmarkStart w:id="70" w:name="page71"/>
    <w:bookmarkEnd w:id="70"/>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ASU requires annual disclosures about transactions with a government that are accounted for by applying a grant or contribution accounting model by analogy. This guidance is effective for all entities for annual periods beginning after December 15, 2021 and early adoption is permitted. This guidance was adopted by the Company as of January 1, 2022 using the prospective method of adoption. The adoption of this guidance did not have a material impact on the Consolidated Financial Statements.</w:t>
      </w:r>
    </w:p>
    <w:p>
      <w:pPr>
        <w:spacing w:after="0" w:line="66" w:lineRule="exact"/>
        <w:rPr>
          <w:sz w:val="20"/>
          <w:szCs w:val="20"/>
          <w:color w:val="auto"/>
        </w:rPr>
      </w:pPr>
    </w:p>
    <w:p>
      <w:pPr>
        <w:jc w:val="both"/>
        <w:ind w:firstLine="329"/>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ASU is intended to provide specific guidance on how to recognize and measure acquired contract assets and liabilities from revenue contracts in a business combination. An acquirer needs to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To achieve this, an acquirer may assess how the acquiree applied Topic 606 to determine what to record for the acquired revenue contracts. This guidance is effective for fiscal years beginning after December 15, 2022, including interim periods within those fiscal years, and early adoption is permitted, including adoption in an interim period. The Company early adopted ASU 2021-08 during the second quarter of 2022. The adoption of this guidance did not have a material impact on the Consolidated Financial Statements.</w:t>
      </w:r>
    </w:p>
    <w:p>
      <w:pPr>
        <w:spacing w:after="0" w:line="2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2.</w:t>
        <w:tab/>
        <w:t>RESTRUCTURING AND OTHER CHARGES</w:t>
      </w:r>
    </w:p>
    <w:p>
      <w:pPr>
        <w:spacing w:after="0" w:line="124"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Restructuring and other charges primarily consist of separation costs for employees including severance, outplacement and other benefit (“Severance”) costs as well as costs related to plant closures, principally related to fixed asset write-downs (“Fixed asset write-down”) and all other related restructuring (“Other”) costs. All restructuring and other charges are separately stated on the Consolidated Statements of (Loss) Income and Comprehensive (Loss)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Frutarom Integration Initiative</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In connection with the acquisition of Frutarom, the Company has been executing an integration plan that, among other initiatives, seeks to optimize its manufacturing network (the “Frutarom Integration Initiative”). As part of the Frutarom Integration Initiative, the Company expects to close approximately 30 manufacturing sites with all closures targeted to occur by the end of 2023. Since the inception of the initiative through December 31, 2022, the Company has closed 22 sites and expensed total costs of approximately $39 million. Total costs for the program are expected to be approximately $42 million including cash and non-cash items.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Severance Program</w:t>
      </w:r>
    </w:p>
    <w:p>
      <w:pPr>
        <w:spacing w:after="0" w:line="12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During 2019, the Company incurred severance charges related to approximately 190 headcount reductions, excluding those previously mentioned under the Frutarom Integration Initiative. The headcount reductions primarily related to the Scent business unit with additional amounts related to headcount reductions in all business units associated with the establishment of a new shared service center in Europe. Since the program’s inception, the Company has expensed approximately $15 million. As of the third quarter of 2022, the program is complete.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Productivity Program</w:t>
      </w:r>
    </w:p>
    <w:p>
      <w:pPr>
        <w:spacing w:after="0" w:line="124"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In connection with 2017 Productivity Program, the Company recorded $24 million of charges related to personnel costs and lease termination costs since the program's inception. As of December 31, 2020, the program was 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Restructuring Charges</w:t>
      </w:r>
    </w:p>
    <w:p>
      <w:pPr>
        <w:spacing w:after="0" w:line="124"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For 2022, 2021 and 2020, the Company incurred total charges of approximately $4 million primarily related to the severance costs in connection with the closure of a facility in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N&amp;B Merger Restructuring Liability</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For 2022, the Company incurred approximately $15 million of charges related to severance, lease termination costs, and lease impairment charges. Since the inception of the restructuring activities, there have been approximately 240 headcount reductions and the Company has expensed approximately $45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880" w:h="15480" w:orient="portrait"/>
          <w:cols w:equalWidth="0" w:num="1">
            <w:col w:w="9360"/>
          </w:cols>
          <w:pgMar w:left="1260" w:top="1255" w:right="1260" w:bottom="254"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Changes in Restructuring Liability</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40" w:type="dxa"/>
            <w:vAlign w:val="bottom"/>
            <w:gridSpan w:val="30"/>
          </w:tcPr>
          <w:p>
            <w:pPr>
              <w:ind w:left="280"/>
              <w:spacing w:after="0"/>
              <w:rPr>
                <w:sz w:val="20"/>
                <w:szCs w:val="20"/>
                <w:color w:val="auto"/>
              </w:rPr>
            </w:pPr>
            <w:r>
              <w:rPr>
                <w:rFonts w:ascii="Times New Roman" w:cs="Times New Roman" w:eastAsia="Times New Roman" w:hAnsi="Times New Roman"/>
                <w:sz w:val="18"/>
                <w:szCs w:val="18"/>
                <w:color w:val="auto"/>
              </w:rPr>
              <w:t>Movements in severance-related accruals during 2020, 2021 and 2022 are as follows: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Charges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line="180" w:lineRule="exact"/>
              <w:rPr>
                <w:sz w:val="20"/>
                <w:szCs w:val="20"/>
                <w:color w:val="auto"/>
              </w:rPr>
            </w:pPr>
            <w:r>
              <w:rPr>
                <w:rFonts w:ascii="Times New Roman" w:cs="Times New Roman" w:eastAsia="Times New Roman" w:hAnsi="Times New Roman"/>
                <w:sz w:val="18"/>
                <w:szCs w:val="18"/>
                <w:b w:val="1"/>
                <w:bCs w:val="1"/>
                <w:color w:val="auto"/>
              </w:rPr>
              <w:t>(Reversals),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Borders>
              <w:bottom w:val="single" w:sz="8" w:color="auto"/>
            </w:tcBorders>
            <w:gridSpan w:val="2"/>
          </w:tcPr>
          <w:p>
            <w:pPr>
              <w:spacing w:after="0" w:line="147"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vMerge w:val="restart"/>
          </w:tcPr>
          <w:p>
            <w:pPr>
              <w:ind w:left="60"/>
              <w:spacing w:after="0" w:line="206" w:lineRule="exact"/>
              <w:rPr>
                <w:sz w:val="20"/>
                <w:szCs w:val="20"/>
                <w:color w:val="auto"/>
              </w:rPr>
            </w:pPr>
            <w:r>
              <w:rPr>
                <w:rFonts w:ascii="Times New Roman" w:cs="Times New Roman" w:eastAsia="Times New Roman" w:hAnsi="Times New Roman"/>
                <w:sz w:val="18"/>
                <w:szCs w:val="18"/>
                <w:b w:val="1"/>
                <w:bCs w:val="1"/>
                <w:color w:val="auto"/>
              </w:rPr>
              <w:t>January 1, 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160"/>
              <w:spacing w:after="0" w:line="206"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center"/>
              <w:ind w:right="160"/>
              <w:spacing w:after="0" w:line="206" w:lineRule="exact"/>
              <w:rPr>
                <w:sz w:val="20"/>
                <w:szCs w:val="20"/>
                <w:color w:val="auto"/>
              </w:rPr>
            </w:pPr>
            <w:r>
              <w:rPr>
                <w:rFonts w:ascii="Times New Roman" w:cs="Times New Roman" w:eastAsia="Times New Roman" w:hAnsi="Times New Roman"/>
                <w:sz w:val="18"/>
                <w:szCs w:val="18"/>
                <w:b w:val="1"/>
                <w:bCs w:val="1"/>
                <w:color w:val="auto"/>
              </w:rPr>
              <w:t>Charges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140"/>
              <w:spacing w:after="0" w:line="206"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48"/>
              <w:spacing w:after="0" w:line="206" w:lineRule="exact"/>
              <w:rPr>
                <w:sz w:val="20"/>
                <w:szCs w:val="20"/>
                <w:color w:val="auto"/>
              </w:rPr>
            </w:pPr>
            <w:r>
              <w:rPr>
                <w:rFonts w:ascii="Times New Roman" w:cs="Times New Roman" w:eastAsia="Times New Roman" w:hAnsi="Times New Roman"/>
                <w:sz w:val="18"/>
                <w:szCs w:val="18"/>
                <w:b w:val="1"/>
                <w:bCs w:val="1"/>
                <w:color w:val="auto"/>
                <w:w w:val="99"/>
              </w:rPr>
              <w:t>2020</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2017 Productivity Program</w:t>
            </w:r>
          </w:p>
        </w:tc>
        <w:tc>
          <w:tcPr>
            <w:tcW w:w="1360" w:type="dxa"/>
            <w:vAlign w:val="bottom"/>
            <w:tcBorders>
              <w:bottom w:val="single" w:sz="8" w:color="auto"/>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16"/>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60" w:type="dxa"/>
            <w:vAlign w:val="bottom"/>
            <w:tcBorders>
              <w:right w:val="single" w:sz="8" w:color="DDDDDD"/>
            </w:tcBorders>
          </w:tcPr>
          <w:p>
            <w:pPr>
              <w:spacing w:after="0"/>
              <w:rPr>
                <w:sz w:val="21"/>
                <w:szCs w:val="21"/>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Frutarom Integration Initiative</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Pr>
          <w:p>
            <w:pPr>
              <w:spacing w:after="0"/>
              <w:rPr>
                <w:sz w:val="20"/>
                <w:szCs w:val="20"/>
                <w:color w:val="auto"/>
              </w:rPr>
            </w:pPr>
          </w:p>
        </w:tc>
        <w:tc>
          <w:tcPr>
            <w:tcW w:w="60" w:type="dxa"/>
            <w:vAlign w:val="bottom"/>
            <w:tcBorders>
              <w:right w:val="single" w:sz="8" w:color="DDDDDD"/>
            </w:tcBorders>
          </w:tcPr>
          <w:p>
            <w:pPr>
              <w:spacing w:after="0"/>
              <w:rPr>
                <w:sz w:val="20"/>
                <w:szCs w:val="20"/>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gridSpan w:val="16"/>
          </w:tcPr>
          <w:p>
            <w:pPr>
              <w:ind w:left="120"/>
              <w:spacing w:after="0"/>
              <w:rPr>
                <w:sz w:val="20"/>
                <w:szCs w:val="20"/>
                <w:color w:val="auto"/>
              </w:rPr>
            </w:pPr>
            <w:r>
              <w:rPr>
                <w:rFonts w:ascii="Times New Roman" w:cs="Times New Roman" w:eastAsia="Times New Roman" w:hAnsi="Times New Roman"/>
                <w:sz w:val="18"/>
                <w:szCs w:val="18"/>
                <w:color w:val="auto"/>
              </w:rPr>
              <w:t>Fixed asset write down</w:t>
            </w:r>
          </w:p>
        </w:tc>
        <w:tc>
          <w:tcPr>
            <w:tcW w:w="1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Borders>
              <w:right w:val="single" w:sz="8" w:color="DDDDDD"/>
            </w:tcBorders>
          </w:tcPr>
          <w:p>
            <w:pPr>
              <w:spacing w:after="0"/>
              <w:rPr>
                <w:sz w:val="22"/>
                <w:szCs w:val="22"/>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1"/>
                <w:szCs w:val="11"/>
                <w:color w:val="auto"/>
              </w:rPr>
              <w:t>(1)</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2019 Severance Program</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60" w:type="dxa"/>
            <w:vAlign w:val="bottom"/>
            <w:tcBorders>
              <w:right w:val="single" w:sz="8" w:color="DDDDDD"/>
            </w:tcBorders>
          </w:tcPr>
          <w:p>
            <w:pPr>
              <w:spacing w:after="0"/>
              <w:rPr>
                <w:sz w:val="21"/>
                <w:szCs w:val="21"/>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1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60" w:type="dxa"/>
            <w:vAlign w:val="bottom"/>
            <w:tcBorders>
              <w:right w:val="single" w:sz="8" w:color="DDDDDD"/>
            </w:tcBorders>
          </w:tcPr>
          <w:p>
            <w:pPr>
              <w:spacing w:after="0"/>
              <w:rPr>
                <w:sz w:val="21"/>
                <w:szCs w:val="21"/>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82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tcBorders>
              <w:bottom w:val="single" w:sz="8" w:color="auto"/>
            </w:tcBorders>
            <w:shd w:val="clear" w:color="auto" w:fill="DDDDDD"/>
          </w:tcPr>
          <w:p>
            <w:pPr>
              <w:spacing w:after="0"/>
              <w:rPr>
                <w:sz w:val="21"/>
                <w:szCs w:val="21"/>
                <w:color w:val="auto"/>
              </w:rPr>
            </w:pPr>
          </w:p>
        </w:tc>
        <w:tc>
          <w:tcPr>
            <w:tcW w:w="102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restructuring</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0"/>
                <w:szCs w:val="20"/>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0"/>
                <w:szCs w:val="20"/>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Charges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rPr>
              <w:t>(Reversals),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140" w:type="dxa"/>
            <w:vAlign w:val="bottom"/>
            <w:gridSpan w:val="2"/>
          </w:tcPr>
          <w:p>
            <w:pPr>
              <w:spacing w:after="0"/>
              <w:rPr>
                <w:sz w:val="14"/>
                <w:szCs w:val="14"/>
                <w:color w:val="auto"/>
              </w:rPr>
            </w:pPr>
          </w:p>
        </w:tc>
        <w:tc>
          <w:tcPr>
            <w:tcW w:w="4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360" w:type="dxa"/>
            <w:vAlign w:val="bottom"/>
            <w:gridSpan w:val="3"/>
            <w:vMerge w:val="restart"/>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January 1, 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Net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center"/>
              <w:ind w:right="160"/>
              <w:spacing w:after="0" w:line="201" w:lineRule="exact"/>
              <w:rPr>
                <w:sz w:val="20"/>
                <w:szCs w:val="20"/>
                <w:color w:val="auto"/>
              </w:rPr>
            </w:pPr>
            <w:r>
              <w:rPr>
                <w:rFonts w:ascii="Times New Roman" w:cs="Times New Roman" w:eastAsia="Times New Roman" w:hAnsi="Times New Roman"/>
                <w:sz w:val="18"/>
                <w:szCs w:val="18"/>
                <w:b w:val="1"/>
                <w:bCs w:val="1"/>
                <w:color w:val="auto"/>
              </w:rPr>
              <w:t>Charges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48"/>
              <w:spacing w:after="0" w:line="201"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2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Frutarom Integration Initiative</w:t>
            </w:r>
          </w:p>
        </w:tc>
        <w:tc>
          <w:tcPr>
            <w:tcW w:w="1360" w:type="dxa"/>
            <w:vAlign w:val="bottom"/>
            <w:tcBorders>
              <w:bottom w:val="single" w:sz="8" w:color="auto"/>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vMerge w:val="continue"/>
          </w:tcPr>
          <w:p>
            <w:pPr>
              <w:spacing w:after="0" w:line="20" w:lineRule="exact"/>
              <w:rPr>
                <w:sz w:val="1"/>
                <w:szCs w:val="1"/>
                <w:color w:val="auto"/>
              </w:rPr>
            </w:pPr>
          </w:p>
        </w:tc>
        <w:tc>
          <w:tcPr>
            <w:tcW w:w="4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16"/>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260" w:type="dxa"/>
            <w:vAlign w:val="bottom"/>
            <w:tcBorders>
              <w:top w:val="single" w:sz="8" w:color="auto"/>
            </w:tcBorders>
            <w:gridSpan w:val="3"/>
          </w:tcPr>
          <w:p>
            <w:pPr>
              <w:spacing w:after="0" w:line="20" w:lineRule="exact"/>
              <w:rPr>
                <w:sz w:val="1"/>
                <w:szCs w:val="1"/>
                <w:color w:val="auto"/>
              </w:rPr>
            </w:pPr>
          </w:p>
        </w:tc>
        <w:tc>
          <w:tcPr>
            <w:tcW w:w="14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60" w:type="dxa"/>
            <w:vAlign w:val="bottom"/>
            <w:tcBorders>
              <w:right w:val="single" w:sz="8" w:color="DDDDDD"/>
            </w:tcBorders>
          </w:tcPr>
          <w:p>
            <w:pPr>
              <w:spacing w:after="0"/>
              <w:rPr>
                <w:sz w:val="21"/>
                <w:szCs w:val="21"/>
                <w:color w:val="auto"/>
              </w:rPr>
            </w:pPr>
          </w:p>
        </w:tc>
        <w:tc>
          <w:tcPr>
            <w:tcW w:w="2820" w:type="dxa"/>
            <w:vAlign w:val="bottom"/>
            <w:gridSpan w:val="16"/>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60" w:type="dxa"/>
            <w:vAlign w:val="bottom"/>
            <w:gridSpan w:val="2"/>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21"/>
                <w:szCs w:val="21"/>
                <w:color w:val="auto"/>
              </w:rPr>
            </w:pPr>
          </w:p>
        </w:tc>
        <w:tc>
          <w:tcPr>
            <w:tcW w:w="60" w:type="dxa"/>
            <w:vAlign w:val="bottom"/>
            <w:gridSpan w:val="2"/>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gridSpan w:val="16"/>
          </w:tcPr>
          <w:p>
            <w:pPr>
              <w:ind w:left="120"/>
              <w:spacing w:after="0"/>
              <w:rPr>
                <w:sz w:val="20"/>
                <w:szCs w:val="20"/>
                <w:color w:val="auto"/>
              </w:rPr>
            </w:pPr>
            <w:r>
              <w:rPr>
                <w:rFonts w:ascii="Times New Roman" w:cs="Times New Roman" w:eastAsia="Times New Roman" w:hAnsi="Times New Roman"/>
                <w:sz w:val="18"/>
                <w:szCs w:val="18"/>
                <w:color w:val="auto"/>
              </w:rPr>
              <w:t>Fixed asset write down</w:t>
            </w:r>
          </w:p>
        </w:tc>
        <w:tc>
          <w:tcPr>
            <w:tcW w:w="1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0" w:type="dxa"/>
            <w:vAlign w:val="bottom"/>
            <w:tcBorders>
              <w:right w:val="single" w:sz="8" w:color="DDDDDD"/>
            </w:tcBorders>
          </w:tcPr>
          <w:p>
            <w:pPr>
              <w:spacing w:after="0"/>
              <w:rPr>
                <w:sz w:val="22"/>
                <w:szCs w:val="22"/>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1"/>
                <w:szCs w:val="11"/>
                <w:color w:val="auto"/>
              </w:rPr>
              <w:t>(1)</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1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0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2019 Severance Program</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gridSpan w:val="2"/>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Pr>
          <w:p>
            <w:pPr>
              <w:spacing w:after="0"/>
              <w:rPr>
                <w:sz w:val="20"/>
                <w:szCs w:val="20"/>
                <w:color w:val="auto"/>
              </w:rPr>
            </w:pPr>
          </w:p>
        </w:tc>
        <w:tc>
          <w:tcPr>
            <w:tcW w:w="60" w:type="dxa"/>
            <w:vAlign w:val="bottom"/>
            <w:tcBorders>
              <w:right w:val="single" w:sz="8" w:color="DDDDDD"/>
            </w:tcBorders>
          </w:tcPr>
          <w:p>
            <w:pPr>
              <w:spacing w:after="0"/>
              <w:rPr>
                <w:sz w:val="20"/>
                <w:szCs w:val="20"/>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1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60" w:type="dxa"/>
            <w:vAlign w:val="bottom"/>
            <w:tcBorders>
              <w:right w:val="single" w:sz="8" w:color="DDDDDD"/>
            </w:tcBorders>
          </w:tcPr>
          <w:p>
            <w:pPr>
              <w:spacing w:after="0"/>
              <w:rPr>
                <w:sz w:val="21"/>
                <w:szCs w:val="21"/>
                <w:color w:val="auto"/>
              </w:rPr>
            </w:pPr>
          </w:p>
        </w:tc>
        <w:tc>
          <w:tcPr>
            <w:tcW w:w="2780" w:type="dxa"/>
            <w:vAlign w:val="bottom"/>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1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82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78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1"/>
                <w:szCs w:val="11"/>
                <w:color w:val="auto"/>
              </w:rPr>
              <w:t>(2)</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 w:type="dxa"/>
            <w:vAlign w:val="bottom"/>
            <w:tcBorders>
              <w:right w:val="single" w:sz="8" w:color="DDDDDD"/>
            </w:tcBorders>
          </w:tcPr>
          <w:p>
            <w:pPr>
              <w:spacing w:after="0"/>
              <w:rPr>
                <w:sz w:val="21"/>
                <w:szCs w:val="21"/>
                <w:color w:val="auto"/>
              </w:rPr>
            </w:pPr>
          </w:p>
        </w:tc>
        <w:tc>
          <w:tcPr>
            <w:tcW w:w="2820" w:type="dxa"/>
            <w:vAlign w:val="bottom"/>
            <w:gridSpan w:val="16"/>
            <w:shd w:val="clear" w:color="auto" w:fill="DDDDDD"/>
          </w:tcPr>
          <w:p>
            <w:pPr>
              <w:spacing w:after="0"/>
              <w:rPr>
                <w:sz w:val="20"/>
                <w:szCs w:val="20"/>
                <w:color w:val="auto"/>
              </w:rPr>
            </w:pPr>
            <w:r>
              <w:rPr>
                <w:rFonts w:ascii="Times New Roman" w:cs="Times New Roman" w:eastAsia="Times New Roman" w:hAnsi="Times New Roman"/>
                <w:sz w:val="18"/>
                <w:szCs w:val="18"/>
                <w:color w:val="auto"/>
                <w:highlight w:val="lightGray"/>
              </w:rPr>
              <w:t>N&amp;B Merger Restructuring Liability</w:t>
            </w:r>
          </w:p>
        </w:tc>
        <w:tc>
          <w:tcPr>
            <w:tcW w:w="180" w:type="dxa"/>
            <w:vAlign w:val="bottom"/>
            <w:shd w:val="clear" w:color="auto" w:fill="DDDDDD"/>
          </w:tcPr>
          <w:p>
            <w:pPr>
              <w:spacing w:after="0"/>
              <w:rPr>
                <w:sz w:val="21"/>
                <w:szCs w:val="21"/>
                <w:color w:val="auto"/>
              </w:rPr>
            </w:pPr>
          </w:p>
        </w:tc>
        <w:tc>
          <w:tcPr>
            <w:tcW w:w="114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7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9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80" w:type="dxa"/>
            <w:vAlign w:val="bottom"/>
            <w:tcBorders>
              <w:top w:val="single" w:sz="8" w:color="auto"/>
            </w:tcBorders>
            <w:gridSpan w:val="11"/>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140" w:type="dxa"/>
            <w:vAlign w:val="bottom"/>
            <w:tcBorders>
              <w:top w:val="single" w:sz="8" w:color="DDDDDD"/>
            </w:tcBorders>
            <w:gridSpan w:val="5"/>
          </w:tcPr>
          <w:p>
            <w:pPr>
              <w:spacing w:after="0"/>
              <w:rPr>
                <w:sz w:val="22"/>
                <w:szCs w:val="22"/>
                <w:color w:val="auto"/>
              </w:rPr>
            </w:pPr>
          </w:p>
        </w:tc>
        <w:tc>
          <w:tcPr>
            <w:tcW w:w="180" w:type="dxa"/>
            <w:vAlign w:val="bottom"/>
            <w:tcBorders>
              <w:top w:val="single" w:sz="8" w:color="DDDDDD"/>
            </w:tcBorders>
          </w:tcPr>
          <w:p>
            <w:pPr>
              <w:spacing w:after="0"/>
              <w:rPr>
                <w:sz w:val="22"/>
                <w:szCs w:val="22"/>
                <w:color w:val="auto"/>
              </w:rPr>
            </w:pPr>
          </w:p>
        </w:tc>
        <w:tc>
          <w:tcPr>
            <w:tcW w:w="1180" w:type="dxa"/>
            <w:vAlign w:val="bottom"/>
            <w:tcBorders>
              <w:top w:val="single" w:sz="8" w:color="DDDDDD"/>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2"/>
                <w:szCs w:val="22"/>
                <w:color w:val="auto"/>
              </w:rPr>
            </w:pPr>
          </w:p>
        </w:tc>
        <w:tc>
          <w:tcPr>
            <w:tcW w:w="40" w:type="dxa"/>
            <w:vAlign w:val="bottom"/>
            <w:tcBorders>
              <w:top w:val="single" w:sz="8" w:color="DDDDDD"/>
            </w:tcBorders>
          </w:tcPr>
          <w:p>
            <w:pPr>
              <w:spacing w:after="0"/>
              <w:rPr>
                <w:sz w:val="22"/>
                <w:szCs w:val="22"/>
                <w:color w:val="auto"/>
              </w:rPr>
            </w:pPr>
          </w:p>
        </w:tc>
        <w:tc>
          <w:tcPr>
            <w:tcW w:w="20" w:type="dxa"/>
            <w:vAlign w:val="bottom"/>
            <w:tcBorders>
              <w:top w:val="single" w:sz="8" w:color="DDDDDD"/>
            </w:tcBorders>
          </w:tcPr>
          <w:p>
            <w:pPr>
              <w:spacing w:after="0"/>
              <w:rPr>
                <w:sz w:val="22"/>
                <w:szCs w:val="22"/>
                <w:color w:val="auto"/>
              </w:rPr>
            </w:pPr>
          </w:p>
        </w:tc>
        <w:tc>
          <w:tcPr>
            <w:tcW w:w="160" w:type="dxa"/>
            <w:vAlign w:val="bottom"/>
            <w:tcBorders>
              <w:top w:val="single" w:sz="8" w:color="DDDDDD"/>
            </w:tcBorders>
          </w:tcPr>
          <w:p>
            <w:pPr>
              <w:spacing w:after="0"/>
              <w:rPr>
                <w:sz w:val="22"/>
                <w:szCs w:val="22"/>
                <w:color w:val="auto"/>
              </w:rPr>
            </w:pPr>
          </w:p>
        </w:tc>
        <w:tc>
          <w:tcPr>
            <w:tcW w:w="1120" w:type="dxa"/>
            <w:vAlign w:val="bottom"/>
            <w:tcBorders>
              <w:top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Borders>
              <w:top w:val="single" w:sz="8" w:color="DDDDDD"/>
            </w:tcBorders>
          </w:tcPr>
          <w:p>
            <w:pPr>
              <w:spacing w:after="0"/>
              <w:rPr>
                <w:sz w:val="22"/>
                <w:szCs w:val="22"/>
                <w:color w:val="auto"/>
              </w:rPr>
            </w:pPr>
          </w:p>
        </w:tc>
        <w:tc>
          <w:tcPr>
            <w:tcW w:w="20" w:type="dxa"/>
            <w:vAlign w:val="bottom"/>
            <w:tcBorders>
              <w:top w:val="single" w:sz="8" w:color="DDDDDD"/>
            </w:tcBorders>
          </w:tcPr>
          <w:p>
            <w:pPr>
              <w:spacing w:after="0"/>
              <w:rPr>
                <w:sz w:val="22"/>
                <w:szCs w:val="22"/>
                <w:color w:val="auto"/>
              </w:rPr>
            </w:pPr>
          </w:p>
        </w:tc>
        <w:tc>
          <w:tcPr>
            <w:tcW w:w="40" w:type="dxa"/>
            <w:vAlign w:val="bottom"/>
            <w:tcBorders>
              <w:top w:val="single" w:sz="8" w:color="DDDDDD"/>
            </w:tcBorders>
          </w:tcPr>
          <w:p>
            <w:pPr>
              <w:spacing w:after="0"/>
              <w:rPr>
                <w:sz w:val="22"/>
                <w:szCs w:val="22"/>
                <w:color w:val="auto"/>
              </w:rPr>
            </w:pPr>
          </w:p>
        </w:tc>
        <w:tc>
          <w:tcPr>
            <w:tcW w:w="180" w:type="dxa"/>
            <w:vAlign w:val="bottom"/>
            <w:tcBorders>
              <w:top w:val="single" w:sz="8" w:color="DDDDDD"/>
            </w:tcBorders>
          </w:tcPr>
          <w:p>
            <w:pPr>
              <w:spacing w:after="0"/>
              <w:rPr>
                <w:sz w:val="22"/>
                <w:szCs w:val="22"/>
                <w:color w:val="auto"/>
              </w:rPr>
            </w:pPr>
          </w:p>
        </w:tc>
        <w:tc>
          <w:tcPr>
            <w:tcW w:w="820" w:type="dxa"/>
            <w:vAlign w:val="bottom"/>
            <w:tcBorders>
              <w:top w:val="single" w:sz="8" w:color="DDDDDD"/>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2"/>
                <w:szCs w:val="22"/>
                <w:color w:val="auto"/>
              </w:rPr>
            </w:pPr>
          </w:p>
        </w:tc>
        <w:tc>
          <w:tcPr>
            <w:tcW w:w="40" w:type="dxa"/>
            <w:vAlign w:val="bottom"/>
            <w:tcBorders>
              <w:top w:val="single" w:sz="8" w:color="DDDDDD"/>
            </w:tcBorders>
          </w:tcPr>
          <w:p>
            <w:pPr>
              <w:spacing w:after="0"/>
              <w:rPr>
                <w:sz w:val="22"/>
                <w:szCs w:val="22"/>
                <w:color w:val="auto"/>
              </w:rPr>
            </w:pPr>
          </w:p>
        </w:tc>
        <w:tc>
          <w:tcPr>
            <w:tcW w:w="20" w:type="dxa"/>
            <w:vAlign w:val="bottom"/>
            <w:tcBorders>
              <w:top w:val="single" w:sz="8" w:color="DDDDDD"/>
            </w:tcBorders>
          </w:tcPr>
          <w:p>
            <w:pPr>
              <w:spacing w:after="0"/>
              <w:rPr>
                <w:sz w:val="22"/>
                <w:szCs w:val="22"/>
                <w:color w:val="auto"/>
              </w:rPr>
            </w:pPr>
          </w:p>
        </w:tc>
        <w:tc>
          <w:tcPr>
            <w:tcW w:w="160" w:type="dxa"/>
            <w:vAlign w:val="bottom"/>
            <w:tcBorders>
              <w:top w:val="single" w:sz="8" w:color="DDDDDD"/>
            </w:tcBorders>
          </w:tcPr>
          <w:p>
            <w:pPr>
              <w:spacing w:after="0"/>
              <w:rPr>
                <w:sz w:val="22"/>
                <w:szCs w:val="22"/>
                <w:color w:val="auto"/>
              </w:rPr>
            </w:pPr>
          </w:p>
        </w:tc>
        <w:tc>
          <w:tcPr>
            <w:tcW w:w="1020" w:type="dxa"/>
            <w:vAlign w:val="bottom"/>
            <w:tcBorders>
              <w:top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top w:val="single" w:sz="8" w:color="DDDDDD"/>
            </w:tcBorders>
          </w:tcPr>
          <w:p>
            <w:pPr>
              <w:spacing w:after="0"/>
              <w:rPr>
                <w:sz w:val="22"/>
                <w:szCs w:val="22"/>
                <w:color w:val="auto"/>
              </w:rPr>
            </w:pPr>
          </w:p>
        </w:tc>
        <w:tc>
          <w:tcPr>
            <w:tcW w:w="40" w:type="dxa"/>
            <w:vAlign w:val="bottom"/>
            <w:tcBorders>
              <w:top w:val="single" w:sz="8" w:color="DDDDDD"/>
            </w:tcBorders>
          </w:tcPr>
          <w:p>
            <w:pPr>
              <w:spacing w:after="0"/>
              <w:rPr>
                <w:sz w:val="22"/>
                <w:szCs w:val="22"/>
                <w:color w:val="auto"/>
              </w:rPr>
            </w:pPr>
          </w:p>
        </w:tc>
        <w:tc>
          <w:tcPr>
            <w:tcW w:w="20" w:type="dxa"/>
            <w:vAlign w:val="bottom"/>
            <w:tcBorders>
              <w:top w:val="single" w:sz="8" w:color="DDDDDD"/>
            </w:tcBorders>
          </w:tcPr>
          <w:p>
            <w:pPr>
              <w:spacing w:after="0"/>
              <w:rPr>
                <w:sz w:val="22"/>
                <w:szCs w:val="22"/>
                <w:color w:val="auto"/>
              </w:rPr>
            </w:pPr>
          </w:p>
        </w:tc>
        <w:tc>
          <w:tcPr>
            <w:tcW w:w="180" w:type="dxa"/>
            <w:vAlign w:val="bottom"/>
            <w:tcBorders>
              <w:top w:val="single" w:sz="8" w:color="DDDDDD"/>
            </w:tcBorders>
          </w:tcPr>
          <w:p>
            <w:pPr>
              <w:spacing w:after="0"/>
              <w:rPr>
                <w:sz w:val="22"/>
                <w:szCs w:val="22"/>
                <w:color w:val="auto"/>
              </w:rPr>
            </w:pPr>
          </w:p>
        </w:tc>
        <w:tc>
          <w:tcPr>
            <w:tcW w:w="1100" w:type="dxa"/>
            <w:vAlign w:val="bottom"/>
            <w:tcBorders>
              <w:top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Borders>
              <w:top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60" w:type="dxa"/>
            <w:vAlign w:val="bottom"/>
            <w:tcBorders>
              <w:right w:val="single" w:sz="8" w:color="DDDDDD"/>
            </w:tcBorders>
          </w:tcPr>
          <w:p>
            <w:pPr>
              <w:spacing w:after="0"/>
              <w:rPr>
                <w:sz w:val="24"/>
                <w:szCs w:val="24"/>
                <w:color w:val="auto"/>
              </w:rPr>
            </w:pPr>
          </w:p>
        </w:tc>
        <w:tc>
          <w:tcPr>
            <w:tcW w:w="2780" w:type="dxa"/>
            <w:vAlign w:val="bottom"/>
            <w:tcBorders>
              <w:bottom w:val="single" w:sz="8" w:color="DDDDDD"/>
            </w:tcBorders>
            <w:gridSpan w:val="1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1"/>
                <w:szCs w:val="11"/>
                <w:color w:val="auto"/>
              </w:rPr>
              <w:t>(3)</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8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02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2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restructuring</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Charges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rPr>
              <w:t>(Reversals),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60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gridSpan w:val="2"/>
            <w:vMerge w:val="restart"/>
          </w:tcPr>
          <w:p>
            <w:pPr>
              <w:spacing w:after="0"/>
              <w:rPr>
                <w:sz w:val="14"/>
                <w:szCs w:val="14"/>
                <w:color w:val="auto"/>
              </w:rPr>
            </w:pPr>
          </w:p>
        </w:tc>
        <w:tc>
          <w:tcPr>
            <w:tcW w:w="260" w:type="dxa"/>
            <w:vAlign w:val="bottom"/>
            <w:gridSpan w:val="3"/>
            <w:vMerge w:val="restart"/>
          </w:tcPr>
          <w:p>
            <w:pPr>
              <w:spacing w:after="0"/>
              <w:rPr>
                <w:sz w:val="14"/>
                <w:szCs w:val="14"/>
                <w:color w:val="auto"/>
              </w:rPr>
            </w:pPr>
          </w:p>
        </w:tc>
        <w:tc>
          <w:tcPr>
            <w:tcW w:w="140" w:type="dxa"/>
            <w:vAlign w:val="bottom"/>
            <w:gridSpan w:val="2"/>
            <w:vMerge w:val="restart"/>
          </w:tcPr>
          <w:p>
            <w:pPr>
              <w:spacing w:after="0"/>
              <w:rPr>
                <w:sz w:val="14"/>
                <w:szCs w:val="14"/>
                <w:color w:val="auto"/>
              </w:rPr>
            </w:pPr>
          </w:p>
        </w:tc>
        <w:tc>
          <w:tcPr>
            <w:tcW w:w="460" w:type="dxa"/>
            <w:vAlign w:val="bottom"/>
            <w:gridSpan w:val="2"/>
            <w:vMerge w:val="restart"/>
          </w:tcPr>
          <w:p>
            <w:pPr>
              <w:spacing w:after="0"/>
              <w:rPr>
                <w:sz w:val="14"/>
                <w:szCs w:val="14"/>
                <w:color w:val="auto"/>
              </w:rPr>
            </w:pPr>
          </w:p>
        </w:tc>
        <w:tc>
          <w:tcPr>
            <w:tcW w:w="80" w:type="dxa"/>
            <w:vAlign w:val="bottom"/>
            <w:gridSpan w:val="2"/>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gridSpan w:val="2"/>
            <w:vMerge w:val="restart"/>
          </w:tcPr>
          <w:p>
            <w:pPr>
              <w:spacing w:after="0"/>
              <w:rPr>
                <w:sz w:val="14"/>
                <w:szCs w:val="14"/>
                <w:color w:val="auto"/>
              </w:rPr>
            </w:pPr>
          </w:p>
        </w:tc>
        <w:tc>
          <w:tcPr>
            <w:tcW w:w="1320" w:type="dxa"/>
            <w:vAlign w:val="bottom"/>
            <w:gridSpan w:val="2"/>
            <w:vMerge w:val="restart"/>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January 1, 2022</w:t>
            </w:r>
          </w:p>
        </w:tc>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center"/>
              <w:ind w:right="128"/>
              <w:spacing w:after="0" w:line="206"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vMerge w:val="restart"/>
          </w:tcPr>
          <w:p>
            <w:pPr>
              <w:jc w:val="right"/>
              <w:ind w:right="88"/>
              <w:spacing w:after="0" w:line="206" w:lineRule="exact"/>
              <w:rPr>
                <w:sz w:val="20"/>
                <w:szCs w:val="20"/>
                <w:color w:val="auto"/>
              </w:rPr>
            </w:pPr>
            <w:r>
              <w:rPr>
                <w:rFonts w:ascii="Times New Roman" w:cs="Times New Roman" w:eastAsia="Times New Roman" w:hAnsi="Times New Roman"/>
                <w:sz w:val="18"/>
                <w:szCs w:val="18"/>
                <w:b w:val="1"/>
                <w:bCs w:val="1"/>
                <w:color w:val="auto"/>
              </w:rPr>
              <w:t>Charges</w:t>
            </w:r>
          </w:p>
        </w:tc>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28"/>
              <w:spacing w:after="0" w:line="206" w:lineRule="exact"/>
              <w:rPr>
                <w:sz w:val="20"/>
                <w:szCs w:val="20"/>
                <w:color w:val="auto"/>
              </w:rPr>
            </w:pPr>
            <w:r>
              <w:rPr>
                <w:rFonts w:ascii="Times New Roman" w:cs="Times New Roman" w:eastAsia="Times New Roman" w:hAnsi="Times New Roman"/>
                <w:sz w:val="18"/>
                <w:szCs w:val="18"/>
                <w:b w:val="1"/>
                <w:bCs w:val="1"/>
                <w:color w:val="auto"/>
                <w:w w:val="98"/>
              </w:rPr>
              <w:t>Payments</w:t>
            </w:r>
          </w:p>
        </w:tc>
        <w:tc>
          <w:tcPr>
            <w:tcW w:w="4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center"/>
              <w:ind w:right="148"/>
              <w:spacing w:after="0" w:line="206" w:lineRule="exact"/>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260" w:type="dxa"/>
            <w:vAlign w:val="bottom"/>
            <w:gridSpan w:val="3"/>
            <w:vMerge w:val="continue"/>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tcBorders>
              <w:bottom w:val="single" w:sz="8" w:color="auto"/>
            </w:tcBorders>
            <w:gridSpan w:val="2"/>
            <w:vMerge w:val="continue"/>
          </w:tcPr>
          <w:p>
            <w:pPr>
              <w:spacing w:after="0"/>
              <w:rPr>
                <w:sz w:val="2"/>
                <w:szCs w:val="2"/>
                <w:color w:val="auto"/>
              </w:rPr>
            </w:pPr>
          </w:p>
        </w:tc>
        <w:tc>
          <w:tcPr>
            <w:tcW w:w="1320" w:type="dxa"/>
            <w:vAlign w:val="bottom"/>
            <w:tcBorders>
              <w:bottom w:val="single" w:sz="8" w:color="auto"/>
            </w:tcBorders>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Frutarom Integration Initiative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780" w:type="dxa"/>
            <w:vAlign w:val="bottom"/>
            <w:tcBorders>
              <w:top w:val="single" w:sz="8" w:color="auto"/>
              <w:bottom w:val="single" w:sz="8" w:color="DDDDDD"/>
            </w:tcBorders>
            <w:gridSpan w:val="3"/>
          </w:tcPr>
          <w:p>
            <w:pPr>
              <w:spacing w:after="0"/>
              <w:rPr>
                <w:sz w:val="2"/>
                <w:szCs w:val="2"/>
                <w:color w:val="auto"/>
              </w:rPr>
            </w:pPr>
          </w:p>
        </w:tc>
        <w:tc>
          <w:tcPr>
            <w:tcW w:w="260" w:type="dxa"/>
            <w:vAlign w:val="bottom"/>
            <w:tcBorders>
              <w:top w:val="single" w:sz="8" w:color="auto"/>
              <w:bottom w:val="single" w:sz="8" w:color="DDDDDD"/>
            </w:tcBorders>
            <w:gridSpan w:val="3"/>
          </w:tcPr>
          <w:p>
            <w:pPr>
              <w:spacing w:after="0"/>
              <w:rPr>
                <w:sz w:val="2"/>
                <w:szCs w:val="2"/>
                <w:color w:val="auto"/>
              </w:rPr>
            </w:pPr>
          </w:p>
        </w:tc>
        <w:tc>
          <w:tcPr>
            <w:tcW w:w="140" w:type="dxa"/>
            <w:vAlign w:val="bottom"/>
            <w:tcBorders>
              <w:top w:val="single" w:sz="8" w:color="auto"/>
              <w:bottom w:val="single" w:sz="8" w:color="DDDDDD"/>
            </w:tcBorders>
            <w:gridSpan w:val="2"/>
          </w:tcPr>
          <w:p>
            <w:pPr>
              <w:spacing w:after="0"/>
              <w:rPr>
                <w:sz w:val="2"/>
                <w:szCs w:val="2"/>
                <w:color w:val="auto"/>
              </w:rPr>
            </w:pPr>
          </w:p>
        </w:tc>
        <w:tc>
          <w:tcPr>
            <w:tcW w:w="460" w:type="dxa"/>
            <w:vAlign w:val="bottom"/>
            <w:tcBorders>
              <w:bottom w:val="single" w:sz="8" w:color="DDDDDD"/>
            </w:tcBorders>
            <w:gridSpan w:val="2"/>
          </w:tcPr>
          <w:p>
            <w:pPr>
              <w:spacing w:after="0"/>
              <w:rPr>
                <w:sz w:val="2"/>
                <w:szCs w:val="2"/>
                <w:color w:val="auto"/>
              </w:rPr>
            </w:pPr>
          </w:p>
        </w:tc>
        <w:tc>
          <w:tcPr>
            <w:tcW w:w="80" w:type="dxa"/>
            <w:vAlign w:val="bottom"/>
            <w:tcBorders>
              <w:bottom w:val="single" w:sz="8" w:color="DDDDDD"/>
            </w:tcBorders>
            <w:gridSpan w:val="2"/>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gridSpan w:val="3"/>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114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20" w:type="dxa"/>
            <w:vAlign w:val="bottom"/>
            <w:tcBorders>
              <w:bottom w:val="single" w:sz="8" w:color="DDDDDD"/>
            </w:tcBorders>
            <w:gridSpan w:val="3"/>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20" w:type="dxa"/>
            <w:vAlign w:val="bottom"/>
            <w:tcBorders>
              <w:bottom w:val="single" w:sz="8" w:color="DDDDDD"/>
            </w:tcBorders>
            <w:gridSpan w:val="2"/>
          </w:tcPr>
          <w:p>
            <w:pPr>
              <w:spacing w:after="0"/>
              <w:rPr>
                <w:sz w:val="2"/>
                <w:szCs w:val="2"/>
                <w:color w:val="auto"/>
              </w:rPr>
            </w:pPr>
          </w:p>
        </w:tc>
        <w:tc>
          <w:tcPr>
            <w:tcW w:w="7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20" w:type="dxa"/>
            <w:vAlign w:val="bottom"/>
            <w:tcBorders>
              <w:bottom w:val="single" w:sz="8" w:color="DDDDDD"/>
            </w:tcBorders>
            <w:gridSpan w:val="3"/>
          </w:tcPr>
          <w:p>
            <w:pPr>
              <w:spacing w:after="0"/>
              <w:rPr>
                <w:sz w:val="2"/>
                <w:szCs w:val="2"/>
                <w:color w:val="auto"/>
              </w:rPr>
            </w:pPr>
          </w:p>
        </w:tc>
        <w:tc>
          <w:tcPr>
            <w:tcW w:w="9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40" w:type="dxa"/>
            <w:vAlign w:val="bottom"/>
            <w:tcBorders>
              <w:bottom w:val="single" w:sz="8" w:color="DDDDDD"/>
            </w:tcBorders>
            <w:gridSpan w:val="3"/>
          </w:tcPr>
          <w:p>
            <w:pPr>
              <w:spacing w:after="0"/>
              <w:rPr>
                <w:sz w:val="2"/>
                <w:szCs w:val="2"/>
                <w:color w:val="auto"/>
              </w:rPr>
            </w:pPr>
          </w:p>
        </w:tc>
        <w:tc>
          <w:tcPr>
            <w:tcW w:w="1100" w:type="dxa"/>
            <w:vAlign w:val="bottom"/>
            <w:tcBorders>
              <w:bottom w:val="single" w:sz="8" w:color="DDDDDD"/>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0" w:type="dxa"/>
            <w:vAlign w:val="bottom"/>
            <w:tcBorders>
              <w:right w:val="single" w:sz="8" w:color="DDDDDD"/>
            </w:tcBorders>
            <w:shd w:val="clear" w:color="auto" w:fill="DDDDDD"/>
          </w:tcPr>
          <w:p>
            <w:pPr>
              <w:spacing w:after="0"/>
              <w:rPr>
                <w:sz w:val="19"/>
                <w:szCs w:val="19"/>
                <w:color w:val="auto"/>
              </w:rPr>
            </w:pPr>
          </w:p>
        </w:tc>
        <w:tc>
          <w:tcPr>
            <w:tcW w:w="2780" w:type="dxa"/>
            <w:vAlign w:val="bottom"/>
            <w:gridSpan w:val="14"/>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40" w:type="dxa"/>
            <w:vAlign w:val="bottom"/>
            <w:gridSpan w:val="3"/>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Fixed asset write down</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right w:val="single" w:sz="8" w:color="DDDDDD"/>
            </w:tcBorders>
            <w:shd w:val="clear" w:color="auto" w:fill="DDDDDD"/>
          </w:tcPr>
          <w:p>
            <w:pPr>
              <w:spacing w:after="0"/>
              <w:rPr>
                <w:sz w:val="19"/>
                <w:szCs w:val="19"/>
                <w:color w:val="auto"/>
              </w:rPr>
            </w:pPr>
          </w:p>
        </w:tc>
        <w:tc>
          <w:tcPr>
            <w:tcW w:w="2780" w:type="dxa"/>
            <w:vAlign w:val="bottom"/>
            <w:tcBorders>
              <w:top w:val="single" w:sz="8" w:color="DDDDDD"/>
            </w:tcBorders>
            <w:gridSpan w:val="14"/>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1"/>
                <w:szCs w:val="11"/>
                <w:color w:val="auto"/>
              </w:rPr>
              <w:t>(1)</w:t>
            </w: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DDDDD"/>
            </w:tcBorders>
            <w:shd w:val="clear" w:color="auto" w:fill="DDDDDD"/>
          </w:tcPr>
          <w:p>
            <w:pPr>
              <w:spacing w:after="0"/>
              <w:rPr>
                <w:sz w:val="19"/>
                <w:szCs w:val="19"/>
                <w:color w:val="auto"/>
              </w:rPr>
            </w:pPr>
          </w:p>
        </w:tc>
        <w:tc>
          <w:tcPr>
            <w:tcW w:w="11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DDDDD"/>
            </w:tcBorders>
            <w:shd w:val="clear" w:color="auto" w:fill="DDDDDD"/>
          </w:tcPr>
          <w:p>
            <w:pPr>
              <w:spacing w:after="0"/>
              <w:rPr>
                <w:sz w:val="19"/>
                <w:szCs w:val="19"/>
                <w:color w:val="auto"/>
              </w:rPr>
            </w:pPr>
          </w:p>
        </w:tc>
        <w:tc>
          <w:tcPr>
            <w:tcW w:w="11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DDDDD"/>
            </w:tcBorders>
            <w:shd w:val="clear" w:color="auto" w:fill="DDDDDD"/>
          </w:tcPr>
          <w:p>
            <w:pPr>
              <w:spacing w:after="0"/>
              <w:rPr>
                <w:sz w:val="19"/>
                <w:szCs w:val="19"/>
                <w:color w:val="auto"/>
              </w:rPr>
            </w:pPr>
          </w:p>
        </w:tc>
        <w:tc>
          <w:tcPr>
            <w:tcW w:w="7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DDDDD"/>
            </w:tcBorders>
            <w:shd w:val="clear" w:color="auto" w:fill="DDDDDD"/>
          </w:tcPr>
          <w:p>
            <w:pPr>
              <w:spacing w:after="0"/>
              <w:rPr>
                <w:sz w:val="19"/>
                <w:szCs w:val="19"/>
                <w:color w:val="auto"/>
              </w:rPr>
            </w:pPr>
          </w:p>
        </w:tc>
        <w:tc>
          <w:tcPr>
            <w:tcW w:w="9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DDDDD"/>
            </w:tcBorders>
            <w:shd w:val="clear" w:color="auto" w:fill="DDDDDD"/>
          </w:tcPr>
          <w:p>
            <w:pPr>
              <w:spacing w:after="0"/>
              <w:rPr>
                <w:sz w:val="19"/>
                <w:szCs w:val="19"/>
                <w:color w:val="auto"/>
              </w:rPr>
            </w:pPr>
          </w:p>
        </w:tc>
        <w:tc>
          <w:tcPr>
            <w:tcW w:w="11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2019 Severance Program</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780" w:type="dxa"/>
            <w:vAlign w:val="bottom"/>
            <w:tcBorders>
              <w:top w:val="single" w:sz="8" w:color="auto"/>
              <w:bottom w:val="single" w:sz="8" w:color="DDDDDD"/>
            </w:tcBorders>
            <w:gridSpan w:val="3"/>
          </w:tcPr>
          <w:p>
            <w:pPr>
              <w:spacing w:after="0"/>
              <w:rPr>
                <w:sz w:val="2"/>
                <w:szCs w:val="2"/>
                <w:color w:val="auto"/>
              </w:rPr>
            </w:pPr>
          </w:p>
        </w:tc>
        <w:tc>
          <w:tcPr>
            <w:tcW w:w="260" w:type="dxa"/>
            <w:vAlign w:val="bottom"/>
            <w:tcBorders>
              <w:bottom w:val="single" w:sz="8" w:color="DDDDDD"/>
            </w:tcBorders>
            <w:gridSpan w:val="3"/>
          </w:tcPr>
          <w:p>
            <w:pPr>
              <w:spacing w:after="0"/>
              <w:rPr>
                <w:sz w:val="2"/>
                <w:szCs w:val="2"/>
                <w:color w:val="auto"/>
              </w:rPr>
            </w:pPr>
          </w:p>
        </w:tc>
        <w:tc>
          <w:tcPr>
            <w:tcW w:w="600" w:type="dxa"/>
            <w:vAlign w:val="bottom"/>
            <w:tcBorders>
              <w:bottom w:val="single" w:sz="8" w:color="DDDDDD"/>
            </w:tcBorders>
            <w:gridSpan w:val="4"/>
          </w:tcPr>
          <w:p>
            <w:pPr>
              <w:spacing w:after="0"/>
              <w:rPr>
                <w:sz w:val="2"/>
                <w:szCs w:val="2"/>
                <w:color w:val="auto"/>
              </w:rPr>
            </w:pPr>
          </w:p>
        </w:tc>
        <w:tc>
          <w:tcPr>
            <w:tcW w:w="80" w:type="dxa"/>
            <w:vAlign w:val="bottom"/>
            <w:tcBorders>
              <w:bottom w:val="single" w:sz="8" w:color="DDDDDD"/>
            </w:tcBorders>
            <w:gridSpan w:val="2"/>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gridSpan w:val="3"/>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114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7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9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1100" w:type="dxa"/>
            <w:vAlign w:val="bottom"/>
            <w:tcBorders>
              <w:bottom w:val="single" w:sz="8" w:color="DDDDDD"/>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0" w:type="dxa"/>
            <w:vAlign w:val="bottom"/>
            <w:tcBorders>
              <w:right w:val="single" w:sz="8" w:color="DDDDDD"/>
            </w:tcBorders>
            <w:shd w:val="clear" w:color="auto" w:fill="DDDDDD"/>
          </w:tcPr>
          <w:p>
            <w:pPr>
              <w:spacing w:after="0"/>
              <w:rPr>
                <w:sz w:val="19"/>
                <w:szCs w:val="19"/>
                <w:color w:val="auto"/>
              </w:rPr>
            </w:pPr>
          </w:p>
        </w:tc>
        <w:tc>
          <w:tcPr>
            <w:tcW w:w="2780" w:type="dxa"/>
            <w:vAlign w:val="bottom"/>
            <w:gridSpan w:val="14"/>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8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Other Restructuring Charges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40" w:type="dxa"/>
            <w:vAlign w:val="bottom"/>
            <w:tcBorders>
              <w:top w:val="single" w:sz="8" w:color="auto"/>
              <w:bottom w:val="single" w:sz="8" w:color="DDDDDD"/>
            </w:tcBorders>
            <w:gridSpan w:val="6"/>
          </w:tcPr>
          <w:p>
            <w:pPr>
              <w:spacing w:after="0"/>
              <w:rPr>
                <w:sz w:val="2"/>
                <w:szCs w:val="2"/>
                <w:color w:val="auto"/>
              </w:rPr>
            </w:pPr>
          </w:p>
        </w:tc>
        <w:tc>
          <w:tcPr>
            <w:tcW w:w="600" w:type="dxa"/>
            <w:vAlign w:val="bottom"/>
            <w:tcBorders>
              <w:bottom w:val="single" w:sz="8" w:color="DDDDDD"/>
            </w:tcBorders>
            <w:gridSpan w:val="4"/>
          </w:tcPr>
          <w:p>
            <w:pPr>
              <w:spacing w:after="0"/>
              <w:rPr>
                <w:sz w:val="2"/>
                <w:szCs w:val="2"/>
                <w:color w:val="auto"/>
              </w:rPr>
            </w:pPr>
          </w:p>
        </w:tc>
        <w:tc>
          <w:tcPr>
            <w:tcW w:w="80" w:type="dxa"/>
            <w:vAlign w:val="bottom"/>
            <w:tcBorders>
              <w:bottom w:val="single" w:sz="8" w:color="DDDDDD"/>
            </w:tcBorders>
            <w:gridSpan w:val="2"/>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gridSpan w:val="3"/>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114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7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9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1100" w:type="dxa"/>
            <w:vAlign w:val="bottom"/>
            <w:tcBorders>
              <w:bottom w:val="single" w:sz="8" w:color="DDDDDD"/>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right w:val="single" w:sz="8" w:color="DDDDDD"/>
            </w:tcBorders>
            <w:shd w:val="clear" w:color="auto" w:fill="DDDDDD"/>
          </w:tcPr>
          <w:p>
            <w:pPr>
              <w:spacing w:after="0"/>
              <w:rPr>
                <w:sz w:val="19"/>
                <w:szCs w:val="19"/>
                <w:color w:val="auto"/>
              </w:rPr>
            </w:pPr>
          </w:p>
        </w:tc>
        <w:tc>
          <w:tcPr>
            <w:tcW w:w="2720" w:type="dxa"/>
            <w:vAlign w:val="bottom"/>
            <w:gridSpan w:val="12"/>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Severance</w:t>
            </w: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DDDDDD"/>
            </w:tcBorders>
            <w:shd w:val="clear" w:color="auto" w:fill="DDDDDD"/>
          </w:tcPr>
          <w:p>
            <w:pPr>
              <w:spacing w:after="0"/>
              <w:rPr>
                <w:sz w:val="19"/>
                <w:szCs w:val="19"/>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60" w:type="dxa"/>
            <w:vAlign w:val="bottom"/>
            <w:tcBorders>
              <w:bottom w:val="single" w:sz="8" w:color="DDDDDD"/>
            </w:tcBorders>
            <w:shd w:val="clear" w:color="auto" w:fill="DDDDDD"/>
          </w:tcPr>
          <w:p>
            <w:pPr>
              <w:spacing w:after="0"/>
              <w:rPr>
                <w:sz w:val="19"/>
                <w:szCs w:val="19"/>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highlight w:val="white"/>
              </w:rPr>
              <w:t>N&amp;B Merger Restructuring Liability</w:t>
            </w:r>
          </w:p>
        </w:tc>
        <w:tc>
          <w:tcPr>
            <w:tcW w:w="4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540" w:type="dxa"/>
            <w:vAlign w:val="bottom"/>
            <w:tcBorders>
              <w:top w:val="single" w:sz="8" w:color="auto"/>
              <w:bottom w:val="single" w:sz="8" w:color="DDDDDD"/>
            </w:tcBorders>
          </w:tcPr>
          <w:p>
            <w:pPr>
              <w:spacing w:after="0"/>
              <w:rPr>
                <w:sz w:val="2"/>
                <w:szCs w:val="2"/>
                <w:color w:val="auto"/>
              </w:rPr>
            </w:pPr>
          </w:p>
        </w:tc>
        <w:tc>
          <w:tcPr>
            <w:tcW w:w="60" w:type="dxa"/>
            <w:vAlign w:val="bottom"/>
            <w:tcBorders>
              <w:top w:val="single" w:sz="8" w:color="auto"/>
              <w:bottom w:val="single" w:sz="8" w:color="DDDDDD"/>
            </w:tcBorders>
          </w:tcPr>
          <w:p>
            <w:pPr>
              <w:spacing w:after="0"/>
              <w:rPr>
                <w:sz w:val="2"/>
                <w:szCs w:val="2"/>
                <w:color w:val="auto"/>
              </w:rPr>
            </w:pPr>
          </w:p>
        </w:tc>
        <w:tc>
          <w:tcPr>
            <w:tcW w:w="180" w:type="dxa"/>
            <w:vAlign w:val="bottom"/>
            <w:tcBorders>
              <w:top w:val="single" w:sz="8" w:color="auto"/>
              <w:bottom w:val="single" w:sz="8" w:color="DDDDDD"/>
            </w:tcBorders>
          </w:tcPr>
          <w:p>
            <w:pPr>
              <w:spacing w:after="0"/>
              <w:rPr>
                <w:sz w:val="2"/>
                <w:szCs w:val="2"/>
                <w:color w:val="auto"/>
              </w:rPr>
            </w:pPr>
          </w:p>
        </w:tc>
        <w:tc>
          <w:tcPr>
            <w:tcW w:w="40" w:type="dxa"/>
            <w:vAlign w:val="bottom"/>
            <w:tcBorders>
              <w:top w:val="single" w:sz="8" w:color="auto"/>
              <w:bottom w:val="single" w:sz="8" w:color="DDDDDD"/>
            </w:tcBorders>
          </w:tcPr>
          <w:p>
            <w:pPr>
              <w:spacing w:after="0"/>
              <w:rPr>
                <w:sz w:val="2"/>
                <w:szCs w:val="2"/>
                <w:color w:val="auto"/>
              </w:rPr>
            </w:pPr>
          </w:p>
        </w:tc>
        <w:tc>
          <w:tcPr>
            <w:tcW w:w="160" w:type="dxa"/>
            <w:vAlign w:val="bottom"/>
            <w:tcBorders>
              <w:top w:val="single" w:sz="8" w:color="auto"/>
              <w:bottom w:val="single" w:sz="8" w:color="DDDDDD"/>
            </w:tcBorders>
          </w:tcPr>
          <w:p>
            <w:pPr>
              <w:spacing w:after="0"/>
              <w:rPr>
                <w:sz w:val="2"/>
                <w:szCs w:val="2"/>
                <w:color w:val="auto"/>
              </w:rPr>
            </w:pPr>
          </w:p>
        </w:tc>
        <w:tc>
          <w:tcPr>
            <w:tcW w:w="60" w:type="dxa"/>
            <w:vAlign w:val="bottom"/>
            <w:tcBorders>
              <w:top w:val="single" w:sz="8" w:color="auto"/>
              <w:bottom w:val="single" w:sz="8" w:color="DDDDDD"/>
            </w:tcBorders>
          </w:tcPr>
          <w:p>
            <w:pPr>
              <w:spacing w:after="0"/>
              <w:rPr>
                <w:sz w:val="2"/>
                <w:szCs w:val="2"/>
                <w:color w:val="auto"/>
              </w:rPr>
            </w:pPr>
          </w:p>
        </w:tc>
        <w:tc>
          <w:tcPr>
            <w:tcW w:w="40" w:type="dxa"/>
            <w:vAlign w:val="bottom"/>
            <w:tcBorders>
              <w:top w:val="single" w:sz="8" w:color="auto"/>
              <w:bottom w:val="single" w:sz="8" w:color="DDDDDD"/>
            </w:tcBorders>
          </w:tcPr>
          <w:p>
            <w:pPr>
              <w:spacing w:after="0"/>
              <w:rPr>
                <w:sz w:val="2"/>
                <w:szCs w:val="2"/>
                <w:color w:val="auto"/>
              </w:rPr>
            </w:pPr>
          </w:p>
        </w:tc>
        <w:tc>
          <w:tcPr>
            <w:tcW w:w="100" w:type="dxa"/>
            <w:vAlign w:val="bottom"/>
            <w:tcBorders>
              <w:top w:val="single" w:sz="8" w:color="auto"/>
              <w:bottom w:val="single" w:sz="8" w:color="DDDDDD"/>
            </w:tcBorders>
          </w:tcPr>
          <w:p>
            <w:pPr>
              <w:spacing w:after="0"/>
              <w:rPr>
                <w:sz w:val="2"/>
                <w:szCs w:val="2"/>
                <w:color w:val="auto"/>
              </w:rPr>
            </w:pPr>
          </w:p>
        </w:tc>
        <w:tc>
          <w:tcPr>
            <w:tcW w:w="40" w:type="dxa"/>
            <w:vAlign w:val="bottom"/>
            <w:tcBorders>
              <w:top w:val="single" w:sz="8" w:color="auto"/>
              <w:bottom w:val="single" w:sz="8" w:color="DDDDDD"/>
            </w:tcBorders>
          </w:tcPr>
          <w:p>
            <w:pPr>
              <w:spacing w:after="0"/>
              <w:rPr>
                <w:sz w:val="2"/>
                <w:szCs w:val="2"/>
                <w:color w:val="auto"/>
              </w:rPr>
            </w:pPr>
          </w:p>
        </w:tc>
        <w:tc>
          <w:tcPr>
            <w:tcW w:w="420" w:type="dxa"/>
            <w:vAlign w:val="bottom"/>
            <w:tcBorders>
              <w:top w:val="single" w:sz="8" w:color="auto"/>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114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11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7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60" w:type="dxa"/>
            <w:vAlign w:val="bottom"/>
            <w:tcBorders>
              <w:bottom w:val="single" w:sz="8" w:color="DDDDDD"/>
            </w:tcBorders>
          </w:tcPr>
          <w:p>
            <w:pPr>
              <w:spacing w:after="0"/>
              <w:rPr>
                <w:sz w:val="2"/>
                <w:szCs w:val="2"/>
                <w:color w:val="auto"/>
              </w:rPr>
            </w:pPr>
          </w:p>
        </w:tc>
        <w:tc>
          <w:tcPr>
            <w:tcW w:w="98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80" w:type="dxa"/>
            <w:vAlign w:val="bottom"/>
            <w:tcBorders>
              <w:bottom w:val="single" w:sz="8" w:color="DDDDDD"/>
            </w:tcBorders>
          </w:tcPr>
          <w:p>
            <w:pPr>
              <w:spacing w:after="0"/>
              <w:rPr>
                <w:sz w:val="2"/>
                <w:szCs w:val="2"/>
                <w:color w:val="auto"/>
              </w:rPr>
            </w:pPr>
          </w:p>
        </w:tc>
        <w:tc>
          <w:tcPr>
            <w:tcW w:w="1100" w:type="dxa"/>
            <w:vAlign w:val="bottom"/>
            <w:tcBorders>
              <w:bottom w:val="single" w:sz="8" w:color="DDDDDD"/>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0" w:type="dxa"/>
            <w:vAlign w:val="bottom"/>
            <w:tcBorders>
              <w:right w:val="single" w:sz="8" w:color="DDDDDD"/>
            </w:tcBorders>
            <w:shd w:val="clear" w:color="auto" w:fill="DDDDDD"/>
          </w:tcPr>
          <w:p>
            <w:pPr>
              <w:spacing w:after="0"/>
              <w:rPr>
                <w:sz w:val="19"/>
                <w:szCs w:val="19"/>
                <w:color w:val="auto"/>
              </w:rPr>
            </w:pPr>
          </w:p>
        </w:tc>
        <w:tc>
          <w:tcPr>
            <w:tcW w:w="2780" w:type="dxa"/>
            <w:vAlign w:val="bottom"/>
            <w:gridSpan w:val="14"/>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Severance</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1"/>
                <w:szCs w:val="11"/>
                <w:color w:val="auto"/>
              </w:rPr>
              <w:t>(3)</w:t>
            </w:r>
          </w:p>
        </w:tc>
        <w:tc>
          <w:tcPr>
            <w:tcW w:w="180" w:type="dxa"/>
            <w:vAlign w:val="bottom"/>
          </w:tcPr>
          <w:p>
            <w:pPr>
              <w:spacing w:after="0"/>
              <w:rPr>
                <w:sz w:val="22"/>
                <w:szCs w:val="2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0" w:type="dxa"/>
            <w:vAlign w:val="bottom"/>
            <w:tcBorders>
              <w:top w:val="single" w:sz="8" w:color="DDDDDD"/>
            </w:tcBorders>
            <w:shd w:val="clear" w:color="auto" w:fill="DDDDDD"/>
          </w:tcPr>
          <w:p>
            <w:pPr>
              <w:spacing w:after="0"/>
              <w:rPr>
                <w:sz w:val="20"/>
                <w:szCs w:val="20"/>
                <w:color w:val="auto"/>
              </w:rPr>
            </w:pPr>
          </w:p>
        </w:tc>
        <w:tc>
          <w:tcPr>
            <w:tcW w:w="60" w:type="dxa"/>
            <w:vAlign w:val="bottom"/>
            <w:tcBorders>
              <w:top w:val="single" w:sz="8" w:color="DDDDDD"/>
              <w:right w:val="single" w:sz="8" w:color="DDDDDD"/>
            </w:tcBorders>
            <w:shd w:val="clear" w:color="auto" w:fill="DDDDDD"/>
          </w:tcPr>
          <w:p>
            <w:pPr>
              <w:spacing w:after="0"/>
              <w:rPr>
                <w:sz w:val="20"/>
                <w:szCs w:val="20"/>
                <w:color w:val="auto"/>
              </w:rPr>
            </w:pPr>
          </w:p>
        </w:tc>
        <w:tc>
          <w:tcPr>
            <w:tcW w:w="2780" w:type="dxa"/>
            <w:vAlign w:val="bottom"/>
            <w:tcBorders>
              <w:top w:val="single" w:sz="8" w:color="DDDDDD"/>
            </w:tcBorders>
            <w:gridSpan w:val="14"/>
            <w:shd w:val="clear" w:color="auto" w:fill="DDDDDD"/>
          </w:tcPr>
          <w:p>
            <w:pPr>
              <w:ind w:left="160"/>
              <w:spacing w:after="0"/>
              <w:rPr>
                <w:sz w:val="20"/>
                <w:szCs w:val="20"/>
                <w:color w:val="auto"/>
              </w:rPr>
            </w:pPr>
            <w:r>
              <w:rPr>
                <w:rFonts w:ascii="Times New Roman" w:cs="Times New Roman" w:eastAsia="Times New Roman" w:hAnsi="Times New Roman"/>
                <w:sz w:val="18"/>
                <w:szCs w:val="18"/>
                <w:b w:val="1"/>
                <w:bCs w:val="1"/>
                <w:color w:val="auto"/>
              </w:rPr>
              <w:t>Total restructuring</w:t>
            </w:r>
          </w:p>
        </w:tc>
        <w:tc>
          <w:tcPr>
            <w:tcW w:w="20" w:type="dxa"/>
            <w:vAlign w:val="bottom"/>
            <w:tcBorders>
              <w:top w:val="single" w:sz="8" w:color="auto"/>
            </w:tcBorders>
            <w:shd w:val="clear" w:color="auto" w:fill="DDDDDD"/>
          </w:tcPr>
          <w:p>
            <w:pPr>
              <w:spacing w:after="0"/>
              <w:rPr>
                <w:sz w:val="20"/>
                <w:szCs w:val="20"/>
                <w:color w:val="auto"/>
              </w:rPr>
            </w:pPr>
          </w:p>
        </w:tc>
        <w:tc>
          <w:tcPr>
            <w:tcW w:w="20" w:type="dxa"/>
            <w:vAlign w:val="bottom"/>
            <w:tcBorders>
              <w:top w:val="single" w:sz="8" w:color="auto"/>
            </w:tcBorders>
            <w:shd w:val="clear" w:color="auto" w:fill="DDDDDD"/>
          </w:tcPr>
          <w:p>
            <w:pPr>
              <w:spacing w:after="0"/>
              <w:rPr>
                <w:sz w:val="20"/>
                <w:szCs w:val="20"/>
                <w:color w:val="auto"/>
              </w:rPr>
            </w:pPr>
          </w:p>
        </w:tc>
        <w:tc>
          <w:tcPr>
            <w:tcW w:w="180" w:type="dxa"/>
            <w:vAlign w:val="bottom"/>
            <w:tcBorders>
              <w:top w:val="single" w:sz="8" w:color="auto"/>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40" w:type="dxa"/>
            <w:vAlign w:val="bottom"/>
            <w:tcBorders>
              <w:top w:val="single" w:sz="8" w:color="auto"/>
            </w:tcBorders>
            <w:gridSpan w:val="3"/>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708"/>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-3125470</wp:posOffset>
                </wp:positionV>
                <wp:extent cx="182245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245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246.0999pt" to="145.8pt,-246.0999pt" o:allowincell="f" strokecolor="#FFFFFF" strokeweight="0.876pt"/>
            </w:pict>
          </mc:Fallback>
        </mc:AlternateContent>
      </w:r>
    </w:p>
    <w:p>
      <w:pPr>
        <w:sectPr>
          <w:pgSz w:w="11880" w:h="15480" w:orient="portrait"/>
          <w:cols w:equalWidth="0" w:num="1">
            <w:col w:w="9400"/>
          </w:cols>
          <w:pgMar w:left="1220" w:top="1252" w:right="1260" w:bottom="213"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70" w:lineRule="exact"/>
        <w:rPr>
          <w:sz w:val="20"/>
          <w:szCs w:val="20"/>
          <w:color w:val="auto"/>
        </w:rPr>
      </w:pPr>
    </w:p>
    <w:p>
      <w:pPr>
        <w:ind w:left="340" w:hanging="334"/>
        <w:spacing w:after="0"/>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supplier contract termination costs, consulting and advisory fees.</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charges related to legal settlement costs.</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lease impairment charges and losses incurred from restructuring activities as a result of the Merger with N&amp;B.</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by Segment</w:t>
      </w:r>
    </w:p>
    <w:p>
      <w:pPr>
        <w:spacing w:after="0" w:line="124"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following table summarizes the total amount of costs incurred in connection with these restructuring programs and activities by segment:</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199"/>
        </w:trPr>
        <w:tc>
          <w:tcPr>
            <w:tcW w:w="40" w:type="dxa"/>
            <w:vAlign w:val="bottom"/>
          </w:tcPr>
          <w:p>
            <w:pPr>
              <w:spacing w:after="0"/>
              <w:rPr>
                <w:sz w:val="17"/>
                <w:szCs w:val="17"/>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80" w:type="dxa"/>
            <w:vAlign w:val="bottom"/>
          </w:tcPr>
          <w:p>
            <w:pPr>
              <w:spacing w:after="0"/>
              <w:rPr>
                <w:sz w:val="17"/>
                <w:szCs w:val="17"/>
                <w:color w:val="auto"/>
              </w:rPr>
            </w:pPr>
          </w:p>
        </w:tc>
        <w:tc>
          <w:tcPr>
            <w:tcW w:w="920" w:type="dxa"/>
            <w:vAlign w:val="bottom"/>
          </w:tcPr>
          <w:p>
            <w:pPr>
              <w:jc w:val="right"/>
              <w:ind w:right="32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2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2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394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55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Nourish</w:t>
            </w:r>
          </w:p>
        </w:tc>
        <w:tc>
          <w:tcPr>
            <w:tcW w:w="28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3"/>
        </w:trPr>
        <w:tc>
          <w:tcPr>
            <w:tcW w:w="40" w:type="dxa"/>
            <w:vAlign w:val="bottom"/>
          </w:tcPr>
          <w:p>
            <w:pPr>
              <w:spacing w:after="0"/>
              <w:rPr>
                <w:sz w:val="23"/>
                <w:szCs w:val="23"/>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&amp; Biosciences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4"/>
        </w:trPr>
        <w:tc>
          <w:tcPr>
            <w:tcW w:w="40" w:type="dxa"/>
            <w:vAlign w:val="bottom"/>
            <w:shd w:val="clear" w:color="auto" w:fill="DDDDDD"/>
          </w:tcPr>
          <w:p>
            <w:pPr>
              <w:spacing w:after="0"/>
              <w:rPr>
                <w:sz w:val="23"/>
                <w:szCs w:val="23"/>
                <w:color w:val="auto"/>
              </w:rPr>
            </w:pPr>
          </w:p>
        </w:tc>
        <w:tc>
          <w:tcPr>
            <w:tcW w:w="55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Scent</w:t>
            </w: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3"/>
        </w:trPr>
        <w:tc>
          <w:tcPr>
            <w:tcW w:w="40" w:type="dxa"/>
            <w:vAlign w:val="bottom"/>
            <w:tcBorders>
              <w:bottom w:val="single" w:sz="8" w:color="DDDDDD"/>
            </w:tcBorders>
          </w:tcPr>
          <w:p>
            <w:pPr>
              <w:spacing w:after="0"/>
              <w:rPr>
                <w:sz w:val="23"/>
                <w:szCs w:val="23"/>
                <w:color w:val="auto"/>
              </w:rPr>
            </w:pPr>
          </w:p>
        </w:tc>
        <w:tc>
          <w:tcPr>
            <w:tcW w:w="554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Pharma Solutions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0" w:type="dxa"/>
            <w:vAlign w:val="bottom"/>
            <w:shd w:val="clear" w:color="auto" w:fill="DDDDDD"/>
          </w:tcPr>
          <w:p>
            <w:pPr>
              <w:spacing w:after="0"/>
              <w:rPr>
                <w:sz w:val="22"/>
                <w:szCs w:val="22"/>
                <w:color w:val="auto"/>
              </w:rPr>
            </w:pPr>
          </w:p>
        </w:tc>
        <w:tc>
          <w:tcPr>
            <w:tcW w:w="55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Restructuring and other charges</w:t>
            </w:r>
          </w:p>
        </w:tc>
        <w:tc>
          <w:tcPr>
            <w:tcW w:w="28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3.</w:t>
        <w:tab/>
        <w:t>ACQUISITIONS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Health Wright Products</w:t>
      </w:r>
    </w:p>
    <w:p>
      <w:pPr>
        <w:spacing w:after="0" w:line="12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On April 1, 2022 (“Acquisition Date”), the Company completed its acquisition of Health Wright Products, Inc. (“Health Wright”). IFF acquired 100% of the equity of Health Wright pursuant to a purchase agreement entered into on February 16, 2022. Health Wright is known in the consumer Health and Nutrition industries for providing high quality nutritional supplements. The acquisition was made in order to strengthen formulation and finished format capabilities to IFF’s Health &amp; Biosciences probiotics, natural extracts and botanical businesses.</w:t>
      </w:r>
    </w:p>
    <w:p>
      <w:pPr>
        <w:spacing w:after="0" w:line="61"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The acquisition was accounted for under the purchase method. The fair value of consideration transferred was approximately $157 million, including cash and estimated contingent consideration of $31 million. The preliminary purchase price allocation has been performed and resulted in intangible assets of approximately $75 million, and approximately $45 million of goodwill (which is deductible for income tax purposes). The intangible assets primarily consisted of customer relationships of approximately $74 million that have been fair valued using the Multi-Period Excess Earning Method and which are being amortized over a period of approximately 19 years.</w:t>
      </w:r>
    </w:p>
    <w:p>
      <w:pPr>
        <w:spacing w:after="0" w:line="66"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purchase price allocation was finalized as of the end of 2022 when the Company finalized the valuation of the acquired goodwill, intangible assets (trade names and customer relationships) and inventory, in addition to ensuring all other assets and liabilities and contingencies have been identified and recorded.</w:t>
      </w:r>
    </w:p>
    <w:p>
      <w:pPr>
        <w:spacing w:after="0" w:line="52"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Company remeasured the fair value of contingent consideration as of December 31, 2022 and recognized a credit of approximately $5 million, within Selling and administrative expenses, for changes in the fair value of contingent consideration obligations. The reduction in the fair value of contingent consideration primarily resulted from changes in the probability assessment of achieving the performance targets.</w:t>
      </w:r>
    </w:p>
    <w:p>
      <w:pPr>
        <w:spacing w:after="0" w:line="57"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measurement period adjustments were recorded during the year ended December 31, 2022 and the purchase price allocation is complete as of December 31, 2022.</w:t>
      </w:r>
    </w:p>
    <w:p>
      <w:pPr>
        <w:spacing w:after="0" w:line="30"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No pro forma information for 2022 was presented as the acquisition was not material to the Consolidated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with Nutrition &amp; Biosciences, Inc.</w:t>
      </w:r>
    </w:p>
    <w:p>
      <w:pPr>
        <w:spacing w:after="0" w:line="124" w:lineRule="exact"/>
        <w:rPr>
          <w:sz w:val="20"/>
          <w:szCs w:val="20"/>
          <w:color w:val="auto"/>
        </w:rPr>
      </w:pPr>
    </w:p>
    <w:p>
      <w:pPr>
        <w:jc w:val="both"/>
        <w:ind w:firstLine="328"/>
        <w:spacing w:after="0" w:line="272" w:lineRule="auto"/>
        <w:rPr>
          <w:sz w:val="20"/>
          <w:szCs w:val="20"/>
          <w:color w:val="auto"/>
        </w:rPr>
      </w:pPr>
      <w:r>
        <w:rPr>
          <w:rFonts w:ascii="Times New Roman" w:cs="Times New Roman" w:eastAsia="Times New Roman" w:hAnsi="Times New Roman"/>
          <w:sz w:val="18"/>
          <w:szCs w:val="18"/>
          <w:color w:val="auto"/>
        </w:rPr>
        <w:t>On February 1, 2021, IFF completed the Merger with N&amp;B. Pursuant to the transaction related agreements, DuPont transferred its N&amp;B Business to N&amp;B, a wholly-owned subsidiary of DuPont, and N&amp;B merged with and into a wholly owned subsidiary of IFF in exchange for 141,740,461 shares of IFF common stock, par value $0.125 per share (“IFF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880" w:h="15480" w:orient="portrait"/>
          <w:cols w:equalWidth="0" w:num="1">
            <w:col w:w="9360"/>
          </w:cols>
          <w:pgMar w:left="1260" w:top="1255" w:right="1260" w:bottom="254" w:gutter="0" w:footer="0" w:header="0"/>
        </w:sectPr>
      </w:pPr>
    </w:p>
    <w:bookmarkStart w:id="73" w:name="page74"/>
    <w:bookmarkEnd w:id="73"/>
    <w:p>
      <w:pPr>
        <w:jc w:val="both"/>
        <w:ind w:left="40" w:firstLine="328"/>
        <w:spacing w:after="0" w:line="258" w:lineRule="auto"/>
        <w:rPr>
          <w:sz w:val="20"/>
          <w:szCs w:val="20"/>
          <w:color w:val="auto"/>
        </w:rPr>
      </w:pPr>
      <w:r>
        <w:rPr>
          <w:rFonts w:ascii="Times New Roman" w:cs="Times New Roman" w:eastAsia="Times New Roman" w:hAnsi="Times New Roman"/>
          <w:sz w:val="18"/>
          <w:szCs w:val="18"/>
          <w:color w:val="auto"/>
        </w:rPr>
        <w:t>The Company completed its Merger with N&amp;B in a Reverse Morris Trust transaction (the “Transactions”), pursuant to which the Company acquired the N&amp;B Business of DuPont. In the Transactions, among other steps (i) DuPont transferred the N&amp;B Business to N&amp;B (the “Separation”); (ii) N&amp;B made a cash distribution to DuPont of approximately $7.359 billion, subject to certain adjustments (the “Special Cash Payments”); (iii) DuPont distributed to its stockholders all of the issued and outstanding shares of N&amp;B common stock by way of an exchange offer (the “Distribution”), and; (iv) N&amp;B merged with and into a wholly owned subsidiary of IFF. As a result of the Merger, the existing shares of N&amp;B common stock were automatically converted into the right to receive a number of shares of IFF Common Stock. Immediately after the Merger, holders of DuPont’s common stock that received shares of N&amp;B common stock in the Distribution owned approximately 55.4% of the outstanding shares of IFF Common Stock on a fully diluted basis and existing holders of IFF Common Stock owned approximately 44.6% of the outstanding shares of IFF on a fully diluted basis.</w:t>
      </w:r>
    </w:p>
    <w:p>
      <w:pPr>
        <w:spacing w:after="0" w:line="72"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Merger was accounted for using the purchase method of accounting in accordance with ASC Topic 805, Business Combinations, with IFF identified as the acquirer. As a result of the Merger, N&amp;B’s assets, liabilities and the operating results of N&amp;B were included in the Company’s financial statements from the Closing Date. N&amp;B contributed net sales of approximately $6.084 billion and net income of approximately $11 million for the year ended December 31, 2021, which included the effects of purchase accounting adjustments, primarily related to changes in amortization of intangible assets, depreciation of property, plant and equipment and amortization of stepped up inventory.</w:t>
      </w:r>
    </w:p>
    <w:p>
      <w:pPr>
        <w:spacing w:after="0" w:line="66"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Prior to the Distribution, N&amp;B incurred new indebtedness in the form of term loans and senior notes in an aggregate principal amount of $7.500 billion to pay the Special Cash Payments made to DuPont stockholders. See Note 9 for additional information regarding the new term loans and senior notes incurred by N&amp;B and subsequently assumed by IFF.</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18"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 following table summarizes the aggregate purchase price consideration paid to acquire N&amp;B (in millions, except share and per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75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shd w:val="clear" w:color="auto" w:fill="DDDDDD"/>
          </w:tcPr>
          <w:p>
            <w:pPr>
              <w:spacing w:after="0"/>
              <w:rPr>
                <w:sz w:val="23"/>
                <w:szCs w:val="23"/>
                <w:color w:val="auto"/>
              </w:rPr>
            </w:pPr>
          </w:p>
        </w:tc>
        <w:tc>
          <w:tcPr>
            <w:tcW w:w="74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Fair value of common stock issued to DuPont stockholders</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80" w:type="dxa"/>
            <w:vAlign w:val="bottom"/>
            <w:shd w:val="clear" w:color="auto" w:fill="DDDDDD"/>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attributable to pre-merger service for replacement equity awards</w:t>
            </w:r>
            <w:r>
              <w:rPr>
                <w:rFonts w:ascii="Times New Roman" w:cs="Times New Roman" w:eastAsia="Times New Roman" w:hAnsi="Times New Roman"/>
                <w:sz w:val="11"/>
                <w:szCs w:val="11"/>
                <w:color w:val="auto"/>
              </w:rPr>
              <w:t>(2)</w:t>
            </w:r>
          </w:p>
        </w:tc>
        <w:tc>
          <w:tcPr>
            <w:tcW w:w="6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74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Pension funding adjustment</w:t>
            </w:r>
            <w:r>
              <w:rPr>
                <w:rFonts w:ascii="Times New Roman" w:cs="Times New Roman" w:eastAsia="Times New Roman" w:hAnsi="Times New Roman"/>
                <w:sz w:val="11"/>
                <w:szCs w:val="11"/>
                <w:color w:val="auto"/>
              </w:rPr>
              <w:t>(3)</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1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680" w:type="dxa"/>
            <w:vAlign w:val="bottom"/>
          </w:tcPr>
          <w:p>
            <w:pPr>
              <w:jc w:val="right"/>
              <w:ind w:right="4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74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380" w:hanging="334"/>
        <w:spacing w:after="0" w:line="254" w:lineRule="auto"/>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common stock issued to DuPont stockholders represents 141,740,461 shares of the Company's common stock determined based on the number of fully diluted shares of IFF common stock, immediately prior to the Closing Date, multiplied by the quotient of 55.4%/44.6% and IFF common stock closing share price of $112.38 on the New York Stock Exchange on the Closing Date.</w:t>
      </w:r>
    </w:p>
    <w:p>
      <w:pPr>
        <w:spacing w:after="0" w:line="2" w:lineRule="exact"/>
        <w:rPr>
          <w:rFonts w:ascii="Times New Roman" w:cs="Times New Roman" w:eastAsia="Times New Roman" w:hAnsi="Times New Roman"/>
          <w:sz w:val="16"/>
          <w:szCs w:val="16"/>
          <w:color w:val="auto"/>
        </w:rPr>
      </w:pPr>
    </w:p>
    <w:p>
      <w:pPr>
        <w:jc w:val="both"/>
        <w:ind w:left="380" w:hanging="334"/>
        <w:spacing w:after="0" w:line="241" w:lineRule="auto"/>
        <w:tabs>
          <w:tab w:leader="none" w:pos="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time of the Transactions, each outstanding stock option, cash-settled stock appreciation right (“SAR”), restricted stock unit (“RSU”) award, and restricted stock award (“RSA”) with respect to DuPont common stock held by employees of N&amp;B were canceled and converted into similar classes of equity awards of IFF’s Class A Common Stock. Further, each outstanding Performance Share Unit (“PSU”) award with respect to DuPont common stock held by employees of N&amp;B were canceled and converted into IFF’s RSU awards. The conversion was based on the ratio of the volume-weighted average per share closing price of DuPont stock on the twenty trading days prior to the Closing Date and IFF’s stock on the twenty trading days following the Closing Date. The fair value of replacement equity-based awards attributable to pre-Merger service was recorded as part of the consideration transferred in the Merger (see Note 13 for additional information).</w:t>
      </w:r>
    </w:p>
    <w:p>
      <w:pPr>
        <w:spacing w:after="0" w:line="4" w:lineRule="exact"/>
        <w:rPr>
          <w:rFonts w:ascii="Times New Roman" w:cs="Times New Roman" w:eastAsia="Times New Roman" w:hAnsi="Times New Roman"/>
          <w:sz w:val="17"/>
          <w:szCs w:val="17"/>
          <w:color w:val="auto"/>
        </w:rPr>
      </w:pPr>
    </w:p>
    <w:p>
      <w:pPr>
        <w:jc w:val="both"/>
        <w:ind w:left="380" w:hanging="334"/>
        <w:spacing w:after="0" w:line="242" w:lineRule="auto"/>
        <w:tabs>
          <w:tab w:leader="none" w:pos="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related agreements provided that if the net pension balance of N&amp;B as of the Closing Date differs from $220 million, such differential amount would be settled in cash. The Company estimated the amount that it would receive and, accordingly, made an adjustment of $12 million to the total purchase consideration.</w:t>
      </w:r>
    </w:p>
    <w:p>
      <w:pPr>
        <w:spacing w:after="0" w:line="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18" w:lineRule="exact"/>
        <w:rPr>
          <w:sz w:val="20"/>
          <w:szCs w:val="20"/>
          <w:color w:val="auto"/>
        </w:rPr>
      </w:pPr>
    </w:p>
    <w:p>
      <w:pPr>
        <w:jc w:val="both"/>
        <w:ind w:left="40" w:firstLine="329"/>
        <w:spacing w:after="0" w:line="258" w:lineRule="auto"/>
        <w:rPr>
          <w:sz w:val="20"/>
          <w:szCs w:val="20"/>
          <w:color w:val="auto"/>
        </w:rPr>
      </w:pPr>
      <w:r>
        <w:rPr>
          <w:rFonts w:ascii="Times New Roman" w:cs="Times New Roman" w:eastAsia="Times New Roman" w:hAnsi="Times New Roman"/>
          <w:sz w:val="18"/>
          <w:szCs w:val="18"/>
          <w:color w:val="auto"/>
        </w:rPr>
        <w:t>The Merger with N&amp;B was accounted for under the acquisition method under which the Company allocated the purchase consideration to the tangible net assets and identifiable assets acquired based on estimated fair values at the Closing Date, and recorded the excess of consideration over the fair values of net assets acquired as goodwill. The purchase price allocation was finalized as of the end of 2021 when the Company finalized the valuation of the acquired property, plant and equipment, goodwill, intangible assets (trade names, customer relationships, IPR&amp;D, and technological know -how), inventory and leases, in addition to ensuring all other assets and liabilities and contingencies had been identified and recorded. Further, the assessment of certain contingencies including loss contracts and environmental liabilities, pension and postretirement benefit obligations and taxes was completed. Additionally, in connection with finalizing the purchase price allocation, the Company finalized the projected combined future tax rate applied to the valuation of assets and recorded the applicable adjustments to the values of 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880" w:h="15480" w:orient="portrait"/>
          <w:cols w:equalWidth="0" w:num="1">
            <w:col w:w="9400"/>
          </w:cols>
          <w:pgMar w:left="1220" w:top="1255" w:right="1260" w:bottom="254" w:gutter="0" w:footer="0" w:header="0"/>
        </w:sectPr>
      </w:pPr>
    </w:p>
    <w:bookmarkStart w:id="74" w:name="page75"/>
    <w:bookmarkEnd w:id="74"/>
    <w:p>
      <w:pPr>
        <w:ind w:left="40" w:firstLine="328"/>
        <w:spacing w:after="0" w:line="290" w:lineRule="auto"/>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February 1, 2021, presenting both the preliminary and final purchase price allocations:</w:t>
      </w: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vMerge w:val="restart"/>
          </w:tcPr>
          <w:p>
            <w:pPr>
              <w:jc w:val="center"/>
              <w:ind w:right="28"/>
              <w:spacing w:after="0"/>
              <w:rPr>
                <w:sz w:val="20"/>
                <w:szCs w:val="20"/>
                <w:color w:val="auto"/>
              </w:rPr>
            </w:pPr>
            <w:r>
              <w:rPr>
                <w:rFonts w:ascii="Times New Roman" w:cs="Times New Roman" w:eastAsia="Times New Roman" w:hAnsi="Times New Roman"/>
                <w:sz w:val="18"/>
                <w:szCs w:val="18"/>
                <w:b w:val="1"/>
                <w:bCs w:val="1"/>
                <w:color w:val="auto"/>
              </w:rPr>
              <w:t>Preliminary Estimated</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30"/>
              <w:spacing w:after="0" w:line="195" w:lineRule="exact"/>
              <w:rPr>
                <w:sz w:val="20"/>
                <w:szCs w:val="20"/>
                <w:color w:val="auto"/>
              </w:rPr>
            </w:pPr>
            <w:r>
              <w:rPr>
                <w:rFonts w:ascii="Times New Roman" w:cs="Times New Roman" w:eastAsia="Times New Roman" w:hAnsi="Times New Roman"/>
                <w:sz w:val="18"/>
                <w:szCs w:val="18"/>
                <w:b w:val="1"/>
                <w:bCs w:val="1"/>
                <w:color w:val="auto"/>
              </w:rPr>
              <w:t>Measurement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8"/>
              </w:rPr>
              <w:t>Final Fair Value as</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Period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center"/>
              <w:ind w:right="68"/>
              <w:spacing w:after="0" w:line="184" w:lineRule="exact"/>
              <w:rPr>
                <w:sz w:val="20"/>
                <w:szCs w:val="20"/>
                <w:color w:val="auto"/>
              </w:rPr>
            </w:pPr>
            <w:r>
              <w:rPr>
                <w:rFonts w:ascii="Times New Roman" w:cs="Times New Roman" w:eastAsia="Times New Roman" w:hAnsi="Times New Roman"/>
                <w:sz w:val="18"/>
                <w:szCs w:val="18"/>
                <w:b w:val="1"/>
                <w:bCs w:val="1"/>
                <w:color w:val="auto"/>
              </w:rPr>
              <w:t>Reported in the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Fair Value as Reported in</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Adjustments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Fourth Quarter of</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6"/>
                <w:szCs w:val="16"/>
                <w:color w:val="auto"/>
              </w:rPr>
            </w:pPr>
          </w:p>
        </w:tc>
        <w:tc>
          <w:tcPr>
            <w:tcW w:w="2060" w:type="dxa"/>
            <w:vAlign w:val="bottom"/>
          </w:tcPr>
          <w:p>
            <w:pPr>
              <w:jc w:val="center"/>
              <w:ind w:right="28"/>
              <w:spacing w:after="0" w:line="189" w:lineRule="exact"/>
              <w:rPr>
                <w:sz w:val="20"/>
                <w:szCs w:val="20"/>
                <w:color w:val="auto"/>
              </w:rPr>
            </w:pPr>
            <w:r>
              <w:rPr>
                <w:rFonts w:ascii="Times New Roman" w:cs="Times New Roman" w:eastAsia="Times New Roman" w:hAnsi="Times New Roman"/>
                <w:sz w:val="18"/>
                <w:szCs w:val="18"/>
                <w:b w:val="1"/>
                <w:bCs w:val="1"/>
                <w:color w:val="auto"/>
              </w:rPr>
              <w:t>the First Quarter of 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center"/>
              <w:ind w:right="130"/>
              <w:spacing w:after="0"/>
              <w:rPr>
                <w:sz w:val="20"/>
                <w:szCs w:val="20"/>
                <w:color w:val="auto"/>
              </w:rPr>
            </w:pPr>
            <w:r>
              <w:rPr>
                <w:rFonts w:ascii="Times New Roman" w:cs="Times New Roman" w:eastAsia="Times New Roman" w:hAnsi="Times New Roman"/>
                <w:sz w:val="12"/>
                <w:szCs w:val="12"/>
                <w:b w:val="1"/>
                <w:bCs w:val="1"/>
                <w:color w:val="auto"/>
                <w:w w:val="99"/>
              </w:rPr>
              <w:t>(1)(2)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68"/>
              <w:spacing w:after="0" w:line="189"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1600" w:type="dxa"/>
            <w:vAlign w:val="bottom"/>
            <w:tcBorders>
              <w:top w:val="single" w:sz="8" w:color="auto"/>
              <w:bottom w:val="single" w:sz="8" w:color="DDDDDD"/>
            </w:tcBorders>
          </w:tcPr>
          <w:p>
            <w:pPr>
              <w:spacing w:after="0"/>
              <w:rPr>
                <w:sz w:val="2"/>
                <w:szCs w:val="2"/>
                <w:color w:val="auto"/>
              </w:rPr>
            </w:pPr>
          </w:p>
        </w:tc>
        <w:tc>
          <w:tcPr>
            <w:tcW w:w="204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37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36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Inventory</w:t>
            </w:r>
          </w:p>
        </w:tc>
        <w:tc>
          <w:tcPr>
            <w:tcW w:w="6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2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37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DDDDDD"/>
          </w:tcPr>
          <w:p>
            <w:pPr>
              <w:spacing w:after="0"/>
              <w:rPr>
                <w:sz w:val="23"/>
                <w:szCs w:val="23"/>
                <w:color w:val="auto"/>
              </w:rPr>
            </w:pPr>
          </w:p>
        </w:tc>
        <w:tc>
          <w:tcPr>
            <w:tcW w:w="2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37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DDDDDD"/>
          </w:tcPr>
          <w:p>
            <w:pPr>
              <w:spacing w:after="0"/>
              <w:rPr>
                <w:sz w:val="23"/>
                <w:szCs w:val="23"/>
                <w:color w:val="auto"/>
              </w:rPr>
            </w:pPr>
          </w:p>
        </w:tc>
        <w:tc>
          <w:tcPr>
            <w:tcW w:w="2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9,176</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37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DDDDDD"/>
          </w:tcPr>
          <w:p>
            <w:pPr>
              <w:spacing w:after="0"/>
              <w:rPr>
                <w:sz w:val="23"/>
                <w:szCs w:val="23"/>
                <w:color w:val="auto"/>
              </w:rPr>
            </w:pPr>
          </w:p>
        </w:tc>
        <w:tc>
          <w:tcPr>
            <w:tcW w:w="2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1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37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tax liabilities</w:t>
            </w:r>
            <w:r>
              <w:rPr>
                <w:rFonts w:ascii="Times New Roman" w:cs="Times New Roman" w:eastAsia="Times New Roman" w:hAnsi="Times New Roman"/>
                <w:sz w:val="11"/>
                <w:szCs w:val="11"/>
                <w:color w:val="auto"/>
              </w:rPr>
              <w:t>(3)</w:t>
            </w:r>
          </w:p>
        </w:tc>
        <w:tc>
          <w:tcPr>
            <w:tcW w:w="140" w:type="dxa"/>
            <w:vAlign w:val="bottom"/>
            <w:shd w:val="clear" w:color="auto" w:fill="DDDDDD"/>
          </w:tcPr>
          <w:p>
            <w:pPr>
              <w:spacing w:after="0"/>
              <w:rPr>
                <w:sz w:val="23"/>
                <w:szCs w:val="23"/>
                <w:color w:val="auto"/>
              </w:rPr>
            </w:pPr>
          </w:p>
        </w:tc>
        <w:tc>
          <w:tcPr>
            <w:tcW w:w="2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0" w:type="dxa"/>
            <w:vAlign w:val="bottom"/>
          </w:tcPr>
          <w:p>
            <w:pPr>
              <w:spacing w:after="0"/>
              <w:rPr>
                <w:sz w:val="1"/>
                <w:szCs w:val="1"/>
                <w:color w:val="auto"/>
              </w:rPr>
            </w:pPr>
          </w:p>
        </w:tc>
      </w:tr>
      <w:tr>
        <w:trPr>
          <w:trHeight w:val="294"/>
        </w:trPr>
        <w:tc>
          <w:tcPr>
            <w:tcW w:w="40" w:type="dxa"/>
            <w:vAlign w:val="bottom"/>
            <w:tcBorders>
              <w:bottom w:val="single" w:sz="8" w:color="DDDDDD"/>
            </w:tcBorders>
            <w:shd w:val="clear" w:color="auto" w:fill="DDDDDD"/>
          </w:tcPr>
          <w:p>
            <w:pPr>
              <w:spacing w:after="0"/>
              <w:rPr>
                <w:sz w:val="24"/>
                <w:szCs w:val="24"/>
                <w:color w:val="auto"/>
              </w:rPr>
            </w:pPr>
          </w:p>
        </w:tc>
        <w:tc>
          <w:tcPr>
            <w:tcW w:w="37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DDDDDD"/>
          </w:tcPr>
          <w:p>
            <w:pPr>
              <w:spacing w:after="0"/>
              <w:rPr>
                <w:sz w:val="24"/>
                <w:szCs w:val="24"/>
                <w:color w:val="auto"/>
              </w:rPr>
            </w:pPr>
          </w:p>
        </w:tc>
        <w:tc>
          <w:tcPr>
            <w:tcW w:w="2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 assumed</w:t>
            </w:r>
          </w:p>
        </w:tc>
        <w:tc>
          <w:tcPr>
            <w:tcW w:w="1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37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shd w:val="clear" w:color="auto" w:fill="DDDDDD"/>
          </w:tcPr>
          <w:p>
            <w:pPr>
              <w:spacing w:after="0"/>
              <w:rPr>
                <w:sz w:val="23"/>
                <w:szCs w:val="23"/>
                <w:color w:val="auto"/>
              </w:rPr>
            </w:pPr>
          </w:p>
        </w:tc>
        <w:tc>
          <w:tcPr>
            <w:tcW w:w="2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4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93"/>
        </w:trPr>
        <w:tc>
          <w:tcPr>
            <w:tcW w:w="40" w:type="dxa"/>
            <w:vAlign w:val="bottom"/>
            <w:tcBorders>
              <w:bottom w:val="single" w:sz="8" w:color="DDDDDD"/>
            </w:tcBorders>
          </w:tcPr>
          <w:p>
            <w:pPr>
              <w:spacing w:after="0"/>
              <w:rPr>
                <w:sz w:val="24"/>
                <w:szCs w:val="24"/>
                <w:color w:val="auto"/>
              </w:rPr>
            </w:pPr>
          </w:p>
        </w:tc>
        <w:tc>
          <w:tcPr>
            <w:tcW w:w="37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11"/>
                <w:szCs w:val="11"/>
                <w:color w:val="auto"/>
              </w:rPr>
              <w:t>(4)</w:t>
            </w: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11,762</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14"/>
        </w:trPr>
        <w:tc>
          <w:tcPr>
            <w:tcW w:w="40" w:type="dxa"/>
            <w:vAlign w:val="bottom"/>
            <w:tcBorders>
              <w:bottom w:val="single" w:sz="8" w:color="DDDDDD"/>
            </w:tcBorders>
            <w:shd w:val="clear" w:color="auto" w:fill="DDDDDD"/>
          </w:tcPr>
          <w:p>
            <w:pPr>
              <w:spacing w:after="0"/>
              <w:rPr>
                <w:sz w:val="18"/>
                <w:szCs w:val="18"/>
                <w:color w:val="auto"/>
              </w:rPr>
            </w:pPr>
          </w:p>
        </w:tc>
        <w:tc>
          <w:tcPr>
            <w:tcW w:w="364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6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15,954</w:t>
            </w:r>
          </w:p>
        </w:tc>
        <w:tc>
          <w:tcPr>
            <w:tcW w:w="20" w:type="dxa"/>
            <w:vAlign w:val="bottom"/>
            <w:tcBorders>
              <w:bottom w:val="single" w:sz="8" w:color="DDDDDD"/>
            </w:tcBorders>
            <w:shd w:val="clear" w:color="auto" w:fill="DDDDDD"/>
          </w:tcPr>
          <w:p>
            <w:pPr>
              <w:spacing w:after="0"/>
              <w:rPr>
                <w:sz w:val="18"/>
                <w:szCs w:val="18"/>
                <w:color w:val="auto"/>
              </w:rPr>
            </w:pPr>
          </w:p>
        </w:tc>
        <w:tc>
          <w:tcPr>
            <w:tcW w:w="4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DDDDDD"/>
            </w:tcBorders>
            <w:gridSpan w:val="2"/>
            <w:shd w:val="clear" w:color="auto" w:fill="DDDDDD"/>
          </w:tcPr>
          <w:p>
            <w:pPr>
              <w:spacing w:after="0"/>
              <w:rPr>
                <w:sz w:val="18"/>
                <w:szCs w:val="18"/>
                <w:color w:val="auto"/>
              </w:rPr>
            </w:pP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-835025</wp:posOffset>
                </wp:positionV>
                <wp:extent cx="237045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045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65.7499pt" to="186.55pt,-65.7499pt" o:allowincell="f" strokecolor="#FFFFFF" strokeweight="0.876pt"/>
            </w:pict>
          </mc:Fallback>
        </mc:AlternateContent>
      </w:r>
    </w:p>
    <w:p>
      <w:pPr>
        <w:jc w:val="both"/>
        <w:ind w:left="460" w:hanging="414"/>
        <w:spacing w:after="0" w:line="241"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preliminary fair value purchase price allocation of the assets and liabilities acquired in the N&amp;B Merger as reported in the first quarter of 2021 were updated during the nine months ended December 31, 2021 to reflect updated fair values for intangible assets, property, plant and equipment, equity method investments and inventory. In addition, the carrying amounts of certain assets and liabilities were updated based on additional analysis of acquired assets and liabilities that existed at the Closing Date.</w:t>
      </w:r>
    </w:p>
    <w:p>
      <w:pPr>
        <w:spacing w:after="0" w:line="2" w:lineRule="exact"/>
        <w:rPr>
          <w:rFonts w:ascii="Times New Roman" w:cs="Times New Roman" w:eastAsia="Times New Roman" w:hAnsi="Times New Roman"/>
          <w:sz w:val="17"/>
          <w:szCs w:val="17"/>
          <w:color w:val="auto"/>
        </w:rPr>
      </w:pPr>
    </w:p>
    <w:p>
      <w:pPr>
        <w:jc w:val="both"/>
        <w:ind w:left="460" w:hanging="414"/>
        <w:spacing w:after="0" w:line="225"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fourth quarter of 2021, the Company recorded an adjustment to reflect the receipt of approximately $53 million in cash from DuPont as a result of finalization of adjustments to the Special Cash Payment paid to DuPont by N&amp;B, prior to the close of the Transactions.</w:t>
      </w:r>
    </w:p>
    <w:p>
      <w:pPr>
        <w:spacing w:after="0" w:line="1" w:lineRule="exact"/>
        <w:rPr>
          <w:rFonts w:ascii="Times New Roman" w:cs="Times New Roman" w:eastAsia="Times New Roman" w:hAnsi="Times New Roman"/>
          <w:sz w:val="17"/>
          <w:szCs w:val="17"/>
          <w:color w:val="auto"/>
        </w:rPr>
      </w:pPr>
    </w:p>
    <w:p>
      <w:pPr>
        <w:ind w:left="460" w:hanging="414"/>
        <w:spacing w:after="0" w:line="225"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change to deferred tax liabilities was primarily a result of the finalization of the jurisdictional allocation of the tangible and intangible assets. All measurement period adjustments were offset against goodwill.</w:t>
      </w:r>
    </w:p>
    <w:p>
      <w:pPr>
        <w:spacing w:after="0" w:line="1" w:lineRule="exact"/>
        <w:rPr>
          <w:rFonts w:ascii="Times New Roman" w:cs="Times New Roman" w:eastAsia="Times New Roman" w:hAnsi="Times New Roman"/>
          <w:sz w:val="17"/>
          <w:szCs w:val="17"/>
          <w:color w:val="auto"/>
        </w:rPr>
      </w:pPr>
    </w:p>
    <w:p>
      <w:pPr>
        <w:ind w:left="460" w:hanging="414"/>
        <w:spacing w:after="0" w:line="259" w:lineRule="auto"/>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cumulative impact of the adjustments during the nine months ended December 31, 2021 resulted in a $55 million increase to goodwill.</w:t>
      </w:r>
    </w:p>
    <w:p>
      <w:pPr>
        <w:spacing w:after="0" w:line="55" w:lineRule="exact"/>
        <w:rPr>
          <w:sz w:val="20"/>
          <w:szCs w:val="20"/>
          <w:color w:val="auto"/>
        </w:rPr>
      </w:pPr>
    </w:p>
    <w:p>
      <w:pPr>
        <w:jc w:val="both"/>
        <w:ind w:left="40" w:firstLine="328"/>
        <w:spacing w:after="0" w:line="260" w:lineRule="auto"/>
        <w:rPr>
          <w:sz w:val="20"/>
          <w:szCs w:val="20"/>
          <w:color w:val="auto"/>
        </w:rPr>
      </w:pPr>
      <w:r>
        <w:rPr>
          <w:rFonts w:ascii="Times New Roman" w:cs="Times New Roman" w:eastAsia="Times New Roman" w:hAnsi="Times New Roman"/>
          <w:sz w:val="18"/>
          <w:szCs w:val="18"/>
          <w:color w:val="auto"/>
        </w:rPr>
        <w:t>Acquired inventory is comprised of finished goods, work in process and raw materials. The fair value of finished goods was calculated as the estimated selling price, adjusted for costs of the selling effort and a reasonable profit allowance relating to the selling effort. The fair value of work in process inventory was primarily calculated as the estimated selling price, adjusted for estimated costs to complete the manufacturing, estimated costs of the selling effort, as well as a reasonable profit margin on the remaining manufacturing and selling effort. The fair value of raw materials and supplies was determined based on replacement cost which approximates historical carrying value. The fair value step -up has been amortized to “Cost of goods sold” in the Consolidated Statements of (Loss) Income and Comprehensive (Loss) Income, for the year ended December 31, 2021, as the inventory was sold.</w:t>
      </w:r>
    </w:p>
    <w:p>
      <w:pPr>
        <w:spacing w:after="0" w:line="66"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fair value of property, plant and equipment was primarily calculated using the cost approach, which determined the replacement costs for the assets and adjusted them for their age and condition. The fair value of the land assets was determined via the sales comparison approach.</w:t>
      </w:r>
    </w:p>
    <w:p>
      <w:pPr>
        <w:spacing w:after="0" w:line="52" w:lineRule="exact"/>
        <w:rPr>
          <w:sz w:val="20"/>
          <w:szCs w:val="20"/>
          <w:color w:val="auto"/>
        </w:rPr>
      </w:pPr>
    </w:p>
    <w:p>
      <w:pPr>
        <w:jc w:val="both"/>
        <w:ind w:left="40" w:firstLine="329"/>
        <w:spacing w:after="0" w:line="269" w:lineRule="auto"/>
        <w:rPr>
          <w:sz w:val="20"/>
          <w:szCs w:val="20"/>
          <w:color w:val="auto"/>
        </w:rPr>
      </w:pPr>
      <w:r>
        <w:rPr>
          <w:rFonts w:ascii="Times New Roman" w:cs="Times New Roman" w:eastAsia="Times New Roman" w:hAnsi="Times New Roman"/>
          <w:sz w:val="18"/>
          <w:szCs w:val="18"/>
          <w:color w:val="auto"/>
        </w:rPr>
        <w:t>The long-term debt assumed was comprised of a Term Loan Facility and Notes. The fair value of the Notes was determined on the basis of unadjusted quoted prices on an over-the-counter market. The fair value of the long-term debt assumed as part of the Term Loan Facility was based on the total indebtedness at the time of closing the Merger. See Note 9 for additional information regarding the new term loans and senior notes incurred by N&amp;B and subsequently assumed by 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ectPr>
          <w:pgSz w:w="11880" w:h="15480" w:orient="portrait"/>
          <w:cols w:equalWidth="0" w:num="1">
            <w:col w:w="9400"/>
          </w:cols>
          <w:pgMar w:left="1220" w:top="1255" w:right="1260" w:bottom="254" w:gutter="0" w:footer="0" w:header="0"/>
        </w:sectPr>
      </w:pPr>
    </w:p>
    <w:bookmarkStart w:id="75" w:name="page76"/>
    <w:bookmarkEnd w:id="75"/>
    <w:p>
      <w:pPr>
        <w:jc w:val="both"/>
        <w:ind w:left="40" w:firstLine="328"/>
        <w:spacing w:after="0" w:line="266" w:lineRule="auto"/>
        <w:rPr>
          <w:sz w:val="20"/>
          <w:szCs w:val="20"/>
          <w:color w:val="auto"/>
        </w:rPr>
      </w:pPr>
      <w:r>
        <w:rPr>
          <w:rFonts w:ascii="Times New Roman" w:cs="Times New Roman" w:eastAsia="Times New Roman" w:hAnsi="Times New Roman"/>
          <w:sz w:val="18"/>
          <w:szCs w:val="18"/>
          <w:color w:val="auto"/>
        </w:rPr>
        <w:t>The Company recognized $11.817 billion of goodwill in connection with the N&amp;B Merger, which was in part attributable to expected synergies generated by the integration of N&amp;B including cross-selling benefits as well as cost synergies. Substantially all of the goodwill was not deductible for income tax purposes. Goodwill of $2.900 billion, $6.712 billion, $876 million and $1.329 billion was allocated to the Nourish, Health &amp; Biosciences, Scent and Pharma Solutions segments, respectively.</w:t>
      </w:r>
    </w:p>
    <w:p>
      <w:pPr>
        <w:spacing w:after="0" w:line="2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fair value and useful lives of the identifiable intangible assets assumed as of February 1, 2021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86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40" w:type="dxa"/>
            <w:vAlign w:val="bottom"/>
          </w:tcPr>
          <w:p>
            <w:pPr>
              <w:spacing w:after="0"/>
              <w:rPr>
                <w:sz w:val="17"/>
                <w:szCs w:val="17"/>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40" w:type="dxa"/>
            <w:vAlign w:val="bottom"/>
          </w:tcPr>
          <w:p>
            <w:pPr>
              <w:spacing w:after="0"/>
              <w:rPr>
                <w:sz w:val="17"/>
                <w:szCs w:val="17"/>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Useful Lives</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top w:val="single" w:sz="8" w:color="auto"/>
              <w:bottom w:val="single" w:sz="8" w:color="DDDDDD"/>
            </w:tcBorders>
          </w:tcPr>
          <w:p>
            <w:pPr>
              <w:spacing w:after="0" w:line="20" w:lineRule="exact"/>
              <w:rPr>
                <w:sz w:val="1"/>
                <w:szCs w:val="1"/>
                <w:color w:val="auto"/>
              </w:rPr>
            </w:pPr>
          </w:p>
        </w:tc>
        <w:tc>
          <w:tcPr>
            <w:tcW w:w="1580" w:type="dxa"/>
            <w:vAlign w:val="bottom"/>
            <w:tcBorders>
              <w:top w:val="single" w:sz="8" w:color="auto"/>
              <w:bottom w:val="single" w:sz="8" w:color="DDDDDD"/>
            </w:tcBorders>
          </w:tcPr>
          <w:p>
            <w:pPr>
              <w:spacing w:after="0" w:line="20" w:lineRule="exact"/>
              <w:rPr>
                <w:sz w:val="1"/>
                <w:szCs w:val="1"/>
                <w:color w:val="auto"/>
              </w:rPr>
            </w:pPr>
          </w:p>
        </w:tc>
        <w:tc>
          <w:tcPr>
            <w:tcW w:w="420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255"/>
        </w:trPr>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57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340" w:type="dxa"/>
            <w:vAlign w:val="bottom"/>
            <w:shd w:val="clear" w:color="auto" w:fill="DDDDDD"/>
          </w:tcPr>
          <w:p>
            <w:pPr>
              <w:spacing w:after="0"/>
              <w:rPr>
                <w:sz w:val="22"/>
                <w:szCs w:val="22"/>
                <w:color w:val="auto"/>
              </w:rPr>
            </w:pPr>
          </w:p>
        </w:tc>
        <w:tc>
          <w:tcPr>
            <w:tcW w:w="1460" w:type="dxa"/>
            <w:vAlign w:val="bottom"/>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40" w:type="dxa"/>
            <w:vAlign w:val="bottom"/>
            <w:tcBorders>
              <w:bottom w:val="single" w:sz="8" w:color="DDDDDD"/>
            </w:tcBorders>
            <w:shd w:val="clear" w:color="auto" w:fill="DDDDDD"/>
          </w:tcPr>
          <w:p>
            <w:pPr>
              <w:spacing w:after="0"/>
              <w:rPr>
                <w:sz w:val="22"/>
                <w:szCs w:val="22"/>
                <w:color w:val="auto"/>
              </w:rPr>
            </w:pPr>
          </w:p>
        </w:tc>
        <w:tc>
          <w:tcPr>
            <w:tcW w:w="1540" w:type="dxa"/>
            <w:vAlign w:val="bottom"/>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r>
      <w:tr>
        <w:trPr>
          <w:trHeight w:val="251"/>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Indefinite</w:t>
            </w:r>
          </w:p>
        </w:tc>
        <w:tc>
          <w:tcPr>
            <w:tcW w:w="60" w:type="dxa"/>
            <w:vAlign w:val="bottom"/>
          </w:tcPr>
          <w:p>
            <w:pPr>
              <w:spacing w:after="0"/>
              <w:rPr>
                <w:sz w:val="21"/>
                <w:szCs w:val="21"/>
                <w:color w:val="auto"/>
              </w:rPr>
            </w:pPr>
          </w:p>
        </w:tc>
      </w:tr>
      <w:tr>
        <w:trPr>
          <w:trHeight w:val="276"/>
        </w:trPr>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57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4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54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5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to 22 years</w:t>
            </w:r>
          </w:p>
        </w:tc>
      </w:tr>
      <w:tr>
        <w:trPr>
          <w:trHeight w:val="276"/>
        </w:trPr>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57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1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154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11 to 27 years</w:t>
            </w:r>
          </w:p>
        </w:tc>
        <w:tc>
          <w:tcPr>
            <w:tcW w:w="60" w:type="dxa"/>
            <w:vAlign w:val="bottom"/>
            <w:tcBorders>
              <w:bottom w:val="single" w:sz="8" w:color="DDDDDD"/>
            </w:tcBorders>
            <w:shd w:val="clear" w:color="auto" w:fill="DDDDDD"/>
          </w:tcPr>
          <w:p>
            <w:pPr>
              <w:spacing w:after="0"/>
              <w:rPr>
                <w:sz w:val="24"/>
                <w:szCs w:val="24"/>
                <w:color w:val="auto"/>
              </w:rPr>
            </w:pPr>
          </w:p>
        </w:tc>
      </w:tr>
      <w:tr>
        <w:trPr>
          <w:trHeight w:val="251"/>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Technological know-how</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5 to 18 years</w:t>
            </w:r>
          </w:p>
        </w:tc>
        <w:tc>
          <w:tcPr>
            <w:tcW w:w="60" w:type="dxa"/>
            <w:vAlign w:val="bottom"/>
          </w:tcPr>
          <w:p>
            <w:pPr>
              <w:spacing w:after="0"/>
              <w:rPr>
                <w:sz w:val="21"/>
                <w:szCs w:val="21"/>
                <w:color w:val="auto"/>
              </w:rPr>
            </w:pPr>
          </w:p>
        </w:tc>
      </w:tr>
      <w:tr>
        <w:trPr>
          <w:trHeight w:val="276"/>
        </w:trPr>
        <w:tc>
          <w:tcPr>
            <w:tcW w:w="40" w:type="dxa"/>
            <w:vAlign w:val="bottom"/>
            <w:shd w:val="clear" w:color="auto" w:fill="DDDDDD"/>
          </w:tcPr>
          <w:p>
            <w:pPr>
              <w:spacing w:after="0"/>
              <w:rPr>
                <w:sz w:val="24"/>
                <w:szCs w:val="24"/>
                <w:color w:val="auto"/>
              </w:rPr>
            </w:pPr>
          </w:p>
        </w:tc>
        <w:tc>
          <w:tcPr>
            <w:tcW w:w="586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DDDDDD"/>
          </w:tcPr>
          <w:p>
            <w:pPr>
              <w:spacing w:after="0"/>
              <w:rPr>
                <w:sz w:val="24"/>
                <w:szCs w:val="24"/>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16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 years</w:t>
            </w:r>
          </w:p>
        </w:tc>
      </w:tr>
      <w:tr>
        <w:trPr>
          <w:trHeight w:val="249"/>
        </w:trPr>
        <w:tc>
          <w:tcPr>
            <w:tcW w:w="4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5840" w:type="dxa"/>
            <w:vAlign w:val="bottom"/>
            <w:tcBorders>
              <w:bottom w:val="single" w:sz="8" w:color="DDDDDD"/>
            </w:tcBorders>
            <w:gridSpan w:val="4"/>
          </w:tcPr>
          <w:p>
            <w:pPr>
              <w:ind w:left="20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DDDDDD"/>
            </w:tcBorders>
          </w:tcPr>
          <w:p>
            <w:pPr>
              <w:spacing w:after="0"/>
              <w:rPr>
                <w:sz w:val="21"/>
                <w:szCs w:val="21"/>
                <w:color w:val="auto"/>
              </w:rPr>
            </w:pPr>
          </w:p>
        </w:tc>
        <w:tc>
          <w:tcPr>
            <w:tcW w:w="1540" w:type="dxa"/>
            <w:vAlign w:val="bottom"/>
            <w:tcBorders>
              <w:bottom w:val="single" w:sz="8" w:color="DDDDDD"/>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r>
      <w:tr>
        <w:trPr>
          <w:trHeight w:val="283"/>
        </w:trPr>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5780" w:type="dxa"/>
            <w:vAlign w:val="bottom"/>
            <w:tcBorders>
              <w:bottom w:val="single" w:sz="8" w:color="DDDDDD"/>
            </w:tcBorders>
            <w:gridSpan w:val="2"/>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154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r>
      <w:tr>
        <w:trPr>
          <w:trHeight w:val="20"/>
        </w:trPr>
        <w:tc>
          <w:tcPr>
            <w:tcW w:w="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580" w:type="dxa"/>
            <w:vAlign w:val="bottom"/>
            <w:tcBorders>
              <w:top w:val="single" w:sz="8" w:color="DDDDDD"/>
            </w:tcBorders>
          </w:tcPr>
          <w:p>
            <w:pPr>
              <w:spacing w:after="0" w:line="20" w:lineRule="exact"/>
              <w:rPr>
                <w:sz w:val="1"/>
                <w:szCs w:val="1"/>
                <w:color w:val="auto"/>
              </w:rPr>
            </w:pPr>
          </w:p>
        </w:tc>
        <w:tc>
          <w:tcPr>
            <w:tcW w:w="420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r>
    </w:tbl>
    <w:p>
      <w:pPr>
        <w:spacing w:after="0" w:line="63" w:lineRule="exact"/>
        <w:rPr>
          <w:sz w:val="20"/>
          <w:szCs w:val="20"/>
          <w:color w:val="auto"/>
        </w:rPr>
      </w:pPr>
    </w:p>
    <w:p>
      <w:pPr>
        <w:jc w:val="both"/>
        <w:ind w:left="40" w:firstLine="328"/>
        <w:spacing w:after="0" w:line="258" w:lineRule="auto"/>
        <w:rPr>
          <w:sz w:val="20"/>
          <w:szCs w:val="20"/>
          <w:color w:val="auto"/>
        </w:rPr>
      </w:pPr>
      <w:r>
        <w:rPr>
          <w:rFonts w:ascii="Times New Roman" w:cs="Times New Roman" w:eastAsia="Times New Roman" w:hAnsi="Times New Roman"/>
          <w:sz w:val="18"/>
          <w:szCs w:val="18"/>
          <w:color w:val="auto"/>
        </w:rPr>
        <w:t>The fair value of intangible assets was generally determined using an income method (specifically, for customer relationships, the multi-period excess earnings method), which was based on forecasts of the expected future cash flows attributable to the respective assets. Significant estimates and assumptions inherent in the valuations reflected a consideration of other market participants, and included the amount and timing of future cash flows (including revenue growth rates, gross margins and operating expenses), royalty rates used in the relief from royalty method, customer attrition rates, product obsolescence factors, a brand’s relative market position and the discount rates applied to the cash flows. Unanticipated market or macroeconomic events and circumstances may occur, which could affect the accuracy or validity of the estimates and assumptions. Determining the useful life of an intangible asset also required significant judgment. Trade names, customer relationships and technological know-hows are expected to have finite lives. The costs of finite lived intangible assets are amortized through expense over their estimated lives.</w:t>
      </w:r>
    </w:p>
    <w:p>
      <w:pPr>
        <w:spacing w:after="0" w:line="72" w:lineRule="exact"/>
        <w:rPr>
          <w:sz w:val="20"/>
          <w:szCs w:val="20"/>
          <w:color w:val="auto"/>
        </w:rPr>
      </w:pPr>
    </w:p>
    <w:p>
      <w:pPr>
        <w:jc w:val="both"/>
        <w:ind w:left="40" w:firstLine="328"/>
        <w:spacing w:after="0" w:line="260" w:lineRule="auto"/>
        <w:rPr>
          <w:sz w:val="20"/>
          <w:szCs w:val="20"/>
          <w:color w:val="auto"/>
        </w:rPr>
      </w:pPr>
      <w:r>
        <w:rPr>
          <w:rFonts w:ascii="Times New Roman" w:cs="Times New Roman" w:eastAsia="Times New Roman" w:hAnsi="Times New Roman"/>
          <w:sz w:val="18"/>
          <w:szCs w:val="18"/>
          <w:color w:val="auto"/>
        </w:rPr>
        <w:t>Lease liabilities, included in “Other current liabilities” and “Operating lease liabilities” in the Consolidated Balance Sheets, at the Closing Date, were remeasured at the present value of the future minimum lease payments over the remaining lease term and the incremental borrowing rate of the Company as if the acquired leases were new leases as of the Closing Date. Right-of-use assets included in “Operating lease right-of-use assets” in the Consolidated Balance Sheets as of the Closing Date, were principally equal to the amount of the lease liability at the Closing Date, adjusted for any fair value adjustments for off-market leases. The Company reviewed the acquired leases and applied a $15 million adjustment to reflect off-market leases. The remaining lease term was based on the remaining term at the Closing Date plus any renewal or extension options that the Company was reasonably certain would be exercised.</w:t>
      </w:r>
    </w:p>
    <w:p>
      <w:pPr>
        <w:spacing w:after="0" w:line="66"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Net defined benefit plan liabilities were recognized based on appropriate actuarial assumptions and asset valuations as of the Closing Date and, accordingly, liabilities of approximately $221 million were recorded.</w:t>
      </w:r>
    </w:p>
    <w:p>
      <w:pPr>
        <w:spacing w:after="0" w:line="30"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The Company accrued approximately $75 million related to certain product liability and legal contingencies for which it was determined that a liability existed at the Closing Date. Of this amount, approximately $61 million was related to the finding of certain grades of microcrystalline cellulose (Avicel® PH 101, 102, and 200 NF and Avicel® RC-591 NF) being out-of-specification. See Note 19 for additional information.</w:t>
      </w:r>
    </w:p>
    <w:p>
      <w:pPr>
        <w:spacing w:after="0" w:line="57"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deferred income tax assets and liabilities included the expected future federal, state and foreign tax consequences associated with temporary differences between the fair values of the assets acquired and liabilities assumed and the respective tax bases. Tax rates utilized in calculating deferred income taxes generally represented the enacted statutory tax rates at the effective date of the Merger in the jurisdictions in which legal title of the underlying asset or liability resides. See Note 10 for additional information related to income taxes.</w:t>
      </w:r>
    </w:p>
    <w:p>
      <w:pPr>
        <w:spacing w:after="0" w:line="61"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Company incurred transaction-related costs of approximately $91 million and $29 million in 2021 and 2020, respectively. The transaction-related costs primarily consisted of merger and acquisition advisory, legal and professional fees in 2021 and legal and professional fees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880" w:h="15480" w:orient="portrait"/>
          <w:cols w:equalWidth="0" w:num="1">
            <w:col w:w="9400"/>
          </w:cols>
          <w:pgMar w:left="1220" w:top="1255" w:right="1260" w:bottom="254" w:gutter="0" w:footer="0" w:header="0"/>
        </w:sectPr>
      </w:pPr>
    </w:p>
    <w:bookmarkStart w:id="76" w:name="page77"/>
    <w:bookmarkEnd w:id="76"/>
    <w:p>
      <w:pPr>
        <w:ind w:left="40"/>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118"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combined results of operations of IFF and N&amp;B as if the Merger had been completed as of January 1, 2020. The unaudited pro forma financial information is presented for informational purposes and is not indicative of the results of operations that would have been achieved if the Merger and related borrowings had taken place on January 1, 2020, nor are they indicative of future results. The unaudited pro forma financial information for the year ended December 31, 2021 includes IFF results, including the post-Merger results of N&amp;B, since February 1, 2021, and pre-Merger results of N&amp;B for the period January 1, 2021 through January 31, 2021.</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unaudited pro forma results for the year ended December 31, 2021 and 2020 were as follows:</w:t>
      </w:r>
    </w:p>
    <w:p>
      <w:pPr>
        <w:spacing w:after="0" w:line="15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0" w:type="dxa"/>
            <w:vAlign w:val="bottom"/>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1"/>
              <w:spacing w:after="0" w:line="189" w:lineRule="exact"/>
              <w:rPr>
                <w:sz w:val="20"/>
                <w:szCs w:val="20"/>
                <w:color w:val="auto"/>
              </w:rPr>
            </w:pPr>
            <w:r>
              <w:rPr>
                <w:rFonts w:ascii="Times New Roman" w:cs="Times New Roman" w:eastAsia="Times New Roman" w:hAnsi="Times New Roman"/>
                <w:sz w:val="17"/>
                <w:szCs w:val="17"/>
                <w:b w:val="1"/>
                <w:bCs w:val="1"/>
                <w:color w:val="auto"/>
              </w:rPr>
              <w:t>2021</w:t>
            </w: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51"/>
              <w:spacing w:after="0" w:line="189" w:lineRule="exact"/>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Borders>
              <w:top w:val="single" w:sz="8" w:color="auto"/>
            </w:tcBorders>
          </w:tcPr>
          <w:p>
            <w:pPr>
              <w:spacing w:after="0"/>
              <w:rPr>
                <w:sz w:val="16"/>
                <w:szCs w:val="16"/>
                <w:color w:val="auto"/>
              </w:rPr>
            </w:pPr>
          </w:p>
        </w:tc>
      </w:tr>
      <w:tr>
        <w:trPr>
          <w:trHeight w:val="20"/>
        </w:trPr>
        <w:tc>
          <w:tcPr>
            <w:tcW w:w="60" w:type="dxa"/>
            <w:vAlign w:val="bottom"/>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6"/>
        </w:trPr>
        <w:tc>
          <w:tcPr>
            <w:tcW w:w="60" w:type="dxa"/>
            <w:vAlign w:val="bottom"/>
            <w:shd w:val="clear" w:color="auto" w:fill="DDDDDD"/>
          </w:tcPr>
          <w:p>
            <w:pPr>
              <w:spacing w:after="0"/>
              <w:rPr>
                <w:sz w:val="23"/>
                <w:szCs w:val="23"/>
                <w:color w:val="auto"/>
              </w:rPr>
            </w:pPr>
          </w:p>
        </w:tc>
        <w:tc>
          <w:tcPr>
            <w:tcW w:w="67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Unaudited pro forma net sales</w:t>
            </w: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DDDDD"/>
          </w:tcPr>
          <w:p>
            <w:pPr>
              <w:jc w:val="right"/>
              <w:ind w:right="51"/>
              <w:spacing w:after="0"/>
              <w:rPr>
                <w:sz w:val="20"/>
                <w:szCs w:val="20"/>
                <w:color w:val="auto"/>
              </w:rPr>
            </w:pPr>
            <w:r>
              <w:rPr>
                <w:rFonts w:ascii="Times New Roman" w:cs="Times New Roman" w:eastAsia="Times New Roman" w:hAnsi="Times New Roman"/>
                <w:sz w:val="18"/>
                <w:szCs w:val="18"/>
                <w:color w:val="auto"/>
              </w:rPr>
              <w:t>12,163</w:t>
            </w: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20" w:type="dxa"/>
            <w:vAlign w:val="bottom"/>
            <w:shd w:val="clear" w:color="auto" w:fill="DDDDDD"/>
          </w:tcPr>
          <w:p>
            <w:pPr>
              <w:spacing w:after="0"/>
              <w:rPr>
                <w:sz w:val="23"/>
                <w:szCs w:val="23"/>
                <w:color w:val="auto"/>
              </w:rPr>
            </w:pPr>
          </w:p>
        </w:tc>
      </w:tr>
      <w:tr>
        <w:trPr>
          <w:trHeight w:val="271"/>
        </w:trPr>
        <w:tc>
          <w:tcPr>
            <w:tcW w:w="60" w:type="dxa"/>
            <w:vAlign w:val="bottom"/>
          </w:tcPr>
          <w:p>
            <w:pPr>
              <w:spacing w:after="0"/>
              <w:rPr>
                <w:sz w:val="23"/>
                <w:szCs w:val="23"/>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Unaudited pro forma net income attributable to the Company</w:t>
            </w:r>
          </w:p>
        </w:tc>
        <w:tc>
          <w:tcPr>
            <w:tcW w:w="300" w:type="dxa"/>
            <w:vAlign w:val="bottom"/>
          </w:tcPr>
          <w:p>
            <w:pPr>
              <w:spacing w:after="0"/>
              <w:rPr>
                <w:sz w:val="23"/>
                <w:szCs w:val="23"/>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687</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23"/>
                <w:szCs w:val="23"/>
                <w:color w:val="auto"/>
              </w:rPr>
            </w:pPr>
          </w:p>
        </w:tc>
      </w:tr>
    </w:tbl>
    <w:p>
      <w:pPr>
        <w:spacing w:after="0" w:line="63"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unaudited pro forma results for all periods include adjustments made to account for certain costs and transactions that would have been incurred had the Merger been completed as of January 1, 2020, including amortization charges for acquired intangibles assets, adjustments for transaction costs, adjustments for depreciation expense for property, plant and equipment, inventory step-up and adjustments to interest expense. These adjustments are net of any applicable tax impact and were included to arrive at the pro forma results above.</w:t>
      </w:r>
    </w:p>
    <w:p>
      <w:pPr>
        <w:spacing w:after="0" w:line="167"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4.</w:t>
        <w:tab/>
        <w:t>BUSINESS DIVESTITURE</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Divestiture of Microbial Control</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During the third quarter of 2021, the Company announced it had entered into an agreement to sell its Microbial Control business unit, which was a part of the Health &amp; Biosciences segment. The Company acquired the Microbial Control business unit as part of the Merger with N&amp;B.</w:t>
      </w:r>
    </w:p>
    <w:p>
      <w:pPr>
        <w:spacing w:after="0" w:line="52" w:lineRule="exact"/>
        <w:rPr>
          <w:sz w:val="20"/>
          <w:szCs w:val="20"/>
          <w:color w:val="auto"/>
        </w:rPr>
      </w:pPr>
    </w:p>
    <w:p>
      <w:pPr>
        <w:jc w:val="both"/>
        <w:ind w:left="40" w:firstLine="328"/>
        <w:spacing w:after="0" w:line="260" w:lineRule="auto"/>
        <w:rPr>
          <w:sz w:val="20"/>
          <w:szCs w:val="20"/>
          <w:color w:val="auto"/>
        </w:rPr>
      </w:pPr>
      <w:r>
        <w:rPr>
          <w:rFonts w:ascii="Times New Roman" w:cs="Times New Roman" w:eastAsia="Times New Roman" w:hAnsi="Times New Roman"/>
          <w:sz w:val="18"/>
          <w:szCs w:val="18"/>
          <w:color w:val="auto"/>
        </w:rPr>
        <w:t>The Company completed the divestiture of the Microbial Control business unit on July 1, 2022 and received cash proceeds of approximately $1.254 billion, of which approximately $36 million was attributable to future services to be provided under certain transition service agreements as described below. Certain transaction costs related to the divestiture of approximately $11 million, which was contingent upon the consummation of the divestiture, were determined to be direct costs to sell and, as such, were adjusted against the fair value of the sale consideration. In addition, approximately $15 million of cash proceeds held in escrow were released to the Company upon satisfaction of certain conditions. The sale consideration was further reduced by approximately $3 million for certain post-closing adjustments, which were primarily related to cash, indebtedness and working capital balances.</w:t>
      </w:r>
    </w:p>
    <w:p>
      <w:pPr>
        <w:spacing w:after="0" w:line="66"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The Company entered into transition services agreements with the buyer for providing certain general accounting, information technology and other services up to 19 months following the date of the sale for minimal consideration. The fair value of these transition service agreements was determined to be approximately $36 million, which was adjusted against the sale consideration and recognized as deferred transition services income.</w:t>
      </w:r>
    </w:p>
    <w:p>
      <w:pPr>
        <w:spacing w:after="0" w:line="57"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For the year ended December 31, 2022, the transition services income under the transition services agreements was approximately $11 million and was recognized as a reduction to the costs incurred to provide services under the transition service agreements, which was included in Selling and administrative expenses on the Consolidated Statements of (Loss) Income and Comprehensive (Loss) Income.</w:t>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fair value of the sale consideration received in connection with the divestiture: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4"/>
        </w:trPr>
        <w:tc>
          <w:tcPr>
            <w:tcW w:w="4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4"/>
        </w:trPr>
        <w:tc>
          <w:tcPr>
            <w:tcW w:w="40" w:type="dxa"/>
            <w:vAlign w:val="bottom"/>
            <w:shd w:val="clear" w:color="auto" w:fill="DDDDDD"/>
          </w:tcPr>
          <w:p>
            <w:pPr>
              <w:spacing w:after="0"/>
              <w:rPr>
                <w:sz w:val="24"/>
                <w:szCs w:val="24"/>
                <w:color w:val="auto"/>
              </w:rPr>
            </w:pPr>
          </w:p>
        </w:tc>
        <w:tc>
          <w:tcPr>
            <w:tcW w:w="64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Cash proceeds from the buyer</w:t>
            </w:r>
          </w:p>
        </w:tc>
        <w:tc>
          <w:tcPr>
            <w:tcW w:w="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84"/>
        </w:trPr>
        <w:tc>
          <w:tcPr>
            <w:tcW w:w="40" w:type="dxa"/>
            <w:vAlign w:val="bottom"/>
          </w:tcPr>
          <w:p>
            <w:pPr>
              <w:spacing w:after="0"/>
              <w:rPr>
                <w:sz w:val="24"/>
                <w:szCs w:val="24"/>
                <w:color w:val="auto"/>
              </w:rPr>
            </w:pPr>
          </w:p>
        </w:tc>
        <w:tc>
          <w:tcPr>
            <w:tcW w:w="6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Escrow proceeds</w:t>
            </w:r>
          </w:p>
        </w:tc>
        <w:tc>
          <w:tcPr>
            <w:tcW w:w="1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92"/>
        </w:trPr>
        <w:tc>
          <w:tcPr>
            <w:tcW w:w="40" w:type="dxa"/>
            <w:vAlign w:val="bottom"/>
            <w:shd w:val="clear" w:color="auto" w:fill="DDDDDD"/>
          </w:tcPr>
          <w:p>
            <w:pPr>
              <w:spacing w:after="0"/>
              <w:rPr>
                <w:sz w:val="24"/>
                <w:szCs w:val="24"/>
                <w:color w:val="auto"/>
              </w:rPr>
            </w:pPr>
          </w:p>
        </w:tc>
        <w:tc>
          <w:tcPr>
            <w:tcW w:w="64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Proceeds attributable to transition service agreements</w:t>
            </w:r>
          </w:p>
        </w:tc>
        <w:tc>
          <w:tcPr>
            <w:tcW w:w="20" w:type="dxa"/>
            <w:vAlign w:val="bottom"/>
            <w:shd w:val="clear" w:color="auto" w:fill="DDDDDD"/>
          </w:tcPr>
          <w:p>
            <w:pPr>
              <w:spacing w:after="0"/>
              <w:rPr>
                <w:sz w:val="24"/>
                <w:szCs w:val="24"/>
                <w:color w:val="auto"/>
              </w:rPr>
            </w:pPr>
          </w:p>
        </w:tc>
        <w:tc>
          <w:tcPr>
            <w:tcW w:w="1240" w:type="dxa"/>
            <w:vAlign w:val="bottom"/>
            <w:shd w:val="clear" w:color="auto" w:fill="DDDDDD"/>
          </w:tcPr>
          <w:p>
            <w:pPr>
              <w:spacing w:after="0"/>
              <w:rPr>
                <w:sz w:val="24"/>
                <w:szCs w:val="24"/>
                <w:color w:val="auto"/>
              </w:rPr>
            </w:pPr>
          </w:p>
        </w:tc>
        <w:tc>
          <w:tcPr>
            <w:tcW w:w="1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83"/>
        </w:trPr>
        <w:tc>
          <w:tcPr>
            <w:tcW w:w="40" w:type="dxa"/>
            <w:vAlign w:val="bottom"/>
          </w:tcPr>
          <w:p>
            <w:pPr>
              <w:spacing w:after="0"/>
              <w:rPr>
                <w:sz w:val="24"/>
                <w:szCs w:val="24"/>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costs to sell</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89"/>
        </w:trPr>
        <w:tc>
          <w:tcPr>
            <w:tcW w:w="40" w:type="dxa"/>
            <w:vAlign w:val="bottom"/>
            <w:shd w:val="clear" w:color="auto" w:fill="DDDDDD"/>
          </w:tcPr>
          <w:p>
            <w:pPr>
              <w:spacing w:after="0"/>
              <w:rPr>
                <w:sz w:val="24"/>
                <w:szCs w:val="24"/>
                <w:color w:val="auto"/>
              </w:rPr>
            </w:pPr>
          </w:p>
        </w:tc>
        <w:tc>
          <w:tcPr>
            <w:tcW w:w="64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cash settlement for post-closing adjustments</w:t>
            </w:r>
          </w:p>
        </w:tc>
        <w:tc>
          <w:tcPr>
            <w:tcW w:w="2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spacing w:after="0"/>
              <w:rPr>
                <w:sz w:val="24"/>
                <w:szCs w:val="24"/>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9"/>
        </w:trPr>
        <w:tc>
          <w:tcPr>
            <w:tcW w:w="40" w:type="dxa"/>
            <w:vAlign w:val="bottom"/>
          </w:tcPr>
          <w:p>
            <w:pPr>
              <w:spacing w:after="0"/>
              <w:rPr>
                <w:sz w:val="23"/>
                <w:szCs w:val="23"/>
                <w:color w:val="auto"/>
              </w:rPr>
            </w:pPr>
          </w:p>
        </w:tc>
        <w:tc>
          <w:tcPr>
            <w:tcW w:w="6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Fair value of sale consideration</w:t>
            </w:r>
          </w:p>
        </w:tc>
        <w:tc>
          <w:tcPr>
            <w:tcW w:w="1240" w:type="dxa"/>
            <w:vAlign w:val="bottom"/>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880" w:h="15480" w:orient="portrait"/>
          <w:cols w:equalWidth="0" w:num="1">
            <w:col w:w="9400"/>
          </w:cols>
          <w:pgMar w:left="1220" w:top="1258" w:right="1260" w:bottom="254" w:gutter="0" w:footer="0" w:header="0"/>
        </w:sectPr>
      </w:pPr>
    </w:p>
    <w:bookmarkStart w:id="77" w:name="page78"/>
    <w:bookmarkEnd w:id="77"/>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net proceeds received from business divestiture presented under Cash flows from investing activities represent the cash portion of the sale consideration, which was determined as the fair value of sale consideration reduced by the amount held in escrow and the Cash transferred to the buyer on the closing balance sheet as part of the transaction. The following table summarizes the different components of net proceeds received from business divestiture presented under Cash flows from investing activities: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88"/>
        </w:trPr>
        <w:tc>
          <w:tcPr>
            <w:tcW w:w="40" w:type="dxa"/>
            <w:vAlign w:val="bottom"/>
            <w:shd w:val="clear" w:color="auto" w:fill="DDDDDD"/>
          </w:tcPr>
          <w:p>
            <w:pPr>
              <w:spacing w:after="0"/>
              <w:rPr>
                <w:sz w:val="24"/>
                <w:szCs w:val="24"/>
                <w:color w:val="auto"/>
              </w:rPr>
            </w:pPr>
          </w:p>
        </w:tc>
        <w:tc>
          <w:tcPr>
            <w:tcW w:w="64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Fair value of sale consideration</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82"/>
        </w:trPr>
        <w:tc>
          <w:tcPr>
            <w:tcW w:w="40" w:type="dxa"/>
            <w:vAlign w:val="bottom"/>
          </w:tcPr>
          <w:p>
            <w:pPr>
              <w:spacing w:after="0"/>
              <w:rPr>
                <w:sz w:val="24"/>
                <w:szCs w:val="24"/>
                <w:color w:val="auto"/>
              </w:rPr>
            </w:pPr>
          </w:p>
        </w:tc>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transferred to the buyer on the closing balance sheet</w:t>
            </w:r>
          </w:p>
        </w:tc>
        <w:tc>
          <w:tcPr>
            <w:tcW w:w="1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89"/>
        </w:trPr>
        <w:tc>
          <w:tcPr>
            <w:tcW w:w="40" w:type="dxa"/>
            <w:vAlign w:val="bottom"/>
            <w:shd w:val="clear" w:color="auto" w:fill="DDDDDD"/>
          </w:tcPr>
          <w:p>
            <w:pPr>
              <w:spacing w:after="0"/>
              <w:rPr>
                <w:sz w:val="24"/>
                <w:szCs w:val="24"/>
                <w:color w:val="auto"/>
              </w:rPr>
            </w:pPr>
          </w:p>
        </w:tc>
        <w:tc>
          <w:tcPr>
            <w:tcW w:w="642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Employee reimbursement receivable</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240" w:type="dxa"/>
            <w:vAlign w:val="bottom"/>
            <w:tcBorders>
              <w:bottom w:val="single" w:sz="8" w:color="auto"/>
            </w:tcBorders>
            <w:shd w:val="clear" w:color="auto" w:fill="DDDDDD"/>
          </w:tcPr>
          <w:p>
            <w:pPr>
              <w:spacing w:after="0"/>
              <w:rPr>
                <w:sz w:val="24"/>
                <w:szCs w:val="24"/>
                <w:color w:val="auto"/>
              </w:rPr>
            </w:pPr>
          </w:p>
        </w:tc>
        <w:tc>
          <w:tcPr>
            <w:tcW w:w="1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9"/>
        </w:trPr>
        <w:tc>
          <w:tcPr>
            <w:tcW w:w="40" w:type="dxa"/>
            <w:vAlign w:val="bottom"/>
          </w:tcPr>
          <w:p>
            <w:pPr>
              <w:spacing w:after="0"/>
              <w:rPr>
                <w:sz w:val="23"/>
                <w:szCs w:val="23"/>
                <w:color w:val="auto"/>
              </w:rPr>
            </w:pPr>
          </w:p>
        </w:tc>
        <w:tc>
          <w:tcPr>
            <w:tcW w:w="64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Net proceeds received from business divestiture</w:t>
            </w:r>
          </w:p>
        </w:tc>
        <w:tc>
          <w:tcPr>
            <w:tcW w:w="1240" w:type="dxa"/>
            <w:vAlign w:val="bottom"/>
          </w:tcPr>
          <w:p>
            <w:pPr>
              <w:jc w:val="right"/>
              <w:ind w:right="1008"/>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-210820</wp:posOffset>
                </wp:positionV>
                <wp:extent cx="413194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1945" cy="4763"/>
                        </a:xfrm>
                        <a:prstGeom prst="line">
                          <a:avLst/>
                        </a:prstGeom>
                        <a:solidFill>
                          <a:srgbClr val="FFFFFF"/>
                        </a:solidFill>
                        <a:ln w="11124">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5999pt" to="325.25pt,-16.5999pt" o:allowincell="f" strokecolor="#FFFFFF" strokeweight="0.8759pt"/>
            </w:pict>
          </mc:Fallback>
        </mc:AlternateConten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amount of net assets associated with the Microbial Control business unit was approximately $1.208 billion.</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major classes of assets and liabilities sold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48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00" w:type="dxa"/>
            <w:vAlign w:val="bottom"/>
          </w:tcPr>
          <w:p>
            <w:pPr>
              <w:spacing w:after="0"/>
              <w:rPr>
                <w:sz w:val="18"/>
                <w:szCs w:val="18"/>
                <w:color w:val="auto"/>
              </w:rPr>
            </w:pPr>
          </w:p>
        </w:tc>
        <w:tc>
          <w:tcPr>
            <w:tcW w:w="2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top w:val="single" w:sz="8" w:color="auto"/>
              <w:bottom w:val="single" w:sz="8" w:color="DDDDDD"/>
            </w:tcBorders>
          </w:tcPr>
          <w:p>
            <w:pPr>
              <w:spacing w:after="0" w:line="20" w:lineRule="exact"/>
              <w:rPr>
                <w:sz w:val="1"/>
                <w:szCs w:val="1"/>
                <w:color w:val="auto"/>
              </w:rPr>
            </w:pPr>
          </w:p>
        </w:tc>
        <w:tc>
          <w:tcPr>
            <w:tcW w:w="1580" w:type="dxa"/>
            <w:vAlign w:val="bottom"/>
            <w:tcBorders>
              <w:top w:val="single" w:sz="8" w:color="auto"/>
              <w:bottom w:val="single" w:sz="8" w:color="DDDDDD"/>
            </w:tcBorders>
          </w:tcPr>
          <w:p>
            <w:pPr>
              <w:spacing w:after="0" w:line="20" w:lineRule="exact"/>
              <w:rPr>
                <w:sz w:val="1"/>
                <w:szCs w:val="1"/>
                <w:color w:val="auto"/>
              </w:rPr>
            </w:pPr>
          </w:p>
        </w:tc>
        <w:tc>
          <w:tcPr>
            <w:tcW w:w="48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5"/>
        </w:trPr>
        <w:tc>
          <w:tcPr>
            <w:tcW w:w="40" w:type="dxa"/>
            <w:vAlign w:val="bottom"/>
            <w:shd w:val="clear" w:color="auto" w:fill="DDDDDD"/>
          </w:tcPr>
          <w:p>
            <w:pPr>
              <w:spacing w:after="0"/>
              <w:rPr>
                <w:sz w:val="22"/>
                <w:szCs w:val="22"/>
                <w:color w:val="auto"/>
              </w:rPr>
            </w:pPr>
          </w:p>
        </w:tc>
        <w:tc>
          <w:tcPr>
            <w:tcW w:w="64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DDDDDD"/>
          </w:tcPr>
          <w:p>
            <w:pPr>
              <w:spacing w:after="0"/>
              <w:rPr>
                <w:sz w:val="22"/>
                <w:szCs w:val="22"/>
                <w:color w:val="auto"/>
              </w:rPr>
            </w:pPr>
          </w:p>
        </w:tc>
        <w:tc>
          <w:tcPr>
            <w:tcW w:w="500" w:type="dxa"/>
            <w:vAlign w:val="bottom"/>
            <w:shd w:val="clear" w:color="auto" w:fill="DDDDDD"/>
          </w:tcPr>
          <w:p>
            <w:pPr>
              <w:spacing w:after="0"/>
              <w:rPr>
                <w:sz w:val="22"/>
                <w:szCs w:val="22"/>
                <w:color w:val="auto"/>
              </w:rPr>
            </w:pPr>
          </w:p>
        </w:tc>
        <w:tc>
          <w:tcPr>
            <w:tcW w:w="23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r>
      <w:tr>
        <w:trPr>
          <w:trHeight w:val="271"/>
        </w:trPr>
        <w:tc>
          <w:tcPr>
            <w:tcW w:w="40" w:type="dxa"/>
            <w:vAlign w:val="bottom"/>
          </w:tcPr>
          <w:p>
            <w:pPr>
              <w:spacing w:after="0"/>
              <w:rPr>
                <w:sz w:val="23"/>
                <w:szCs w:val="23"/>
                <w:color w:val="auto"/>
              </w:rPr>
            </w:pPr>
          </w:p>
        </w:tc>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4"/>
                <w:szCs w:val="24"/>
                <w:color w:val="auto"/>
              </w:rPr>
            </w:pPr>
          </w:p>
        </w:tc>
        <w:tc>
          <w:tcPr>
            <w:tcW w:w="648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500" w:type="dxa"/>
            <w:vAlign w:val="bottom"/>
            <w:shd w:val="clear" w:color="auto" w:fill="DDDDDD"/>
          </w:tcPr>
          <w:p>
            <w:pPr>
              <w:spacing w:after="0"/>
              <w:rPr>
                <w:sz w:val="24"/>
                <w:szCs w:val="24"/>
                <w:color w:val="auto"/>
              </w:rPr>
            </w:pPr>
          </w:p>
        </w:tc>
        <w:tc>
          <w:tcPr>
            <w:tcW w:w="2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0" w:type="dxa"/>
            <w:vAlign w:val="bottom"/>
            <w:shd w:val="clear" w:color="auto" w:fill="DDDDDD"/>
          </w:tcPr>
          <w:p>
            <w:pPr>
              <w:spacing w:after="0"/>
              <w:rPr>
                <w:sz w:val="24"/>
                <w:szCs w:val="24"/>
                <w:color w:val="auto"/>
              </w:rPr>
            </w:pPr>
          </w:p>
        </w:tc>
      </w:tr>
      <w:tr>
        <w:trPr>
          <w:trHeight w:val="251"/>
        </w:trPr>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50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top w:val="single" w:sz="8" w:color="DDDDDD"/>
            </w:tcBorders>
          </w:tcPr>
          <w:p>
            <w:pPr>
              <w:spacing w:after="0"/>
              <w:rPr>
                <w:sz w:val="21"/>
                <w:szCs w:val="21"/>
                <w:color w:val="auto"/>
              </w:rPr>
            </w:pPr>
          </w:p>
        </w:tc>
      </w:tr>
      <w:tr>
        <w:trPr>
          <w:trHeight w:val="274"/>
        </w:trPr>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64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500" w:type="dxa"/>
            <w:vAlign w:val="bottom"/>
            <w:tcBorders>
              <w:bottom w:val="single" w:sz="8" w:color="auto"/>
            </w:tcBorders>
            <w:shd w:val="clear" w:color="auto" w:fill="DDDDDD"/>
          </w:tcPr>
          <w:p>
            <w:pPr>
              <w:spacing w:after="0"/>
              <w:rPr>
                <w:sz w:val="23"/>
                <w:szCs w:val="23"/>
                <w:color w:val="auto"/>
              </w:rPr>
            </w:pPr>
          </w:p>
        </w:tc>
        <w:tc>
          <w:tcPr>
            <w:tcW w:w="2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Borders>
              <w:bottom w:val="single" w:sz="8" w:color="auto"/>
            </w:tcBorders>
            <w:shd w:val="clear" w:color="auto" w:fill="DDDDDD"/>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0" w:type="dxa"/>
            <w:vAlign w:val="bottom"/>
          </w:tcPr>
          <w:p>
            <w:pPr>
              <w:spacing w:after="0"/>
              <w:rPr>
                <w:sz w:val="24"/>
                <w:szCs w:val="24"/>
                <w:color w:val="auto"/>
              </w:rPr>
            </w:pPr>
          </w:p>
        </w:tc>
      </w:tr>
      <w:tr>
        <w:trPr>
          <w:trHeight w:val="218"/>
        </w:trPr>
        <w:tc>
          <w:tcPr>
            <w:tcW w:w="4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640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c>
          <w:tcPr>
            <w:tcW w:w="500" w:type="dxa"/>
            <w:vAlign w:val="bottom"/>
            <w:tcBorders>
              <w:top w:val="single" w:sz="8" w:color="auto"/>
            </w:tcBorders>
            <w:shd w:val="clear" w:color="auto" w:fill="DDDDDD"/>
          </w:tcPr>
          <w:p>
            <w:pPr>
              <w:spacing w:after="0"/>
              <w:rPr>
                <w:sz w:val="18"/>
                <w:szCs w:val="18"/>
                <w:color w:val="auto"/>
              </w:rPr>
            </w:pPr>
          </w:p>
        </w:tc>
        <w:tc>
          <w:tcPr>
            <w:tcW w:w="2300" w:type="dxa"/>
            <w:vAlign w:val="bottom"/>
            <w:tcBorders>
              <w:top w:val="single" w:sz="8" w:color="auto"/>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r>
      <w:tr>
        <w:trPr>
          <w:trHeight w:val="271"/>
        </w:trPr>
        <w:tc>
          <w:tcPr>
            <w:tcW w:w="40" w:type="dxa"/>
            <w:vAlign w:val="bottom"/>
          </w:tcPr>
          <w:p>
            <w:pPr>
              <w:spacing w:after="0"/>
              <w:rPr>
                <w:sz w:val="23"/>
                <w:szCs w:val="23"/>
                <w:color w:val="auto"/>
              </w:rPr>
            </w:pPr>
          </w:p>
        </w:tc>
        <w:tc>
          <w:tcPr>
            <w:tcW w:w="6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3"/>
                <w:szCs w:val="23"/>
                <w:color w:val="auto"/>
              </w:rPr>
            </w:pPr>
          </w:p>
        </w:tc>
      </w:tr>
      <w:tr>
        <w:trPr>
          <w:trHeight w:val="274"/>
        </w:trPr>
        <w:tc>
          <w:tcPr>
            <w:tcW w:w="40" w:type="dxa"/>
            <w:vAlign w:val="bottom"/>
            <w:shd w:val="clear" w:color="auto" w:fill="DDDDDD"/>
          </w:tcPr>
          <w:p>
            <w:pPr>
              <w:spacing w:after="0"/>
              <w:rPr>
                <w:sz w:val="23"/>
                <w:szCs w:val="23"/>
                <w:color w:val="auto"/>
              </w:rPr>
            </w:pPr>
          </w:p>
        </w:tc>
        <w:tc>
          <w:tcPr>
            <w:tcW w:w="64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auto"/>
            </w:tcBorders>
            <w:shd w:val="clear" w:color="auto" w:fill="DDDDDD"/>
          </w:tcPr>
          <w:p>
            <w:pPr>
              <w:spacing w:after="0"/>
              <w:rPr>
                <w:sz w:val="23"/>
                <w:szCs w:val="23"/>
                <w:color w:val="auto"/>
              </w:rPr>
            </w:pPr>
          </w:p>
        </w:tc>
        <w:tc>
          <w:tcPr>
            <w:tcW w:w="500" w:type="dxa"/>
            <w:vAlign w:val="bottom"/>
            <w:tcBorders>
              <w:bottom w:val="single" w:sz="8" w:color="auto"/>
            </w:tcBorders>
            <w:shd w:val="clear" w:color="auto" w:fill="DDDDDD"/>
          </w:tcPr>
          <w:p>
            <w:pPr>
              <w:spacing w:after="0"/>
              <w:rPr>
                <w:sz w:val="23"/>
                <w:szCs w:val="23"/>
                <w:color w:val="auto"/>
              </w:rPr>
            </w:pPr>
          </w:p>
        </w:tc>
        <w:tc>
          <w:tcPr>
            <w:tcW w:w="2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Borders>
              <w:bottom w:val="single" w:sz="8" w:color="auto"/>
            </w:tcBorders>
            <w:shd w:val="clear" w:color="auto" w:fill="DDDDDD"/>
          </w:tcPr>
          <w:p>
            <w:pPr>
              <w:spacing w:after="0"/>
              <w:rPr>
                <w:sz w:val="23"/>
                <w:szCs w:val="23"/>
                <w:color w:val="auto"/>
              </w:rPr>
            </w:pPr>
          </w:p>
        </w:tc>
      </w:tr>
      <w:tr>
        <w:trPr>
          <w:trHeight w:val="256"/>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jc w:val="right"/>
              <w:ind w:right="268"/>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-897255</wp:posOffset>
                </wp:positionV>
                <wp:extent cx="413194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194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70.6499pt" to="325.25pt,-70.6499pt" o:allowincell="f" strokecolor="#FFFFFF" strokeweight="0.876pt"/>
            </w:pict>
          </mc:Fallback>
        </mc:AlternateContent>
      </w:r>
    </w:p>
    <w:p>
      <w:pPr>
        <w:spacing w:after="0" w:line="43"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As a result of the divestiture, the Company recognized a pre-tax gain of approximately $11 million presented in Other income, net on the Consolidated Statements of (Loss) Income and Comprehensive (Loss) Income for the year ended December 31, 2022. The Company also recognized the income tax effects associated with the divestiture of approximately $96 million based on preliminary estimates as of December 31, 2022.</w:t>
      </w:r>
    </w:p>
    <w:p>
      <w:pPr>
        <w:spacing w:after="0" w:line="163"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amounts:</w:t>
      </w:r>
    </w:p>
    <w:p>
      <w:pPr>
        <w:spacing w:after="0" w:line="13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2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bottom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bottom w:val="single" w:sz="8" w:color="auto"/>
            </w:tcBorders>
            <w:vMerge w:val="restart"/>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bottom w:val="single" w:sz="8" w:color="auto"/>
            </w:tcBorders>
            <w:vMerge w:val="restart"/>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bottom w:val="single" w:sz="8" w:color="auto"/>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bottom w:val="single" w:sz="8" w:color="DDDDDD"/>
            </w:tcBorders>
          </w:tcPr>
          <w:p>
            <w:pPr>
              <w:spacing w:after="0" w:line="20" w:lineRule="exact"/>
              <w:rPr>
                <w:sz w:val="1"/>
                <w:szCs w:val="1"/>
                <w:color w:val="auto"/>
              </w:rPr>
            </w:pPr>
          </w:p>
        </w:tc>
        <w:tc>
          <w:tcPr>
            <w:tcW w:w="5240" w:type="dxa"/>
            <w:vAlign w:val="bottom"/>
            <w:tcBorders>
              <w:bottom w:val="single" w:sz="8" w:color="DDDDDD"/>
            </w:tcBorders>
            <w:vMerge w:val="continue"/>
          </w:tcPr>
          <w:p>
            <w:pPr>
              <w:spacing w:after="0" w:line="20" w:lineRule="exact"/>
              <w:rPr>
                <w:sz w:val="1"/>
                <w:szCs w:val="1"/>
                <w:color w:val="auto"/>
              </w:rPr>
            </w:pPr>
          </w:p>
        </w:tc>
        <w:tc>
          <w:tcPr>
            <w:tcW w:w="20" w:type="dxa"/>
            <w:vAlign w:val="bottom"/>
            <w:tcBorders>
              <w:bottom w:val="single" w:sz="8" w:color="DDDDDD"/>
            </w:tcBorders>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DDDDDD"/>
          </w:tcPr>
          <w:p>
            <w:pPr>
              <w:spacing w:after="0"/>
              <w:rPr>
                <w:sz w:val="22"/>
                <w:szCs w:val="22"/>
                <w:color w:val="auto"/>
              </w:rPr>
            </w:pPr>
          </w:p>
        </w:tc>
        <w:tc>
          <w:tcPr>
            <w:tcW w:w="68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i w:val="1"/>
                <w:iCs w:val="1"/>
                <w:color w:val="auto"/>
              </w:rPr>
              <w:t>Asset Type</w:t>
            </w:r>
          </w:p>
        </w:tc>
        <w:tc>
          <w:tcPr>
            <w:tcW w:w="26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23"/>
                <w:szCs w:val="23"/>
                <w:color w:val="auto"/>
              </w:rPr>
            </w:pP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8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8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Information technology</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tcPr>
          <w:p>
            <w:pPr>
              <w:spacing w:after="0"/>
              <w:rPr>
                <w:sz w:val="23"/>
                <w:szCs w:val="23"/>
                <w:color w:val="auto"/>
              </w:rPr>
            </w:pPr>
          </w:p>
        </w:tc>
        <w:tc>
          <w:tcPr>
            <w:tcW w:w="686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684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tcPr>
          <w:p>
            <w:pPr>
              <w:spacing w:after="0"/>
              <w:rPr>
                <w:sz w:val="23"/>
                <w:szCs w:val="23"/>
                <w:color w:val="auto"/>
              </w:rPr>
            </w:pPr>
          </w:p>
        </w:tc>
        <w:tc>
          <w:tcPr>
            <w:tcW w:w="68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shd w:val="clear" w:color="auto" w:fill="DDDDDD"/>
          </w:tcPr>
          <w:p>
            <w:pPr>
              <w:spacing w:after="0"/>
              <w:rPr>
                <w:sz w:val="23"/>
                <w:szCs w:val="23"/>
                <w:color w:val="auto"/>
              </w:rPr>
            </w:pPr>
          </w:p>
        </w:tc>
        <w:tc>
          <w:tcPr>
            <w:tcW w:w="684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 w:type="dxa"/>
            <w:vAlign w:val="bottom"/>
            <w:tcBorders>
              <w:bottom w:val="single" w:sz="8" w:color="auto"/>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0" w:type="dxa"/>
            <w:vAlign w:val="bottom"/>
            <w:tcBorders>
              <w:bottom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Impairment of Property, Plant and Equipment</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As discussed in Note 1, for the year ended December 31, 2022 an impairment charge of approximately $28 million was recorded in connection with property, plant and equipment, primarily buildings and improvements, of an asset group that operates primarily in Russia.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880" w:h="15480" w:orient="portrait"/>
          <w:cols w:equalWidth="0" w:num="1">
            <w:col w:w="9400"/>
          </w:cols>
          <w:pgMar w:left="1220" w:top="1255" w:right="1260" w:bottom="254" w:gutter="0" w:footer="0" w:header="0"/>
        </w:sectPr>
      </w:pPr>
    </w:p>
    <w:bookmarkStart w:id="78" w:name="page79"/>
    <w:bookmarkEnd w:id="78"/>
    <w:p>
      <w:pPr>
        <w:ind w:left="40"/>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24"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Depreciation expense was $452 million, $424 million and $132 million for the years ended December 31, 2022, 2021 and 2020, respectively.</w:t>
      </w:r>
    </w:p>
    <w:p>
      <w:pPr>
        <w:spacing w:after="0" w:line="136" w:lineRule="exact"/>
        <w:rPr>
          <w:sz w:val="20"/>
          <w:szCs w:val="20"/>
          <w:color w:val="auto"/>
        </w:rPr>
      </w:pPr>
    </w:p>
    <w:p>
      <w:pPr>
        <w:ind w:left="40" w:right="3860"/>
        <w:spacing w:after="0" w:line="337" w:lineRule="auto"/>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 xml:space="preserve"> </w:t>
      </w:r>
      <w:r>
        <w:rPr>
          <w:rFonts w:ascii="Times New Roman" w:cs="Times New Roman" w:eastAsia="Times New Roman" w:hAnsi="Times New Roman"/>
          <w:sz w:val="18"/>
          <w:szCs w:val="18"/>
          <w:b w:val="1"/>
          <w:bCs w:val="1"/>
          <w:color w:val="auto"/>
        </w:rPr>
        <w:t>GOODWILL AND OTHER INTANGIBLE ASSETS, NET Goodwill</w:t>
      </w:r>
    </w:p>
    <w:p>
      <w:pPr>
        <w:spacing w:after="0" w:line="369" w:lineRule="exact"/>
        <w:rPr>
          <w:sz w:val="20"/>
          <w:szCs w:val="20"/>
          <w:color w:val="auto"/>
        </w:rPr>
      </w:pPr>
    </w:p>
    <w:p>
      <w:pPr>
        <w:jc w:val="both"/>
        <w:ind w:left="40" w:firstLine="328"/>
        <w:spacing w:after="0" w:line="261" w:lineRule="auto"/>
        <w:rPr>
          <w:sz w:val="20"/>
          <w:szCs w:val="20"/>
          <w:color w:val="auto"/>
        </w:rPr>
      </w:pPr>
      <w:r>
        <w:rPr>
          <w:rFonts w:ascii="Times New Roman" w:cs="Times New Roman" w:eastAsia="Times New Roman" w:hAnsi="Times New Roman"/>
          <w:sz w:val="18"/>
          <w:szCs w:val="18"/>
          <w:color w:val="auto"/>
        </w:rPr>
        <w:t>In the first quarter of 2021, in connection to the Merger, the Company reorganized its reporting structure. In connection with this reorganization, goodwill was reassigned among reporting units using a relative fair value approach based on the fair value of the elements transferred and the fair value of the elements remaining within the original reporting units. The Company tested goodwill for impairment on a pre-reorganization basis and determined there was no impairment for the affected reporting units. In connection with the reorganization, $985 million of goodwill previously included in the legacy Taste segment, now the Nourish segment, was moved to the Scent and Health &amp; Biosciences segments amounting to $257 million and $728 million, respectively.</w:t>
      </w:r>
    </w:p>
    <w:p>
      <w:pPr>
        <w:spacing w:after="0" w:line="65" w:lineRule="exact"/>
        <w:rPr>
          <w:sz w:val="20"/>
          <w:szCs w:val="20"/>
          <w:color w:val="auto"/>
        </w:rPr>
      </w:pPr>
    </w:p>
    <w:p>
      <w:pPr>
        <w:jc w:val="both"/>
        <w:ind w:left="40" w:firstLine="328"/>
        <w:spacing w:after="0" w:line="290" w:lineRule="auto"/>
        <w:rPr>
          <w:sz w:val="20"/>
          <w:szCs w:val="20"/>
          <w:color w:val="auto"/>
        </w:rPr>
      </w:pPr>
      <w:r>
        <w:rPr>
          <w:rFonts w:ascii="Times New Roman" w:cs="Times New Roman" w:eastAsia="Times New Roman" w:hAnsi="Times New Roman"/>
          <w:sz w:val="18"/>
          <w:szCs w:val="18"/>
          <w:color w:val="auto"/>
        </w:rPr>
        <w:t>Movements in goodwill attributable to each reportable segment during the years ended December 31, 2021 and 2022 were as follows:</w:t>
      </w: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vMerge w:val="restart"/>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Nourish</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68"/>
              <w:spacing w:after="0" w:line="195" w:lineRule="exact"/>
              <w:rPr>
                <w:sz w:val="20"/>
                <w:szCs w:val="20"/>
                <w:color w:val="auto"/>
              </w:rPr>
            </w:pPr>
            <w:r>
              <w:rPr>
                <w:rFonts w:ascii="Times New Roman" w:cs="Times New Roman" w:eastAsia="Times New Roman" w:hAnsi="Times New Roman"/>
                <w:sz w:val="18"/>
                <w:szCs w:val="18"/>
                <w:b w:val="1"/>
                <w:bCs w:val="1"/>
                <w:color w:val="auto"/>
              </w:rPr>
              <w:t>Health &amp;</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Scent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08"/>
              <w:spacing w:after="0" w:line="195" w:lineRule="exact"/>
              <w:rPr>
                <w:sz w:val="20"/>
                <w:szCs w:val="20"/>
                <w:color w:val="auto"/>
              </w:rPr>
            </w:pPr>
            <w:r>
              <w:rPr>
                <w:rFonts w:ascii="Times New Roman" w:cs="Times New Roman" w:eastAsia="Times New Roman" w:hAnsi="Times New Roman"/>
                <w:sz w:val="18"/>
                <w:szCs w:val="18"/>
                <w:b w:val="1"/>
                <w:bCs w:val="1"/>
                <w:color w:val="auto"/>
              </w:rPr>
              <w:t>Pharma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restart"/>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88"/>
              <w:spacing w:after="0" w:line="201" w:lineRule="exact"/>
              <w:rPr>
                <w:sz w:val="20"/>
                <w:szCs w:val="20"/>
                <w:color w:val="auto"/>
              </w:rPr>
            </w:pPr>
            <w:r>
              <w:rPr>
                <w:rFonts w:ascii="Times New Roman" w:cs="Times New Roman" w:eastAsia="Times New Roman" w:hAnsi="Times New Roman"/>
                <w:sz w:val="18"/>
                <w:szCs w:val="18"/>
                <w:b w:val="1"/>
                <w:bCs w:val="1"/>
                <w:color w:val="auto"/>
              </w:rPr>
              <w:t>Biosciences</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168"/>
              <w:spacing w:after="0" w:line="201" w:lineRule="exact"/>
              <w:rPr>
                <w:sz w:val="20"/>
                <w:szCs w:val="20"/>
                <w:color w:val="auto"/>
              </w:rPr>
            </w:pPr>
            <w:r>
              <w:rPr>
                <w:rFonts w:ascii="Times New Roman" w:cs="Times New Roman" w:eastAsia="Times New Roman" w:hAnsi="Times New Roman"/>
                <w:sz w:val="18"/>
                <w:szCs w:val="18"/>
                <w:b w:val="1"/>
                <w:bCs w:val="1"/>
                <w:color w:val="auto"/>
              </w:rPr>
              <w:t>Solutions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108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DDDDDD"/>
          </w:tcPr>
          <w:p>
            <w:pPr>
              <w:spacing w:after="0"/>
              <w:rPr>
                <w:sz w:val="22"/>
                <w:szCs w:val="22"/>
                <w:color w:val="auto"/>
              </w:rPr>
            </w:pPr>
          </w:p>
        </w:tc>
        <w:tc>
          <w:tcPr>
            <w:tcW w:w="26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11"/>
                <w:szCs w:val="11"/>
                <w:color w:val="auto"/>
              </w:rPr>
              <w:t>(1)</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27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Transferred to assets held for sale</w:t>
            </w:r>
            <w:r>
              <w:rPr>
                <w:rFonts w:ascii="Times New Roman" w:cs="Times New Roman" w:eastAsia="Times New Roman" w:hAnsi="Times New Roman"/>
                <w:sz w:val="11"/>
                <w:szCs w:val="11"/>
                <w:color w:val="auto"/>
              </w:rPr>
              <w:t>(2)</w:t>
            </w: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highlight w:val="white"/>
              </w:rPr>
              <w:t>Reduction from business divestiture</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line="20" w:lineRule="exact"/>
              <w:rPr>
                <w:sz w:val="1"/>
                <w:szCs w:val="1"/>
                <w:color w:val="auto"/>
              </w:rPr>
            </w:pPr>
          </w:p>
        </w:tc>
      </w:tr>
      <w:tr>
        <w:trPr>
          <w:trHeight w:val="219"/>
        </w:trPr>
        <w:tc>
          <w:tcPr>
            <w:tcW w:w="40" w:type="dxa"/>
            <w:vAlign w:val="bottom"/>
          </w:tcPr>
          <w:p>
            <w:pPr>
              <w:spacing w:after="0"/>
              <w:rPr>
                <w:sz w:val="19"/>
                <w:szCs w:val="19"/>
                <w:color w:val="auto"/>
              </w:rPr>
            </w:pPr>
          </w:p>
        </w:tc>
        <w:tc>
          <w:tcPr>
            <w:tcW w:w="26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3"/>
                <w:szCs w:val="23"/>
                <w:color w:val="auto"/>
              </w:rPr>
            </w:pPr>
          </w:p>
        </w:tc>
        <w:tc>
          <w:tcPr>
            <w:tcW w:w="27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shd w:val="clear" w:color="auto" w:fill="DDDDDD"/>
          </w:tcPr>
          <w:p>
            <w:pPr>
              <w:spacing w:after="0"/>
              <w:rPr>
                <w:sz w:val="23"/>
                <w:szCs w:val="23"/>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Reallocation</w:t>
            </w:r>
          </w:p>
        </w:tc>
        <w:tc>
          <w:tcPr>
            <w:tcW w:w="24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8"/>
        </w:trPr>
        <w:tc>
          <w:tcPr>
            <w:tcW w:w="40" w:type="dxa"/>
            <w:vAlign w:val="bottom"/>
            <w:tcBorders>
              <w:bottom w:val="single" w:sz="8" w:color="DDDDDD"/>
            </w:tcBorders>
          </w:tcPr>
          <w:p>
            <w:pPr>
              <w:spacing w:after="0"/>
              <w:rPr>
                <w:sz w:val="18"/>
                <w:szCs w:val="18"/>
                <w:color w:val="auto"/>
              </w:rPr>
            </w:pPr>
          </w:p>
        </w:tc>
        <w:tc>
          <w:tcPr>
            <w:tcW w:w="2740" w:type="dxa"/>
            <w:vAlign w:val="bottom"/>
            <w:tcBorders>
              <w:bottom w:val="single" w:sz="8" w:color="DDDDDD"/>
            </w:tcBorders>
            <w:gridSpan w:val="4"/>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20" w:type="dxa"/>
            <w:vAlign w:val="bottom"/>
            <w:tcBorders>
              <w:bottom w:val="single" w:sz="8" w:color="DDDDDD"/>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DDDDDD"/>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26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4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7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11"/>
                <w:szCs w:val="11"/>
                <w:color w:val="auto"/>
              </w:rPr>
              <w:t>(3)</w:t>
            </w:r>
          </w:p>
        </w:tc>
        <w:tc>
          <w:tcPr>
            <w:tcW w:w="240" w:type="dxa"/>
            <w:vAlign w:val="bottom"/>
          </w:tcPr>
          <w:p>
            <w:pPr>
              <w:spacing w:after="0"/>
              <w:rPr>
                <w:sz w:val="2"/>
                <w:szCs w:val="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line="20" w:lineRule="exact"/>
              <w:rPr>
                <w:sz w:val="1"/>
                <w:szCs w:val="1"/>
                <w:color w:val="auto"/>
              </w:rPr>
            </w:pPr>
          </w:p>
        </w:tc>
      </w:tr>
      <w:tr>
        <w:trPr>
          <w:trHeight w:val="218"/>
        </w:trPr>
        <w:tc>
          <w:tcPr>
            <w:tcW w:w="40" w:type="dxa"/>
            <w:vAlign w:val="bottom"/>
          </w:tcPr>
          <w:p>
            <w:pPr>
              <w:spacing w:after="0"/>
              <w:rPr>
                <w:sz w:val="18"/>
                <w:szCs w:val="18"/>
                <w:color w:val="auto"/>
              </w:rPr>
            </w:pPr>
          </w:p>
        </w:tc>
        <w:tc>
          <w:tcPr>
            <w:tcW w:w="2740" w:type="dxa"/>
            <w:vAlign w:val="bottom"/>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27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Impairment</w:t>
            </w:r>
          </w:p>
        </w:tc>
        <w:tc>
          <w:tcPr>
            <w:tcW w:w="240" w:type="dxa"/>
            <w:vAlign w:val="bottom"/>
            <w:shd w:val="clear" w:color="auto" w:fill="DDDDDD"/>
          </w:tcPr>
          <w:p>
            <w:pPr>
              <w:spacing w:after="0"/>
              <w:rPr>
                <w:sz w:val="24"/>
                <w:szCs w:val="24"/>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4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Transferred to assets held for sale</w:t>
            </w:r>
            <w:r>
              <w:rPr>
                <w:rFonts w:ascii="Times New Roman" w:cs="Times New Roman" w:eastAsia="Times New Roman" w:hAnsi="Times New Roman"/>
                <w:sz w:val="11"/>
                <w:szCs w:val="11"/>
                <w:color w:val="auto"/>
              </w:rPr>
              <w:t>(4)</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27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auto"/>
            </w:tcBorders>
            <w:shd w:val="clear" w:color="auto" w:fill="DDDDDD"/>
          </w:tcPr>
          <w:p>
            <w:pPr>
              <w:spacing w:after="0"/>
              <w:rPr>
                <w:sz w:val="23"/>
                <w:szCs w:val="23"/>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0" w:type="dxa"/>
            <w:vAlign w:val="bottom"/>
            <w:shd w:val="clear" w:color="auto" w:fill="DDDDDD"/>
          </w:tcPr>
          <w:p>
            <w:pPr>
              <w:spacing w:after="0"/>
              <w:rPr>
                <w:sz w:val="23"/>
                <w:szCs w:val="23"/>
                <w:color w:val="auto"/>
              </w:rPr>
            </w:pPr>
          </w:p>
        </w:tc>
        <w:tc>
          <w:tcPr>
            <w:tcW w:w="300" w:type="dxa"/>
            <w:vAlign w:val="bottom"/>
            <w:tcBorders>
              <w:bottom w:val="single" w:sz="8" w:color="auto"/>
            </w:tcBorders>
            <w:shd w:val="clear" w:color="auto" w:fill="DDDDDD"/>
          </w:tcPr>
          <w:p>
            <w:pPr>
              <w:spacing w:after="0"/>
              <w:rPr>
                <w:sz w:val="23"/>
                <w:szCs w:val="23"/>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spacing w:after="0"/>
              <w:rPr>
                <w:sz w:val="23"/>
                <w:szCs w:val="23"/>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300" w:type="dxa"/>
            <w:vAlign w:val="bottom"/>
            <w:tcBorders>
              <w:bottom w:val="single" w:sz="8" w:color="auto"/>
            </w:tcBorders>
            <w:shd w:val="clear" w:color="auto" w:fill="DDDDDD"/>
          </w:tcPr>
          <w:p>
            <w:pPr>
              <w:spacing w:after="0"/>
              <w:rPr>
                <w:sz w:val="23"/>
                <w:szCs w:val="23"/>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26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2569210</wp:posOffset>
                </wp:positionH>
                <wp:positionV relativeFrom="paragraph">
                  <wp:posOffset>-2247900</wp:posOffset>
                </wp:positionV>
                <wp:extent cx="33020" cy="1206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2065"/>
                        </a:xfrm>
                        <a:prstGeom prst="rect">
                          <a:avLst/>
                        </a:prstGeom>
                        <a:solidFill>
                          <a:srgbClr val="DDDDDD"/>
                        </a:solidFill>
                      </wps:spPr>
                      <wps:bodyPr/>
                    </wps:wsp>
                  </a:graphicData>
                </a:graphic>
              </wp:anchor>
            </w:drawing>
          </mc:Choice>
          <mc:Fallback>
            <w:pict>
              <v:rect id="Shape 105" o:spid="_x0000_s1130" style="position:absolute;margin-left:202.3pt;margin-top:-177pt;width:2.6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3411220</wp:posOffset>
                </wp:positionH>
                <wp:positionV relativeFrom="paragraph">
                  <wp:posOffset>-2247900</wp:posOffset>
                </wp:positionV>
                <wp:extent cx="36195" cy="1206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106" o:spid="_x0000_s1131" style="position:absolute;margin-left:268.6pt;margin-top:-177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4253230</wp:posOffset>
                </wp:positionH>
                <wp:positionV relativeFrom="paragraph">
                  <wp:posOffset>-2247900</wp:posOffset>
                </wp:positionV>
                <wp:extent cx="36195" cy="1206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107" o:spid="_x0000_s1132" style="position:absolute;margin-left:334.9pt;margin-top:-177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5095240</wp:posOffset>
                </wp:positionH>
                <wp:positionV relativeFrom="paragraph">
                  <wp:posOffset>-2247900</wp:posOffset>
                </wp:positionV>
                <wp:extent cx="36195" cy="1206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108" o:spid="_x0000_s1133" style="position:absolute;margin-left:401.2pt;margin-top:-177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5114290</wp:posOffset>
                </wp:positionH>
                <wp:positionV relativeFrom="paragraph">
                  <wp:posOffset>-1724660</wp:posOffset>
                </wp:positionV>
                <wp:extent cx="0" cy="17208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33350">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7pt,-135.7999pt" to="402.7pt,-122.2499pt" o:allowincell="f" strokecolor="#FFFFFF" strokeweight="2.626pt"/>
            </w:pict>
          </mc:Fallback>
        </mc:AlternateContent>
        <mc:AlternateContent>
          <mc:Choice Requires="wps">
            <w:drawing>
              <wp:anchor simplePos="0" relativeHeight="251657728" behindDoc="1" locked="0" layoutInCell="0" allowOverlap="1">
                <wp:simplePos x="0" y="0"/>
                <wp:positionH relativeFrom="column">
                  <wp:posOffset>5114290</wp:posOffset>
                </wp:positionH>
                <wp:positionV relativeFrom="paragraph">
                  <wp:posOffset>-1377315</wp:posOffset>
                </wp:positionV>
                <wp:extent cx="0" cy="172085"/>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33350">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7pt,-108.4499pt" to="402.7pt,-94.8999pt" o:allowincell="f" strokecolor="#FFFFFF" strokeweight="2.626pt"/>
            </w:pict>
          </mc:Fallback>
        </mc:AlternateContent>
        <mc:AlternateContent>
          <mc:Choice Requires="wps">
            <w:drawing>
              <wp:anchor simplePos="0" relativeHeight="251657728" behindDoc="1" locked="0" layoutInCell="0" allowOverlap="1">
                <wp:simplePos x="0" y="0"/>
                <wp:positionH relativeFrom="column">
                  <wp:posOffset>2569210</wp:posOffset>
                </wp:positionH>
                <wp:positionV relativeFrom="paragraph">
                  <wp:posOffset>-1205865</wp:posOffset>
                </wp:positionV>
                <wp:extent cx="33020" cy="1270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020" cy="12700"/>
                        </a:xfrm>
                        <a:prstGeom prst="rect">
                          <a:avLst/>
                        </a:prstGeom>
                        <a:solidFill>
                          <a:srgbClr val="DDDDDD"/>
                        </a:solidFill>
                      </wps:spPr>
                      <wps:bodyPr/>
                    </wps:wsp>
                  </a:graphicData>
                </a:graphic>
              </wp:anchor>
            </w:drawing>
          </mc:Choice>
          <mc:Fallback>
            <w:pict>
              <v:rect id="Shape 111" o:spid="_x0000_s1136" style="position:absolute;margin-left:202.3pt;margin-top:-94.9499pt;width:2.6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3411220</wp:posOffset>
                </wp:positionH>
                <wp:positionV relativeFrom="paragraph">
                  <wp:posOffset>-1205865</wp:posOffset>
                </wp:positionV>
                <wp:extent cx="36195" cy="1270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700"/>
                        </a:xfrm>
                        <a:prstGeom prst="rect">
                          <a:avLst/>
                        </a:prstGeom>
                        <a:solidFill>
                          <a:srgbClr val="DDDDDD"/>
                        </a:solidFill>
                      </wps:spPr>
                      <wps:bodyPr/>
                    </wps:wsp>
                  </a:graphicData>
                </a:graphic>
              </wp:anchor>
            </w:drawing>
          </mc:Choice>
          <mc:Fallback>
            <w:pict>
              <v:rect id="Shape 112" o:spid="_x0000_s1137" style="position:absolute;margin-left:268.6pt;margin-top:-94.9499pt;width:2.8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4253230</wp:posOffset>
                </wp:positionH>
                <wp:positionV relativeFrom="paragraph">
                  <wp:posOffset>-1205865</wp:posOffset>
                </wp:positionV>
                <wp:extent cx="36195" cy="1270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700"/>
                        </a:xfrm>
                        <a:prstGeom prst="rect">
                          <a:avLst/>
                        </a:prstGeom>
                        <a:solidFill>
                          <a:srgbClr val="DDDDDD"/>
                        </a:solidFill>
                      </wps:spPr>
                      <wps:bodyPr/>
                    </wps:wsp>
                  </a:graphicData>
                </a:graphic>
              </wp:anchor>
            </w:drawing>
          </mc:Choice>
          <mc:Fallback>
            <w:pict>
              <v:rect id="Shape 113" o:spid="_x0000_s1138" style="position:absolute;margin-left:334.9pt;margin-top:-94.9499pt;width:2.8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5095240</wp:posOffset>
                </wp:positionH>
                <wp:positionV relativeFrom="paragraph">
                  <wp:posOffset>-1205865</wp:posOffset>
                </wp:positionV>
                <wp:extent cx="36195" cy="1270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700"/>
                        </a:xfrm>
                        <a:prstGeom prst="rect">
                          <a:avLst/>
                        </a:prstGeom>
                        <a:solidFill>
                          <a:srgbClr val="DDDDDD"/>
                        </a:solidFill>
                      </wps:spPr>
                      <wps:bodyPr/>
                    </wps:wsp>
                  </a:graphicData>
                </a:graphic>
              </wp:anchor>
            </w:drawing>
          </mc:Choice>
          <mc:Fallback>
            <w:pict>
              <v:rect id="Shape 114" o:spid="_x0000_s1139" style="position:absolute;margin-left:401.2pt;margin-top:-94.9499pt;width:2.8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5114290</wp:posOffset>
                </wp:positionH>
                <wp:positionV relativeFrom="paragraph">
                  <wp:posOffset>-1029970</wp:posOffset>
                </wp:positionV>
                <wp:extent cx="0" cy="172085"/>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33350">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7pt,-81.0999pt" to="402.7pt,-67.5499pt" o:allowincell="f" strokecolor="#FFFFFF" strokeweight="2.626pt"/>
            </w:pict>
          </mc:Fallback>
        </mc:AlternateContent>
      </w:r>
    </w:p>
    <w:p>
      <w:pPr>
        <w:spacing w:after="0" w:line="9" w:lineRule="exact"/>
        <w:rPr>
          <w:sz w:val="20"/>
          <w:szCs w:val="20"/>
          <w:color w:val="auto"/>
        </w:rPr>
      </w:pPr>
    </w:p>
    <w:p>
      <w:pPr>
        <w:ind w:left="460" w:hanging="414"/>
        <w:spacing w:after="0"/>
        <w:tabs>
          <w:tab w:leader="none" w:pos="4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relate to the Merger with N&amp;B. See Note 3 for additional information.</w:t>
      </w:r>
    </w:p>
    <w:p>
      <w:pPr>
        <w:spacing w:after="0" w:line="53" w:lineRule="exact"/>
        <w:rPr>
          <w:rFonts w:ascii="Times New Roman" w:cs="Times New Roman" w:eastAsia="Times New Roman" w:hAnsi="Times New Roman"/>
          <w:sz w:val="17"/>
          <w:szCs w:val="17"/>
          <w:color w:val="auto"/>
        </w:rPr>
      </w:pPr>
    </w:p>
    <w:p>
      <w:pPr>
        <w:ind w:left="460" w:hanging="414"/>
        <w:spacing w:after="0" w:line="241" w:lineRule="auto"/>
        <w:tabs>
          <w:tab w:leader="none" w:pos="4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Transferred to assets held for sale relate to the Microbial Control business unit that was classified as “held for sale” as of December 31, 2021.</w:t>
      </w:r>
    </w:p>
    <w:p>
      <w:pPr>
        <w:spacing w:after="0" w:line="1" w:lineRule="exact"/>
        <w:rPr>
          <w:rFonts w:ascii="Times New Roman" w:cs="Times New Roman" w:eastAsia="Times New Roman" w:hAnsi="Times New Roman"/>
          <w:sz w:val="17"/>
          <w:szCs w:val="17"/>
          <w:color w:val="auto"/>
        </w:rPr>
      </w:pPr>
    </w:p>
    <w:p>
      <w:pPr>
        <w:ind w:left="460" w:hanging="414"/>
        <w:spacing w:after="0"/>
        <w:tabs>
          <w:tab w:leader="none" w:pos="4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relate to the acquisition of Health Wright. See Note 3 for additional information.</w:t>
      </w:r>
    </w:p>
    <w:p>
      <w:pPr>
        <w:spacing w:after="0" w:line="1" w:lineRule="exact"/>
        <w:rPr>
          <w:rFonts w:ascii="Times New Roman" w:cs="Times New Roman" w:eastAsia="Times New Roman" w:hAnsi="Times New Roman"/>
          <w:sz w:val="17"/>
          <w:szCs w:val="17"/>
          <w:color w:val="auto"/>
        </w:rPr>
      </w:pPr>
    </w:p>
    <w:p>
      <w:pPr>
        <w:ind w:left="460" w:hanging="414"/>
        <w:spacing w:after="0" w:line="275" w:lineRule="auto"/>
        <w:tabs>
          <w:tab w:leader="none" w:pos="4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Transferred to assets held for sale relate to the portion of the Savory Solutions business and Flavor Specialty Ingredients business that were classified as “held for sale” as of December 31, 2022. See Note 21 for additional information.</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Goodwill Impairment Test</w:t>
      </w:r>
    </w:p>
    <w:p>
      <w:pPr>
        <w:spacing w:after="0" w:line="124"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For the annual impairment test as of November 30, 2022, the Company elected to bypass the qualitative assessment for all reporting units, Step 0 of the guidance in ASC Topic 350, Intangibles – Goodwill and Other, which allows for the assessment of qualitative factors to determine whether it is more likely than not that the fair value of a reporting unit is less than its carrying value. For all six reporting units, the Company performed a Step 1 test.</w:t>
      </w:r>
    </w:p>
    <w:p>
      <w:pPr>
        <w:spacing w:after="0" w:line="57" w:lineRule="exact"/>
        <w:rPr>
          <w:sz w:val="20"/>
          <w:szCs w:val="20"/>
          <w:color w:val="auto"/>
        </w:rPr>
      </w:pPr>
    </w:p>
    <w:p>
      <w:pPr>
        <w:jc w:val="both"/>
        <w:ind w:left="40" w:firstLine="329"/>
        <w:spacing w:after="0" w:line="265" w:lineRule="auto"/>
        <w:rPr>
          <w:sz w:val="20"/>
          <w:szCs w:val="20"/>
          <w:color w:val="auto"/>
        </w:rPr>
      </w:pPr>
      <w:r>
        <w:rPr>
          <w:rFonts w:ascii="Times New Roman" w:cs="Times New Roman" w:eastAsia="Times New Roman" w:hAnsi="Times New Roman"/>
          <w:sz w:val="18"/>
          <w:szCs w:val="18"/>
          <w:color w:val="auto"/>
        </w:rPr>
        <w:t>The Company assessed the fair value of the reporting units using an income approach. Under the income approach, the Company determined the fair value by using a discounted cash flow method at a rate of return that reflects the relative risk of the projected future cash flows of each reporting unit, as well as a terminal value. The Company used the most current actual and forecasted operating data available. Key estimates and assumptions used in these valuations include revenue growth rates, gross margins, EBITDA margins, terminal growth rates and discount rates.</w:t>
      </w:r>
    </w:p>
    <w:p>
      <w:pPr>
        <w:spacing w:after="0" w:line="61"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In performing the quantitative impairment test, the Company determined that the fair value of the six reporting units exceeded their carrying values and determined that there was no further impairment of goodwill at any of the Company’s six reporting units as of November 30, 2022. Based on the quantitative impairment test performed, the Company determined that all reporting units except the Health &amp; Biosciences reporting unit had excess fair value over carrying value of more than 25%.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ectPr>
          <w:pgSz w:w="11880" w:h="15480" w:orient="portrait"/>
          <w:cols w:equalWidth="0" w:num="1">
            <w:col w:w="9400"/>
          </w:cols>
          <w:pgMar w:left="1220" w:top="1252" w:right="1260" w:bottom="254" w:gutter="0" w:footer="0" w:header="0"/>
        </w:sectPr>
      </w:pPr>
    </w:p>
    <w:bookmarkStart w:id="79" w:name="page80"/>
    <w:bookmarkEnd w:id="79"/>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As of November 30, 2022, the Health &amp; Biosciences reporting unit had excess fair value over carrying value of approximately 3% and goodwill of approximately $4.321 billion. While management believes that the assumptions used in the impairment test were reasonable, changes in key assumptions, including lower revenue growth, operating margin, terminal growth rates or increase in discount rates could result in a future impairment.</w:t>
      </w:r>
    </w:p>
    <w:p>
      <w:pPr>
        <w:spacing w:after="0" w:line="57" w:lineRule="exact"/>
        <w:rPr>
          <w:sz w:val="20"/>
          <w:szCs w:val="20"/>
          <w:color w:val="auto"/>
        </w:rPr>
      </w:pPr>
    </w:p>
    <w:p>
      <w:pPr>
        <w:jc w:val="both"/>
        <w:ind w:left="40" w:firstLine="329"/>
        <w:spacing w:after="0" w:line="276" w:lineRule="auto"/>
        <w:rPr>
          <w:sz w:val="20"/>
          <w:szCs w:val="20"/>
          <w:color w:val="auto"/>
        </w:rPr>
      </w:pPr>
      <w:r>
        <w:rPr>
          <w:rFonts w:ascii="Times New Roman" w:cs="Times New Roman" w:eastAsia="Times New Roman" w:hAnsi="Times New Roman"/>
          <w:sz w:val="18"/>
          <w:szCs w:val="18"/>
          <w:color w:val="auto"/>
        </w:rPr>
        <w:t>If current long-term projections for these reporting units are not realized or materially decrease, the Company may be required to write-off all or a portion of the goodwill. Such charge could have a material effect on the Consolidated Statements of Operations and Balance Sheets.</w:t>
      </w:r>
    </w:p>
    <w:p>
      <w:pPr>
        <w:spacing w:after="0" w:line="52"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For the third quarter of 2022, the Company determined that goodwill impairment triggering events occurred for its Nourish, Health &amp; Biosciences and Pharma Solutions reporting units, which required it to complete an interim impairment assessment. The primary indicators that were deemed to be triggering events in the quarter for the reporting units were declines in the Company’s projections across various reporting units and ongoing adverse macroeconomic impacts such as inflation, increases in interest rates and unfavorable effects from exchange rates. As a result of the triggering events, the Company assessed the fair value of the reporting units using the income approach.</w:t>
      </w:r>
    </w:p>
    <w:p>
      <w:pPr>
        <w:spacing w:after="0" w:line="66"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In performing the quantitative impairment test, the Company determined that the fair value of the Nourish and Pharma Solutions reporting units exceeded their carrying value, and determined that there was no impairment of goodwill relating to these reporting units. The Company determined that the carrying value of the Health &amp; Biosciences reporting unit exceeded its fair value and recorded a goodwill impairment charge of $2.250 billion in the Consolidated Statements of (Loss) Income and Comprehensive (Loss) Income for the year ended December 31, 2022.</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intangible assets, net consisted of the following amounts:</w:t>
      </w:r>
    </w:p>
    <w:p>
      <w:pPr>
        <w:spacing w:after="0" w:line="13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69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53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5"/>
        </w:trPr>
        <w:tc>
          <w:tcPr>
            <w:tcW w:w="40" w:type="dxa"/>
            <w:vAlign w:val="bottom"/>
            <w:tcBorders>
              <w:bottom w:val="single" w:sz="8" w:color="DDDDDD"/>
            </w:tcBorders>
            <w:shd w:val="clear" w:color="auto" w:fill="DDDDDD"/>
          </w:tcPr>
          <w:p>
            <w:pPr>
              <w:spacing w:after="0"/>
              <w:rPr>
                <w:sz w:val="20"/>
                <w:szCs w:val="20"/>
                <w:color w:val="auto"/>
              </w:rPr>
            </w:pPr>
          </w:p>
        </w:tc>
        <w:tc>
          <w:tcPr>
            <w:tcW w:w="694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Asset Type</w:t>
            </w:r>
          </w:p>
        </w:tc>
        <w:tc>
          <w:tcPr>
            <w:tcW w:w="2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DDDDDD"/>
            </w:tcBorders>
            <w:shd w:val="clear" w:color="auto" w:fill="DDDDDD"/>
          </w:tcPr>
          <w:p>
            <w:pPr>
              <w:spacing w:after="0"/>
              <w:rPr>
                <w:sz w:val="20"/>
                <w:szCs w:val="20"/>
                <w:color w:val="auto"/>
              </w:rPr>
            </w:pPr>
          </w:p>
        </w:tc>
        <w:tc>
          <w:tcPr>
            <w:tcW w:w="880" w:type="dxa"/>
            <w:vAlign w:val="bottom"/>
            <w:tcBorders>
              <w:bottom w:val="single" w:sz="8" w:color="DDDDDD"/>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260" w:type="dxa"/>
            <w:vAlign w:val="bottom"/>
            <w:tcBorders>
              <w:bottom w:val="single" w:sz="8" w:color="DDDDDD"/>
            </w:tcBorders>
            <w:shd w:val="clear" w:color="auto" w:fill="DDDDDD"/>
          </w:tcPr>
          <w:p>
            <w:pPr>
              <w:spacing w:after="0"/>
              <w:rPr>
                <w:sz w:val="20"/>
                <w:szCs w:val="20"/>
                <w:color w:val="auto"/>
              </w:rPr>
            </w:pPr>
          </w:p>
        </w:tc>
        <w:tc>
          <w:tcPr>
            <w:tcW w:w="880" w:type="dxa"/>
            <w:vAlign w:val="bottom"/>
            <w:tcBorders>
              <w:bottom w:val="single" w:sz="8" w:color="DDDDDD"/>
            </w:tcBorders>
            <w:shd w:val="clear" w:color="auto" w:fill="DDDDDD"/>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Pr>
          <w:p>
            <w:pPr>
              <w:spacing w:after="0"/>
              <w:rPr>
                <w:sz w:val="19"/>
                <w:szCs w:val="19"/>
                <w:color w:val="auto"/>
              </w:rPr>
            </w:pP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8,935</w:t>
            </w:r>
          </w:p>
        </w:tc>
      </w:tr>
      <w:tr>
        <w:trPr>
          <w:trHeight w:val="44"/>
        </w:trPr>
        <w:tc>
          <w:tcPr>
            <w:tcW w:w="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5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6"/>
        </w:trPr>
        <w:tc>
          <w:tcPr>
            <w:tcW w:w="40" w:type="dxa"/>
            <w:vAlign w:val="bottom"/>
            <w:tcBorders>
              <w:bottom w:val="single" w:sz="8" w:color="DDDDDD"/>
            </w:tcBorders>
            <w:shd w:val="clear" w:color="auto" w:fill="DDDDDD"/>
          </w:tcPr>
          <w:p>
            <w:pPr>
              <w:spacing w:after="0"/>
              <w:rPr>
                <w:sz w:val="22"/>
                <w:szCs w:val="22"/>
                <w:color w:val="auto"/>
              </w:rPr>
            </w:pPr>
          </w:p>
        </w:tc>
        <w:tc>
          <w:tcPr>
            <w:tcW w:w="69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Technological know-how</w:t>
            </w:r>
          </w:p>
        </w:tc>
        <w:tc>
          <w:tcPr>
            <w:tcW w:w="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2,494</w:t>
            </w:r>
          </w:p>
        </w:tc>
      </w:tr>
      <w:tr>
        <w:trPr>
          <w:trHeight w:val="246"/>
        </w:trPr>
        <w:tc>
          <w:tcPr>
            <w:tcW w:w="40" w:type="dxa"/>
            <w:vAlign w:val="bottom"/>
          </w:tcPr>
          <w:p>
            <w:pPr>
              <w:spacing w:after="0"/>
              <w:rPr>
                <w:sz w:val="21"/>
                <w:szCs w:val="21"/>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Trade names &amp; patents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6"/>
        </w:trPr>
        <w:tc>
          <w:tcPr>
            <w:tcW w:w="4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6"/>
        </w:trPr>
        <w:tc>
          <w:tcPr>
            <w:tcW w:w="40" w:type="dxa"/>
            <w:vAlign w:val="bottom"/>
            <w:tcBorders>
              <w:bottom w:val="single" w:sz="8" w:color="DDDDDD"/>
            </w:tcBorders>
            <w:shd w:val="clear" w:color="auto" w:fill="DDDDDD"/>
          </w:tcPr>
          <w:p>
            <w:pPr>
              <w:spacing w:after="0"/>
              <w:rPr>
                <w:sz w:val="24"/>
                <w:szCs w:val="24"/>
                <w:color w:val="auto"/>
              </w:rPr>
            </w:pPr>
          </w:p>
        </w:tc>
        <w:tc>
          <w:tcPr>
            <w:tcW w:w="69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8"/>
        </w:trPr>
        <w:tc>
          <w:tcPr>
            <w:tcW w:w="40" w:type="dxa"/>
            <w:vAlign w:val="bottom"/>
            <w:tcBorders>
              <w:top w:val="single" w:sz="8" w:color="DDDDDD"/>
            </w:tcBorders>
          </w:tcPr>
          <w:p>
            <w:pPr>
              <w:spacing w:after="0"/>
              <w:rPr>
                <w:sz w:val="19"/>
                <w:szCs w:val="19"/>
                <w:color w:val="auto"/>
              </w:rPr>
            </w:pPr>
          </w:p>
        </w:tc>
        <w:tc>
          <w:tcPr>
            <w:tcW w:w="6960" w:type="dxa"/>
            <w:vAlign w:val="bottom"/>
            <w:tcBorders>
              <w:top w:val="single" w:sz="8" w:color="DDDDDD"/>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carrying value</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w:t>
            </w:r>
          </w:p>
        </w:tc>
      </w:tr>
      <w:tr>
        <w:trPr>
          <w:trHeight w:val="260"/>
        </w:trPr>
        <w:tc>
          <w:tcPr>
            <w:tcW w:w="40" w:type="dxa"/>
            <w:vAlign w:val="bottom"/>
            <w:tcBorders>
              <w:bottom w:val="single" w:sz="8" w:color="DDDDDD"/>
            </w:tcBorders>
            <w:shd w:val="clear" w:color="auto" w:fill="DDDDDD"/>
          </w:tcPr>
          <w:p>
            <w:pPr>
              <w:spacing w:after="0"/>
              <w:rPr>
                <w:sz w:val="22"/>
                <w:szCs w:val="22"/>
                <w:color w:val="auto"/>
              </w:rPr>
            </w:pPr>
          </w:p>
        </w:tc>
        <w:tc>
          <w:tcPr>
            <w:tcW w:w="694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spacing w:after="0"/>
              <w:rPr>
                <w:sz w:val="22"/>
                <w:szCs w:val="22"/>
                <w:color w:val="auto"/>
              </w:rPr>
            </w:pPr>
          </w:p>
        </w:tc>
      </w:tr>
      <w:tr>
        <w:trPr>
          <w:trHeight w:val="246"/>
        </w:trPr>
        <w:tc>
          <w:tcPr>
            <w:tcW w:w="40" w:type="dxa"/>
            <w:vAlign w:val="bottom"/>
          </w:tcPr>
          <w:p>
            <w:pPr>
              <w:spacing w:after="0"/>
              <w:rPr>
                <w:sz w:val="21"/>
                <w:szCs w:val="21"/>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6"/>
        </w:trPr>
        <w:tc>
          <w:tcPr>
            <w:tcW w:w="4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40" w:type="dxa"/>
            <w:vAlign w:val="bottom"/>
            <w:tcBorders>
              <w:bottom w:val="single" w:sz="8" w:color="DDDDDD"/>
            </w:tcBorders>
            <w:shd w:val="clear" w:color="auto" w:fill="DDDDDD"/>
          </w:tcPr>
          <w:p>
            <w:pPr>
              <w:spacing w:after="0"/>
              <w:rPr>
                <w:sz w:val="22"/>
                <w:szCs w:val="22"/>
                <w:color w:val="auto"/>
              </w:rPr>
            </w:pPr>
          </w:p>
        </w:tc>
        <w:tc>
          <w:tcPr>
            <w:tcW w:w="69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Technological know-how</w:t>
            </w:r>
          </w:p>
        </w:tc>
        <w:tc>
          <w:tcPr>
            <w:tcW w:w="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DDDDDD"/>
            </w:tcBorders>
            <w:shd w:val="clear" w:color="auto" w:fill="DDDDDD"/>
          </w:tcPr>
          <w:p>
            <w:pPr>
              <w:spacing w:after="0"/>
              <w:rPr>
                <w:sz w:val="22"/>
                <w:szCs w:val="22"/>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6"/>
        </w:trPr>
        <w:tc>
          <w:tcPr>
            <w:tcW w:w="40" w:type="dxa"/>
            <w:vAlign w:val="bottom"/>
          </w:tcPr>
          <w:p>
            <w:pPr>
              <w:spacing w:after="0"/>
              <w:rPr>
                <w:sz w:val="21"/>
                <w:szCs w:val="21"/>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Trade names &amp; patents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6"/>
        </w:trPr>
        <w:tc>
          <w:tcPr>
            <w:tcW w:w="40" w:type="dxa"/>
            <w:vAlign w:val="bottom"/>
          </w:tcPr>
          <w:p>
            <w:pPr>
              <w:spacing w:after="0"/>
              <w:rPr>
                <w:sz w:val="2"/>
                <w:szCs w:val="2"/>
                <w:color w:val="auto"/>
              </w:rPr>
            </w:pPr>
          </w:p>
        </w:tc>
        <w:tc>
          <w:tcPr>
            <w:tcW w:w="69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6"/>
        </w:trPr>
        <w:tc>
          <w:tcPr>
            <w:tcW w:w="40" w:type="dxa"/>
            <w:vAlign w:val="bottom"/>
            <w:tcBorders>
              <w:bottom w:val="single" w:sz="8" w:color="DDDDDD"/>
            </w:tcBorders>
            <w:shd w:val="clear" w:color="auto" w:fill="DDDDDD"/>
          </w:tcPr>
          <w:p>
            <w:pPr>
              <w:spacing w:after="0"/>
              <w:rPr>
                <w:sz w:val="23"/>
                <w:szCs w:val="23"/>
                <w:color w:val="auto"/>
              </w:rPr>
            </w:pPr>
          </w:p>
        </w:tc>
        <w:tc>
          <w:tcPr>
            <w:tcW w:w="69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DDDDDD"/>
            </w:tcBorders>
            <w:shd w:val="clear" w:color="auto" w:fill="DDDDDD"/>
          </w:tcPr>
          <w:p>
            <w:pPr>
              <w:spacing w:after="0"/>
              <w:rPr>
                <w:sz w:val="23"/>
                <w:szCs w:val="23"/>
                <w:color w:val="auto"/>
              </w:rPr>
            </w:pPr>
          </w:p>
        </w:tc>
        <w:tc>
          <w:tcPr>
            <w:tcW w:w="24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9"/>
        </w:trPr>
        <w:tc>
          <w:tcPr>
            <w:tcW w:w="40" w:type="dxa"/>
            <w:vAlign w:val="bottom"/>
            <w:tcBorders>
              <w:bottom w:val="single" w:sz="8" w:color="DDDDDD"/>
            </w:tcBorders>
          </w:tcPr>
          <w:p>
            <w:pPr>
              <w:spacing w:after="0"/>
              <w:rPr>
                <w:sz w:val="21"/>
                <w:szCs w:val="21"/>
                <w:color w:val="auto"/>
              </w:rPr>
            </w:pPr>
          </w:p>
        </w:tc>
        <w:tc>
          <w:tcPr>
            <w:tcW w:w="6960" w:type="dxa"/>
            <w:vAlign w:val="bottom"/>
            <w:tcBorders>
              <w:bottom w:val="single" w:sz="8" w:color="DDDDDD"/>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83"/>
        </w:trPr>
        <w:tc>
          <w:tcPr>
            <w:tcW w:w="40" w:type="dxa"/>
            <w:vAlign w:val="bottom"/>
            <w:tcBorders>
              <w:bottom w:val="single" w:sz="8" w:color="DDDDDD"/>
            </w:tcBorders>
            <w:shd w:val="clear" w:color="auto" w:fill="DDDDDD"/>
          </w:tcPr>
          <w:p>
            <w:pPr>
              <w:spacing w:after="0"/>
              <w:rPr>
                <w:sz w:val="24"/>
                <w:szCs w:val="24"/>
                <w:color w:val="auto"/>
              </w:rPr>
            </w:pPr>
          </w:p>
        </w:tc>
        <w:tc>
          <w:tcPr>
            <w:tcW w:w="6940" w:type="dxa"/>
            <w:vAlign w:val="bottom"/>
            <w:tcBorders>
              <w:bottom w:val="single" w:sz="8" w:color="DDDDDD"/>
            </w:tcBorders>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10,506</w:t>
            </w:r>
          </w:p>
        </w:tc>
      </w:tr>
      <w:tr>
        <w:trPr>
          <w:trHeight w:val="20"/>
        </w:trPr>
        <w:tc>
          <w:tcPr>
            <w:tcW w:w="40" w:type="dxa"/>
            <w:vAlign w:val="bottom"/>
            <w:tcBorders>
              <w:top w:val="single" w:sz="8" w:color="DDDDDD"/>
            </w:tcBorders>
          </w:tcPr>
          <w:p>
            <w:pPr>
              <w:spacing w:after="0" w:line="20" w:lineRule="exact"/>
              <w:rPr>
                <w:sz w:val="1"/>
                <w:szCs w:val="1"/>
                <w:color w:val="auto"/>
              </w:rPr>
            </w:pPr>
          </w:p>
        </w:tc>
        <w:tc>
          <w:tcPr>
            <w:tcW w:w="1600" w:type="dxa"/>
            <w:vAlign w:val="bottom"/>
            <w:tcBorders>
              <w:top w:val="single" w:sz="8" w:color="DDDDDD"/>
            </w:tcBorders>
          </w:tcPr>
          <w:p>
            <w:pPr>
              <w:spacing w:after="0" w:line="20" w:lineRule="exact"/>
              <w:rPr>
                <w:sz w:val="1"/>
                <w:szCs w:val="1"/>
                <w:color w:val="auto"/>
              </w:rPr>
            </w:pPr>
          </w:p>
        </w:tc>
        <w:tc>
          <w:tcPr>
            <w:tcW w:w="53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-1417320</wp:posOffset>
                </wp:positionV>
                <wp:extent cx="443801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3801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11.5999pt" to="349.35pt,-111.5999pt" o:allowincell="f" strokecolor="#FFFFFF" strokeweight="0.876pt"/>
            </w:pict>
          </mc:Fallback>
        </mc:AlternateConten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Impairment of Intangible Assets</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As discussed in Note 1, for the year ended December 31, 2022, an impairment charge of approximately $92 million was recorded in connection with intangible assets, primarily customer relationships and technological know-how, of an asset group that operates primarily in Russia, which was included within accumulated amortization.</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Amortization expense was $727 million for the year ended December 31, 2022, $732 million for the year ended December 31, 2021 and $193 million for the year ended December 31, 2020. Amortization expense for the next five years and thereafter, based on valuations and determinations of useful lives, is expected to be as follows: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99"/>
        </w:trPr>
        <w:tc>
          <w:tcPr>
            <w:tcW w:w="6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8"/>
              <w:spacing w:after="0" w:line="199" w:lineRule="exact"/>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8"/>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8"/>
              <w:spacing w:after="0" w:line="199"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8"/>
              <w:spacing w:after="0" w:line="199" w:lineRule="exact"/>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48"/>
              <w:spacing w:after="0" w:line="199" w:lineRule="exact"/>
              <w:rPr>
                <w:sz w:val="20"/>
                <w:szCs w:val="20"/>
                <w:color w:val="auto"/>
              </w:rPr>
            </w:pPr>
            <w:r>
              <w:rPr>
                <w:rFonts w:ascii="Times New Roman" w:cs="Times New Roman" w:eastAsia="Times New Roman" w:hAnsi="Times New Roman"/>
                <w:sz w:val="18"/>
                <w:szCs w:val="18"/>
                <w:b w:val="1"/>
                <w:bCs w:val="1"/>
                <w:color w:val="auto"/>
              </w:rPr>
              <w:t>2027</w:t>
            </w:r>
          </w:p>
        </w:tc>
      </w:tr>
      <w:tr>
        <w:trPr>
          <w:trHeight w:val="21"/>
        </w:trPr>
        <w:tc>
          <w:tcPr>
            <w:tcW w:w="60" w:type="dxa"/>
            <w:vAlign w:val="bottom"/>
            <w:tcBorders>
              <w:bottom w:val="single" w:sz="8" w:color="DDDDDD"/>
            </w:tcBorders>
          </w:tcPr>
          <w:p>
            <w:pPr>
              <w:spacing w:after="0" w:line="20" w:lineRule="exact"/>
              <w:rPr>
                <w:sz w:val="1"/>
                <w:szCs w:val="1"/>
                <w:color w:val="auto"/>
              </w:rPr>
            </w:pPr>
          </w:p>
        </w:tc>
        <w:tc>
          <w:tcPr>
            <w:tcW w:w="2620" w:type="dxa"/>
            <w:vAlign w:val="bottom"/>
            <w:tcBorders>
              <w:bottom w:val="single" w:sz="8" w:color="DDDDDD"/>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60" w:type="dxa"/>
            <w:vAlign w:val="bottom"/>
            <w:shd w:val="clear" w:color="auto" w:fill="DDDDDD"/>
          </w:tcPr>
          <w:p>
            <w:pPr>
              <w:spacing w:after="0"/>
              <w:rPr>
                <w:sz w:val="15"/>
                <w:szCs w:val="15"/>
                <w:color w:val="auto"/>
              </w:rPr>
            </w:pPr>
          </w:p>
        </w:tc>
        <w:tc>
          <w:tcPr>
            <w:tcW w:w="2620" w:type="dxa"/>
            <w:vAlign w:val="bottom"/>
            <w:gridSpan w:val="2"/>
            <w:shd w:val="clear" w:color="auto" w:fill="DDDDDD"/>
          </w:tcPr>
          <w:p>
            <w:pPr>
              <w:spacing w:after="0" w:line="184" w:lineRule="exact"/>
              <w:rPr>
                <w:sz w:val="20"/>
                <w:szCs w:val="20"/>
                <w:color w:val="auto"/>
              </w:rPr>
            </w:pPr>
            <w:r>
              <w:rPr>
                <w:rFonts w:ascii="Times New Roman" w:cs="Times New Roman" w:eastAsia="Times New Roman" w:hAnsi="Times New Roman"/>
                <w:sz w:val="18"/>
                <w:szCs w:val="18"/>
                <w:color w:val="auto"/>
              </w:rPr>
              <w:t>Estimated future intangible</w:t>
            </w:r>
          </w:p>
        </w:tc>
        <w:tc>
          <w:tcPr>
            <w:tcW w:w="30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r>
      <w:tr>
        <w:trPr>
          <w:trHeight w:val="249"/>
        </w:trPr>
        <w:tc>
          <w:tcPr>
            <w:tcW w:w="60" w:type="dxa"/>
            <w:vAlign w:val="bottom"/>
            <w:shd w:val="clear" w:color="auto" w:fill="DDDDDD"/>
          </w:tcPr>
          <w:p>
            <w:pPr>
              <w:spacing w:after="0"/>
              <w:rPr>
                <w:sz w:val="21"/>
                <w:szCs w:val="21"/>
                <w:color w:val="auto"/>
              </w:rPr>
            </w:pPr>
          </w:p>
        </w:tc>
        <w:tc>
          <w:tcPr>
            <w:tcW w:w="26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DDDDDD"/>
          </w:tcPr>
          <w:p>
            <w:pPr>
              <w:spacing w:after="0"/>
              <w:rPr>
                <w:sz w:val="21"/>
                <w:szCs w:val="21"/>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shd w:val="clear" w:color="auto" w:fill="DDDDDD"/>
          </w:tcPr>
          <w:p>
            <w:pPr>
              <w:spacing w:after="0"/>
              <w:rPr>
                <w:sz w:val="21"/>
                <w:szCs w:val="21"/>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shd w:val="clear" w:color="auto" w:fill="DDDDDD"/>
          </w:tcPr>
          <w:p>
            <w:pPr>
              <w:spacing w:after="0"/>
              <w:rPr>
                <w:sz w:val="21"/>
                <w:szCs w:val="21"/>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DDDDDD"/>
          </w:tcPr>
          <w:p>
            <w:pPr>
              <w:spacing w:after="0"/>
              <w:rPr>
                <w:sz w:val="21"/>
                <w:szCs w:val="21"/>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880" w:h="15480" w:orient="portrait"/>
          <w:cols w:equalWidth="0" w:num="1">
            <w:col w:w="9400"/>
          </w:cols>
          <w:pgMar w:left="1220" w:top="1255" w:right="1260" w:bottom="254" w:gutter="0" w:footer="0" w:header="0"/>
        </w:sectPr>
      </w:pPr>
    </w:p>
    <w:bookmarkStart w:id="80" w:name="page81"/>
    <w:bookmarkEnd w:id="80"/>
    <w:p>
      <w:pPr>
        <w:ind w:left="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7.</w:t>
        <w:tab/>
        <w:t>OTHER CURRENT ASSETS AND LIABILITIES, AND OTHER ASSETS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amounts:</w:t>
      </w:r>
    </w:p>
    <w:p>
      <w:pPr>
        <w:spacing w:after="0" w:line="7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6780" w:type="dxa"/>
            <w:vAlign w:val="bottom"/>
            <w:tcBorders>
              <w:bottom w:val="single" w:sz="8" w:color="DDDDDD"/>
            </w:tcBorders>
            <w:gridSpan w:val="2"/>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 w:type="dxa"/>
            <w:vAlign w:val="bottom"/>
            <w:shd w:val="clear" w:color="auto" w:fill="DDDDDD"/>
          </w:tcPr>
          <w:p>
            <w:pPr>
              <w:spacing w:after="0"/>
              <w:rPr>
                <w:sz w:val="21"/>
                <w:szCs w:val="21"/>
                <w:color w:val="auto"/>
              </w:rPr>
            </w:pPr>
          </w:p>
        </w:tc>
        <w:tc>
          <w:tcPr>
            <w:tcW w:w="686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Value-added tax receivable</w:t>
            </w: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top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86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top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86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22"/>
                <w:szCs w:val="22"/>
                <w:color w:val="auto"/>
              </w:rPr>
            </w:pPr>
          </w:p>
        </w:tc>
        <w:tc>
          <w:tcPr>
            <w:tcW w:w="34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amounts: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260" w:type="dxa"/>
            <w:vAlign w:val="bottom"/>
            <w:gridSpan w:val="3"/>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6860" w:type="dxa"/>
            <w:vAlign w:val="bottom"/>
            <w:tcBorders>
              <w:bottom w:val="single" w:sz="8" w:color="DDDDDD"/>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67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0" w:type="dxa"/>
            <w:vAlign w:val="bottom"/>
            <w:tcBorders>
              <w:bottom w:val="single" w:sz="8" w:color="DDDDDD"/>
            </w:tcBorders>
            <w:gridSpan w:val="2"/>
            <w:shd w:val="clear" w:color="auto" w:fill="DDDDDD"/>
          </w:tcPr>
          <w:p>
            <w:pPr>
              <w:spacing w:after="0"/>
              <w:rPr>
                <w:sz w:val="21"/>
                <w:szCs w:val="21"/>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bottom w:val="single" w:sz="8" w:color="DDDDDD"/>
            </w:tcBorders>
            <w:shd w:val="clear" w:color="auto" w:fill="DDDDDD"/>
          </w:tcPr>
          <w:p>
            <w:pPr>
              <w:spacing w:after="0"/>
              <w:rPr>
                <w:sz w:val="21"/>
                <w:szCs w:val="21"/>
                <w:color w:val="auto"/>
              </w:rPr>
            </w:pPr>
          </w:p>
        </w:tc>
        <w:tc>
          <w:tcPr>
            <w:tcW w:w="80" w:type="dxa"/>
            <w:vAlign w:val="bottom"/>
            <w:tcBorders>
              <w:bottom w:val="single" w:sz="8" w:color="DDDDDD"/>
            </w:tcBorders>
            <w:gridSpan w:val="2"/>
            <w:shd w:val="clear" w:color="auto" w:fill="DDDDDD"/>
          </w:tcPr>
          <w:p>
            <w:pPr>
              <w:spacing w:after="0"/>
              <w:rPr>
                <w:sz w:val="21"/>
                <w:szCs w:val="21"/>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7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Overfunded pension plans</w:t>
            </w:r>
          </w:p>
        </w:tc>
        <w:tc>
          <w:tcPr>
            <w:tcW w:w="60" w:type="dxa"/>
            <w:vAlign w:val="bottom"/>
            <w:tcBorders>
              <w:bottom w:val="single" w:sz="8" w:color="DDDDDD"/>
            </w:tcBorders>
            <w:gridSpan w:val="2"/>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surrender value of life insurance contracts</w:t>
            </w:r>
          </w:p>
        </w:tc>
        <w:tc>
          <w:tcPr>
            <w:tcW w:w="6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7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60" w:type="dxa"/>
            <w:vAlign w:val="bottom"/>
            <w:gridSpan w:val="2"/>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tcPr>
          <w:p>
            <w:pPr>
              <w:spacing w:after="0"/>
              <w:rPr>
                <w:sz w:val="23"/>
                <w:szCs w:val="23"/>
                <w:color w:val="auto"/>
              </w:rPr>
            </w:pPr>
          </w:p>
        </w:tc>
        <w:tc>
          <w:tcPr>
            <w:tcW w:w="686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1"/>
                <w:szCs w:val="11"/>
                <w:color w:val="auto"/>
              </w:rPr>
              <w:t>(1)</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6780" w:type="dxa"/>
            <w:vAlign w:val="bottom"/>
            <w:tcBorders>
              <w:bottom w:val="single" w:sz="8" w:color="DDDDDD"/>
            </w:tcBorders>
            <w:gridSpan w:val="2"/>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tcBorders>
              <w:bottom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80" w:hanging="334"/>
        <w:spacing w:after="0"/>
        <w:tabs>
          <w:tab w:leader="none" w:pos="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land usage rights in China, long term deposits and receivables on certain derivative instruments.</w:t>
      </w:r>
    </w:p>
    <w:p>
      <w:pPr>
        <w:spacing w:after="0" w:line="110"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Other current liabilities consisted of the following amounts:</w:t>
      </w:r>
    </w:p>
    <w:p>
      <w:pPr>
        <w:spacing w:after="0" w:line="7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2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bottom w:val="single" w:sz="8" w:color="DDDDDD"/>
            </w:tcBorders>
          </w:tcPr>
          <w:p>
            <w:pPr>
              <w:spacing w:after="0" w:line="20" w:lineRule="exact"/>
              <w:rPr>
                <w:sz w:val="1"/>
                <w:szCs w:val="1"/>
                <w:color w:val="auto"/>
              </w:rPr>
            </w:pPr>
          </w:p>
        </w:tc>
        <w:tc>
          <w:tcPr>
            <w:tcW w:w="5240" w:type="dxa"/>
            <w:vAlign w:val="bottom"/>
            <w:tcBorders>
              <w:bottom w:val="single" w:sz="8" w:color="DDDDDD"/>
            </w:tcBorders>
            <w:vMerge w:val="continue"/>
          </w:tcPr>
          <w:p>
            <w:pPr>
              <w:spacing w:after="0" w:line="20" w:lineRule="exact"/>
              <w:rPr>
                <w:sz w:val="1"/>
                <w:szCs w:val="1"/>
                <w:color w:val="auto"/>
              </w:rPr>
            </w:pPr>
          </w:p>
        </w:tc>
        <w:tc>
          <w:tcPr>
            <w:tcW w:w="20" w:type="dxa"/>
            <w:vAlign w:val="bottom"/>
            <w:tcBorders>
              <w:bottom w:val="single" w:sz="8" w:color="DDDDDD"/>
            </w:tcBorders>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shd w:val="clear" w:color="auto" w:fill="DDDDDD"/>
          </w:tcPr>
          <w:p>
            <w:pPr>
              <w:spacing w:after="0"/>
              <w:rPr>
                <w:sz w:val="21"/>
                <w:szCs w:val="21"/>
                <w:color w:val="auto"/>
              </w:rPr>
            </w:pPr>
          </w:p>
        </w:tc>
        <w:tc>
          <w:tcPr>
            <w:tcW w:w="68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Rebates and incentives payable</w:t>
            </w: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Value-added tax payable</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8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pension and other postretirement benefit obligation</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8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insurance (including workers’ compensation)</w:t>
            </w: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8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Current operating lease obligation</w:t>
            </w: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freight</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8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commissions payable</w:t>
            </w: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8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Accrued expenses payable</w:t>
            </w: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93"/>
        </w:trPr>
        <w:tc>
          <w:tcPr>
            <w:tcW w:w="40" w:type="dxa"/>
            <w:vAlign w:val="bottom"/>
            <w:tcBorders>
              <w:bottom w:val="single" w:sz="8" w:color="DDDDDD"/>
            </w:tcBorders>
          </w:tcPr>
          <w:p>
            <w:pPr>
              <w:spacing w:after="0"/>
              <w:rPr>
                <w:sz w:val="24"/>
                <w:szCs w:val="24"/>
                <w:color w:val="auto"/>
              </w:rPr>
            </w:pPr>
          </w:p>
        </w:tc>
        <w:tc>
          <w:tcPr>
            <w:tcW w:w="68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6"/>
        </w:trPr>
        <w:tc>
          <w:tcPr>
            <w:tcW w:w="40" w:type="dxa"/>
            <w:vAlign w:val="bottom"/>
            <w:shd w:val="clear" w:color="auto" w:fill="DDDDDD"/>
          </w:tcPr>
          <w:p>
            <w:pPr>
              <w:spacing w:after="0"/>
              <w:rPr>
                <w:sz w:val="20"/>
                <w:szCs w:val="20"/>
                <w:color w:val="auto"/>
              </w:rPr>
            </w:pPr>
          </w:p>
        </w:tc>
        <w:tc>
          <w:tcPr>
            <w:tcW w:w="6860" w:type="dxa"/>
            <w:vAlign w:val="bottom"/>
            <w:gridSpan w:val="3"/>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60" w:type="dxa"/>
            <w:vAlign w:val="bottom"/>
            <w:shd w:val="clear" w:color="auto" w:fill="DDDDDD"/>
          </w:tcPr>
          <w:p>
            <w:pPr>
              <w:spacing w:after="0"/>
              <w:rPr>
                <w:sz w:val="20"/>
                <w:szCs w:val="20"/>
                <w:color w:val="auto"/>
              </w:rPr>
            </w:pPr>
          </w:p>
        </w:tc>
        <w:tc>
          <w:tcPr>
            <w:tcW w:w="28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8.</w:t>
        <w:tab/>
        <w:t>LEASES</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Company has leases for corporate offices, manufacturing facilities, research and development facilities, and certain transportation and office equipment, the majority of which are operating leases. The Company's leases have remaining lease terms of up to 50 years, some of which include options to extend the leases for up to 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880" w:h="15480" w:orient="portrait"/>
          <w:cols w:equalWidth="0" w:num="1">
            <w:col w:w="9400"/>
          </w:cols>
          <w:pgMar w:left="1220" w:top="1252" w:right="1260" w:bottom="254"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50"/>
        </w:trPr>
        <w:tc>
          <w:tcPr>
            <w:tcW w:w="40" w:type="dxa"/>
            <w:vAlign w:val="bottom"/>
            <w:tcBorders>
              <w:bottom w:val="single" w:sz="8" w:color="DDDDDD"/>
            </w:tcBorders>
          </w:tcPr>
          <w:p>
            <w:pPr>
              <w:spacing w:after="0"/>
              <w:rPr>
                <w:sz w:val="4"/>
                <w:szCs w:val="4"/>
                <w:color w:val="auto"/>
              </w:rPr>
            </w:pPr>
          </w:p>
        </w:tc>
        <w:tc>
          <w:tcPr>
            <w:tcW w:w="1600" w:type="dxa"/>
            <w:vAlign w:val="bottom"/>
            <w:tcBorders>
              <w:bottom w:val="single" w:sz="8" w:color="DDDDDD"/>
            </w:tcBorders>
          </w:tcPr>
          <w:p>
            <w:pPr>
              <w:spacing w:after="0"/>
              <w:rPr>
                <w:sz w:val="4"/>
                <w:szCs w:val="4"/>
                <w:color w:val="auto"/>
              </w:rPr>
            </w:pPr>
          </w:p>
        </w:tc>
        <w:tc>
          <w:tcPr>
            <w:tcW w:w="3620" w:type="dxa"/>
            <w:vAlign w:val="bottom"/>
            <w:tcBorders>
              <w:bottom w:val="single" w:sz="8" w:color="DDDDDD"/>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DDDDDD"/>
          </w:tcPr>
          <w:p>
            <w:pPr>
              <w:spacing w:after="0"/>
              <w:rPr>
                <w:sz w:val="21"/>
                <w:szCs w:val="21"/>
                <w:color w:val="auto"/>
              </w:rPr>
            </w:pPr>
          </w:p>
        </w:tc>
        <w:tc>
          <w:tcPr>
            <w:tcW w:w="16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620" w:type="dxa"/>
            <w:vAlign w:val="bottom"/>
            <w:shd w:val="clear" w:color="auto" w:fill="DDDDDD"/>
          </w:tcPr>
          <w:p>
            <w:pPr>
              <w:spacing w:after="0"/>
              <w:rPr>
                <w:sz w:val="21"/>
                <w:szCs w:val="21"/>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DDDDDD"/>
          </w:tcPr>
          <w:p>
            <w:pPr>
              <w:spacing w:after="0"/>
              <w:rPr>
                <w:sz w:val="21"/>
                <w:szCs w:val="21"/>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DDDDDD"/>
          </w:tcPr>
          <w:p>
            <w:pPr>
              <w:spacing w:after="0"/>
              <w:rPr>
                <w:sz w:val="21"/>
                <w:szCs w:val="21"/>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6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6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ind w:right="368"/>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5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520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DDDDDD"/>
            </w:tcBorders>
            <w:shd w:val="clear" w:color="auto" w:fill="DDDDDD"/>
          </w:tcPr>
          <w:p>
            <w:pPr>
              <w:spacing w:after="0"/>
              <w:rPr>
                <w:sz w:val="24"/>
                <w:szCs w:val="24"/>
                <w:color w:val="auto"/>
              </w:rPr>
            </w:pPr>
          </w:p>
        </w:tc>
        <w:tc>
          <w:tcPr>
            <w:tcW w:w="51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Operating cash flow for operating leases</w:t>
            </w: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32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cash flow for finance leases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Borders>
              <w:bottom w:val="single" w:sz="8" w:color="DDDDDD"/>
            </w:tcBorders>
            <w:shd w:val="clear" w:color="auto" w:fill="DDDDDD"/>
          </w:tcPr>
          <w:p>
            <w:pPr>
              <w:spacing w:after="0"/>
              <w:rPr>
                <w:sz w:val="24"/>
                <w:szCs w:val="24"/>
                <w:color w:val="auto"/>
              </w:rPr>
            </w:pPr>
          </w:p>
        </w:tc>
        <w:tc>
          <w:tcPr>
            <w:tcW w:w="51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5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DDDDDD"/>
          </w:tcPr>
          <w:p>
            <w:pPr>
              <w:spacing w:after="0"/>
              <w:rPr>
                <w:sz w:val="24"/>
                <w:szCs w:val="24"/>
                <w:color w:val="auto"/>
              </w:rPr>
            </w:pPr>
          </w:p>
        </w:tc>
        <w:tc>
          <w:tcPr>
            <w:tcW w:w="51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7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6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6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DDDDDD"/>
            </w:tcBorders>
          </w:tcPr>
          <w:p>
            <w:pPr>
              <w:spacing w:after="0"/>
              <w:rPr>
                <w:sz w:val="4"/>
                <w:szCs w:val="4"/>
                <w:color w:val="auto"/>
              </w:rPr>
            </w:pPr>
          </w:p>
        </w:tc>
        <w:tc>
          <w:tcPr>
            <w:tcW w:w="6560" w:type="dxa"/>
            <w:vAlign w:val="bottom"/>
            <w:tcBorders>
              <w:bottom w:val="single" w:sz="8" w:color="DDDDDD"/>
            </w:tcBorders>
            <w:gridSpan w:val="2"/>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DDDDDD"/>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DDDDDD"/>
          </w:tcPr>
          <w:p>
            <w:pPr>
              <w:spacing w:after="0"/>
              <w:rPr>
                <w:sz w:val="20"/>
                <w:szCs w:val="20"/>
                <w:color w:val="auto"/>
              </w:rPr>
            </w:pPr>
          </w:p>
        </w:tc>
        <w:tc>
          <w:tcPr>
            <w:tcW w:w="65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1000" w:type="dxa"/>
            <w:vAlign w:val="bottom"/>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60" w:type="dxa"/>
            <w:vAlign w:val="bottom"/>
            <w:tcBorders>
              <w:bottom w:val="single" w:sz="8" w:color="DDDDDD"/>
            </w:tcBorders>
          </w:tcPr>
          <w:p>
            <w:pPr>
              <w:spacing w:after="0"/>
              <w:rPr>
                <w:sz w:val="24"/>
                <w:szCs w:val="24"/>
                <w:color w:val="auto"/>
              </w:rPr>
            </w:pPr>
          </w:p>
        </w:tc>
        <w:tc>
          <w:tcPr>
            <w:tcW w:w="658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DDDDDD"/>
          </w:tcPr>
          <w:p>
            <w:pPr>
              <w:spacing w:after="0"/>
              <w:rPr>
                <w:sz w:val="17"/>
                <w:szCs w:val="17"/>
                <w:color w:val="auto"/>
              </w:rPr>
            </w:pPr>
          </w:p>
        </w:tc>
        <w:tc>
          <w:tcPr>
            <w:tcW w:w="1600" w:type="dxa"/>
            <w:vAlign w:val="bottom"/>
            <w:shd w:val="clear" w:color="auto" w:fill="DDDDDD"/>
          </w:tcPr>
          <w:p>
            <w:pPr>
              <w:spacing w:after="0"/>
              <w:rPr>
                <w:sz w:val="17"/>
                <w:szCs w:val="17"/>
                <w:color w:val="auto"/>
              </w:rPr>
            </w:pPr>
          </w:p>
        </w:tc>
        <w:tc>
          <w:tcPr>
            <w:tcW w:w="49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300" w:type="dxa"/>
            <w:vAlign w:val="bottom"/>
            <w:shd w:val="clear" w:color="auto" w:fill="DDDDDD"/>
          </w:tcPr>
          <w:p>
            <w:pPr>
              <w:spacing w:after="0"/>
              <w:rPr>
                <w:sz w:val="17"/>
                <w:szCs w:val="17"/>
                <w:color w:val="auto"/>
              </w:rPr>
            </w:pPr>
          </w:p>
        </w:tc>
        <w:tc>
          <w:tcPr>
            <w:tcW w:w="100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4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98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6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operating lease obligations</w:t>
            </w:r>
            <w:r>
              <w:rPr>
                <w:rFonts w:ascii="Times New Roman" w:cs="Times New Roman" w:eastAsia="Times New Roman" w:hAnsi="Times New Roman"/>
                <w:sz w:val="11"/>
                <w:szCs w:val="11"/>
                <w:color w:val="auto"/>
              </w:rPr>
              <w:t>(2)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DDDDDD"/>
          </w:tcPr>
          <w:p>
            <w:pPr>
              <w:spacing w:after="0"/>
              <w:rPr>
                <w:sz w:val="22"/>
                <w:szCs w:val="22"/>
                <w:color w:val="auto"/>
              </w:rPr>
            </w:pPr>
          </w:p>
        </w:tc>
        <w:tc>
          <w:tcPr>
            <w:tcW w:w="656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Borders>
              <w:bottom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60" w:type="dxa"/>
            <w:vAlign w:val="bottom"/>
          </w:tcPr>
          <w:p>
            <w:pPr>
              <w:spacing w:after="0"/>
              <w:rPr>
                <w:sz w:val="24"/>
                <w:szCs w:val="24"/>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 w:type="dxa"/>
            <w:vAlign w:val="bottom"/>
          </w:tcPr>
          <w:p>
            <w:pPr>
              <w:spacing w:after="0"/>
              <w:rPr>
                <w:sz w:val="24"/>
                <w:szCs w:val="24"/>
                <w:color w:val="auto"/>
              </w:rPr>
            </w:pPr>
          </w:p>
        </w:tc>
        <w:tc>
          <w:tcPr>
            <w:tcW w:w="3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 w:type="dxa"/>
            <w:vAlign w:val="bottom"/>
            <w:tcBorders>
              <w:top w:val="single" w:sz="8" w:color="DDDDDD"/>
            </w:tcBorders>
            <w:shd w:val="clear" w:color="auto" w:fill="DDDDDD"/>
          </w:tcPr>
          <w:p>
            <w:pPr>
              <w:spacing w:after="0"/>
              <w:rPr>
                <w:sz w:val="17"/>
                <w:szCs w:val="17"/>
                <w:color w:val="auto"/>
              </w:rPr>
            </w:pPr>
          </w:p>
        </w:tc>
        <w:tc>
          <w:tcPr>
            <w:tcW w:w="6580" w:type="dxa"/>
            <w:vAlign w:val="bottom"/>
            <w:tcBorders>
              <w:top w:val="single" w:sz="8" w:color="DDDDDD"/>
            </w:tcBorders>
            <w:gridSpan w:val="3"/>
            <w:shd w:val="clear" w:color="auto" w:fill="DDDDDD"/>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Finance Leases</w:t>
            </w:r>
          </w:p>
        </w:tc>
        <w:tc>
          <w:tcPr>
            <w:tcW w:w="300" w:type="dxa"/>
            <w:vAlign w:val="bottom"/>
            <w:tcBorders>
              <w:top w:val="single" w:sz="8" w:color="auto"/>
            </w:tcBorders>
            <w:shd w:val="clear" w:color="auto" w:fill="DDDDDD"/>
          </w:tcPr>
          <w:p>
            <w:pPr>
              <w:spacing w:after="0"/>
              <w:rPr>
                <w:sz w:val="17"/>
                <w:szCs w:val="17"/>
                <w:color w:val="auto"/>
              </w:rPr>
            </w:pPr>
          </w:p>
        </w:tc>
        <w:tc>
          <w:tcPr>
            <w:tcW w:w="1000" w:type="dxa"/>
            <w:vAlign w:val="bottom"/>
            <w:tcBorders>
              <w:top w:val="single" w:sz="8" w:color="auto"/>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320" w:type="dxa"/>
            <w:vAlign w:val="bottom"/>
            <w:tcBorders>
              <w:top w:val="single" w:sz="8" w:color="auto"/>
            </w:tcBorders>
            <w:shd w:val="clear" w:color="auto" w:fill="DDDDDD"/>
          </w:tcPr>
          <w:p>
            <w:pPr>
              <w:spacing w:after="0"/>
              <w:rPr>
                <w:sz w:val="17"/>
                <w:szCs w:val="17"/>
                <w:color w:val="auto"/>
              </w:rPr>
            </w:pPr>
          </w:p>
        </w:tc>
        <w:tc>
          <w:tcPr>
            <w:tcW w:w="980" w:type="dxa"/>
            <w:vAlign w:val="bottom"/>
            <w:tcBorders>
              <w:top w:val="single" w:sz="8" w:color="auto"/>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60" w:type="dxa"/>
            <w:vAlign w:val="bottom"/>
          </w:tcPr>
          <w:p>
            <w:pPr>
              <w:spacing w:after="0"/>
              <w:rPr>
                <w:sz w:val="24"/>
                <w:szCs w:val="24"/>
                <w:color w:val="auto"/>
              </w:rPr>
            </w:pPr>
          </w:p>
        </w:tc>
        <w:tc>
          <w:tcPr>
            <w:tcW w:w="6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Finance lease right-of-use assets</w:t>
            </w:r>
            <w:r>
              <w:rPr>
                <w:rFonts w:ascii="Times New Roman" w:cs="Times New Roman" w:eastAsia="Times New Roman" w:hAnsi="Times New Roman"/>
                <w:sz w:val="11"/>
                <w:szCs w:val="11"/>
                <w:color w:val="auto"/>
              </w:rPr>
              <w:t>(1)</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4"/>
                <w:szCs w:val="24"/>
                <w:color w:val="auto"/>
              </w:rPr>
            </w:pPr>
          </w:p>
        </w:tc>
        <w:tc>
          <w:tcPr>
            <w:tcW w:w="3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0" w:type="dxa"/>
            <w:vAlign w:val="bottom"/>
            <w:tcBorders>
              <w:top w:val="single" w:sz="8" w:color="DDDDDD"/>
            </w:tcBorders>
            <w:shd w:val="clear" w:color="auto" w:fill="DDDDDD"/>
          </w:tcPr>
          <w:p>
            <w:pPr>
              <w:spacing w:after="0"/>
              <w:rPr>
                <w:sz w:val="17"/>
                <w:szCs w:val="17"/>
                <w:color w:val="auto"/>
              </w:rPr>
            </w:pPr>
          </w:p>
        </w:tc>
        <w:tc>
          <w:tcPr>
            <w:tcW w:w="1600" w:type="dxa"/>
            <w:vAlign w:val="bottom"/>
            <w:tcBorders>
              <w:top w:val="single" w:sz="8" w:color="DDDDDD"/>
            </w:tcBorders>
            <w:shd w:val="clear" w:color="auto" w:fill="DDDDDD"/>
          </w:tcPr>
          <w:p>
            <w:pPr>
              <w:spacing w:after="0"/>
              <w:rPr>
                <w:sz w:val="17"/>
                <w:szCs w:val="17"/>
                <w:color w:val="auto"/>
              </w:rPr>
            </w:pPr>
          </w:p>
        </w:tc>
        <w:tc>
          <w:tcPr>
            <w:tcW w:w="496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DDDDDD"/>
            </w:tcBorders>
            <w:shd w:val="clear" w:color="auto" w:fill="DDDDDD"/>
          </w:tcPr>
          <w:p>
            <w:pPr>
              <w:spacing w:after="0"/>
              <w:rPr>
                <w:sz w:val="17"/>
                <w:szCs w:val="17"/>
                <w:color w:val="auto"/>
              </w:rPr>
            </w:pPr>
          </w:p>
        </w:tc>
        <w:tc>
          <w:tcPr>
            <w:tcW w:w="300" w:type="dxa"/>
            <w:vAlign w:val="bottom"/>
            <w:tcBorders>
              <w:top w:val="single" w:sz="8" w:color="auto"/>
            </w:tcBorders>
            <w:shd w:val="clear" w:color="auto" w:fill="DDDDDD"/>
          </w:tcPr>
          <w:p>
            <w:pPr>
              <w:spacing w:after="0"/>
              <w:rPr>
                <w:sz w:val="17"/>
                <w:szCs w:val="17"/>
                <w:color w:val="auto"/>
              </w:rPr>
            </w:pPr>
          </w:p>
        </w:tc>
        <w:tc>
          <w:tcPr>
            <w:tcW w:w="1000" w:type="dxa"/>
            <w:vAlign w:val="bottom"/>
            <w:tcBorders>
              <w:top w:val="single" w:sz="8" w:color="auto"/>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40" w:type="dxa"/>
            <w:vAlign w:val="bottom"/>
            <w:tcBorders>
              <w:top w:val="single" w:sz="8" w:color="DDDDDD"/>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320" w:type="dxa"/>
            <w:vAlign w:val="bottom"/>
            <w:tcBorders>
              <w:top w:val="single" w:sz="8" w:color="auto"/>
            </w:tcBorders>
            <w:shd w:val="clear" w:color="auto" w:fill="DDDDDD"/>
          </w:tcPr>
          <w:p>
            <w:pPr>
              <w:spacing w:after="0"/>
              <w:rPr>
                <w:sz w:val="17"/>
                <w:szCs w:val="17"/>
                <w:color w:val="auto"/>
              </w:rPr>
            </w:pPr>
          </w:p>
        </w:tc>
        <w:tc>
          <w:tcPr>
            <w:tcW w:w="980" w:type="dxa"/>
            <w:vAlign w:val="bottom"/>
            <w:tcBorders>
              <w:top w:val="single" w:sz="8" w:color="auto"/>
            </w:tcBorders>
            <w:shd w:val="clear" w:color="auto" w:fill="DDDDDD"/>
          </w:tcPr>
          <w:p>
            <w:pPr>
              <w:spacing w:after="0"/>
              <w:rPr>
                <w:sz w:val="17"/>
                <w:szCs w:val="17"/>
                <w:color w:val="auto"/>
              </w:rPr>
            </w:pPr>
          </w:p>
        </w:tc>
        <w:tc>
          <w:tcPr>
            <w:tcW w:w="20" w:type="dxa"/>
            <w:vAlign w:val="bottom"/>
            <w:tcBorders>
              <w:top w:val="single" w:sz="8" w:color="auto"/>
            </w:tcBorders>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65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finance lease obligations</w:t>
            </w:r>
            <w:r>
              <w:rPr>
                <w:rFonts w:ascii="Times New Roman" w:cs="Times New Roman" w:eastAsia="Times New Roman" w:hAnsi="Times New Roman"/>
                <w:sz w:val="11"/>
                <w:szCs w:val="11"/>
                <w:color w:val="auto"/>
              </w:rPr>
              <w:t>(2)</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0" w:type="dxa"/>
            <w:vAlign w:val="bottom"/>
            <w:tcBorders>
              <w:bottom w:val="single" w:sz="8" w:color="DDDDDD"/>
            </w:tcBorders>
            <w:shd w:val="clear" w:color="auto" w:fill="DDDDDD"/>
          </w:tcPr>
          <w:p>
            <w:pPr>
              <w:spacing w:after="0"/>
              <w:rPr>
                <w:sz w:val="24"/>
                <w:szCs w:val="24"/>
                <w:color w:val="auto"/>
              </w:rPr>
            </w:pPr>
          </w:p>
        </w:tc>
        <w:tc>
          <w:tcPr>
            <w:tcW w:w="6580" w:type="dxa"/>
            <w:vAlign w:val="bottom"/>
            <w:tcBorders>
              <w:bottom w:val="single" w:sz="8" w:color="DDDDDD"/>
            </w:tcBorders>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Finance lease liabilities</w:t>
            </w:r>
            <w:r>
              <w:rPr>
                <w:rFonts w:ascii="Times New Roman" w:cs="Times New Roman" w:eastAsia="Times New Roman" w:hAnsi="Times New Roman"/>
                <w:sz w:val="11"/>
                <w:szCs w:val="11"/>
                <w:color w:val="auto"/>
              </w:rPr>
              <w:t>(3)</w:t>
            </w:r>
          </w:p>
        </w:tc>
        <w:tc>
          <w:tcPr>
            <w:tcW w:w="30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38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jc w:val="right"/>
              <w:ind w:right="4520"/>
              <w:spacing w:after="0" w:line="206" w:lineRule="exact"/>
              <w:rPr>
                <w:sz w:val="20"/>
                <w:szCs w:val="20"/>
                <w:color w:val="auto"/>
              </w:rPr>
            </w:pPr>
            <w:r>
              <w:rPr>
                <w:rFonts w:ascii="Times New Roman" w:cs="Times New Roman" w:eastAsia="Times New Roman" w:hAnsi="Times New Roman"/>
                <w:sz w:val="18"/>
                <w:szCs w:val="18"/>
                <w:color w:val="auto"/>
              </w:rPr>
              <w:t>_______________________</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-304165</wp:posOffset>
                </wp:positionV>
                <wp:extent cx="421259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259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3.9499pt" to="332pt,-23.9499pt" o:allowincell="f" strokecolor="#FFFFFF" strokeweight="0.876pt"/>
            </w:pict>
          </mc:Fallback>
        </mc:AlternateContent>
      </w:r>
    </w:p>
    <w:p>
      <w:pPr>
        <w:ind w:left="340" w:hanging="334"/>
        <w:spacing w:after="0"/>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in Other assets in the Consolidated Balance Sheets.</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in Other current liabilities in the Consolidated Balance Sheets.</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in Other liabilities in the Consolidated Balance Sheets.</w:t>
      </w:r>
    </w:p>
    <w:p>
      <w:pPr>
        <w:spacing w:after="0" w:line="110" w:lineRule="exact"/>
        <w:rPr>
          <w:rFonts w:ascii="Times New Roman" w:cs="Times New Roman" w:eastAsia="Times New Roman" w:hAnsi="Times New Roman"/>
          <w:sz w:val="17"/>
          <w:szCs w:val="17"/>
          <w:color w:val="auto"/>
        </w:rPr>
      </w:pP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Weighted average remaining lease term and discount rate were as follows: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4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26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4"/>
        </w:trPr>
        <w:tc>
          <w:tcPr>
            <w:tcW w:w="4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260" w:type="dxa"/>
            <w:vAlign w:val="bottom"/>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2"/>
                <w:szCs w:val="22"/>
                <w:color w:val="auto"/>
              </w:rPr>
            </w:pPr>
          </w:p>
        </w:tc>
        <w:tc>
          <w:tcPr>
            <w:tcW w:w="13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2"/>
                <w:szCs w:val="22"/>
                <w:color w:val="auto"/>
              </w:rPr>
            </w:pPr>
          </w:p>
        </w:tc>
      </w:tr>
      <w:tr>
        <w:trPr>
          <w:trHeight w:val="240"/>
        </w:trPr>
        <w:tc>
          <w:tcPr>
            <w:tcW w:w="40" w:type="dxa"/>
            <w:vAlign w:val="bottom"/>
            <w:tcBorders>
              <w:top w:val="single" w:sz="8" w:color="DDDDDD"/>
            </w:tcBorders>
            <w:shd w:val="clear" w:color="auto" w:fill="DDDDDD"/>
          </w:tcPr>
          <w:p>
            <w:pPr>
              <w:spacing w:after="0"/>
              <w:rPr>
                <w:sz w:val="20"/>
                <w:szCs w:val="20"/>
                <w:color w:val="auto"/>
              </w:rPr>
            </w:pPr>
          </w:p>
        </w:tc>
        <w:tc>
          <w:tcPr>
            <w:tcW w:w="660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26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auto"/>
            </w:tcBorders>
            <w:shd w:val="clear" w:color="auto" w:fill="DDDDDD"/>
          </w:tcPr>
          <w:p>
            <w:pPr>
              <w:spacing w:after="0"/>
              <w:rPr>
                <w:sz w:val="20"/>
                <w:szCs w:val="20"/>
                <w:color w:val="auto"/>
              </w:rPr>
            </w:pPr>
          </w:p>
        </w:tc>
        <w:tc>
          <w:tcPr>
            <w:tcW w:w="80" w:type="dxa"/>
            <w:vAlign w:val="bottom"/>
            <w:tcBorders>
              <w:top w:val="single" w:sz="8" w:color="DDDDDD"/>
            </w:tcBorders>
            <w:shd w:val="clear" w:color="auto" w:fill="DDDDDD"/>
          </w:tcPr>
          <w:p>
            <w:pPr>
              <w:spacing w:after="0"/>
              <w:rPr>
                <w:sz w:val="20"/>
                <w:szCs w:val="20"/>
                <w:color w:val="auto"/>
              </w:rPr>
            </w:pPr>
          </w:p>
        </w:tc>
        <w:tc>
          <w:tcPr>
            <w:tcW w:w="1260" w:type="dxa"/>
            <w:vAlign w:val="bottom"/>
            <w:tcBorders>
              <w:top w:val="single" w:sz="8" w:color="auto"/>
            </w:tcBorders>
            <w:shd w:val="clear" w:color="auto" w:fill="DDDDDD"/>
          </w:tcPr>
          <w:p>
            <w:pPr>
              <w:spacing w:after="0"/>
              <w:rPr>
                <w:sz w:val="20"/>
                <w:szCs w:val="20"/>
                <w:color w:val="auto"/>
              </w:rPr>
            </w:pPr>
          </w:p>
        </w:tc>
        <w:tc>
          <w:tcPr>
            <w:tcW w:w="40" w:type="dxa"/>
            <w:vAlign w:val="bottom"/>
            <w:tcBorders>
              <w:top w:val="single" w:sz="8" w:color="auto"/>
            </w:tcBorders>
            <w:shd w:val="clear" w:color="auto" w:fill="DDDDDD"/>
          </w:tcPr>
          <w:p>
            <w:pPr>
              <w:spacing w:after="0"/>
              <w:rPr>
                <w:sz w:val="20"/>
                <w:szCs w:val="20"/>
                <w:color w:val="auto"/>
              </w:rPr>
            </w:pPr>
          </w:p>
        </w:tc>
      </w:tr>
      <w:tr>
        <w:trPr>
          <w:trHeight w:val="258"/>
        </w:trPr>
        <w:tc>
          <w:tcPr>
            <w:tcW w:w="40" w:type="dxa"/>
            <w:vAlign w:val="bottom"/>
          </w:tcPr>
          <w:p>
            <w:pPr>
              <w:spacing w:after="0"/>
              <w:rPr>
                <w:sz w:val="22"/>
                <w:szCs w:val="22"/>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63"/>
        </w:trPr>
        <w:tc>
          <w:tcPr>
            <w:tcW w:w="40" w:type="dxa"/>
            <w:vAlign w:val="bottom"/>
            <w:shd w:val="clear" w:color="auto" w:fill="DDDDDD"/>
          </w:tcPr>
          <w:p>
            <w:pPr>
              <w:spacing w:after="0"/>
              <w:rPr>
                <w:sz w:val="22"/>
                <w:szCs w:val="22"/>
                <w:color w:val="auto"/>
              </w:rPr>
            </w:pPr>
          </w:p>
        </w:tc>
        <w:tc>
          <w:tcPr>
            <w:tcW w:w="66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2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shd w:val="clear" w:color="auto" w:fill="DDDDDD"/>
          </w:tcPr>
          <w:p>
            <w:pPr>
              <w:spacing w:after="0"/>
              <w:rPr>
                <w:sz w:val="22"/>
                <w:szCs w:val="22"/>
                <w:color w:val="auto"/>
              </w:rPr>
            </w:pPr>
          </w:p>
        </w:tc>
        <w:tc>
          <w:tcPr>
            <w:tcW w:w="80" w:type="dxa"/>
            <w:vAlign w:val="bottom"/>
            <w:tcBorders>
              <w:bottom w:val="single" w:sz="8" w:color="DDDDDD"/>
            </w:tcBorders>
            <w:shd w:val="clear" w:color="auto" w:fill="DDDDDD"/>
          </w:tcPr>
          <w:p>
            <w:pPr>
              <w:spacing w:after="0"/>
              <w:rPr>
                <w:sz w:val="22"/>
                <w:szCs w:val="22"/>
                <w:color w:val="auto"/>
              </w:rPr>
            </w:pPr>
          </w:p>
        </w:tc>
        <w:tc>
          <w:tcPr>
            <w:tcW w:w="12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DDDDDD"/>
          </w:tcPr>
          <w:p>
            <w:pPr>
              <w:spacing w:after="0"/>
              <w:rPr>
                <w:sz w:val="22"/>
                <w:szCs w:val="22"/>
                <w:color w:val="auto"/>
              </w:rPr>
            </w:pPr>
          </w:p>
        </w:tc>
      </w:tr>
      <w:tr>
        <w:trPr>
          <w:trHeight w:val="238"/>
        </w:trPr>
        <w:tc>
          <w:tcPr>
            <w:tcW w:w="4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63"/>
        </w:trPr>
        <w:tc>
          <w:tcPr>
            <w:tcW w:w="40" w:type="dxa"/>
            <w:vAlign w:val="bottom"/>
            <w:shd w:val="clear" w:color="auto" w:fill="DDDDDD"/>
          </w:tcPr>
          <w:p>
            <w:pPr>
              <w:spacing w:after="0"/>
              <w:rPr>
                <w:sz w:val="22"/>
                <w:szCs w:val="22"/>
                <w:color w:val="auto"/>
              </w:rPr>
            </w:pPr>
          </w:p>
        </w:tc>
        <w:tc>
          <w:tcPr>
            <w:tcW w:w="660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3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80" w:type="dxa"/>
            <w:vAlign w:val="bottom"/>
            <w:shd w:val="clear" w:color="auto" w:fill="DDDDDD"/>
          </w:tcPr>
          <w:p>
            <w:pPr>
              <w:spacing w:after="0"/>
              <w:rPr>
                <w:sz w:val="22"/>
                <w:szCs w:val="22"/>
                <w:color w:val="auto"/>
              </w:rPr>
            </w:pPr>
          </w:p>
        </w:tc>
        <w:tc>
          <w:tcPr>
            <w:tcW w:w="13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70"/>
        </w:trPr>
        <w:tc>
          <w:tcPr>
            <w:tcW w:w="40" w:type="dxa"/>
            <w:vAlign w:val="bottom"/>
          </w:tcPr>
          <w:p>
            <w:pPr>
              <w:spacing w:after="0"/>
              <w:rPr>
                <w:sz w:val="23"/>
                <w:szCs w:val="23"/>
                <w:color w:val="auto"/>
              </w:rPr>
            </w:pPr>
          </w:p>
        </w:tc>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75</w:t>
      </w:r>
    </w:p>
    <w:p>
      <w:pPr>
        <w:sectPr>
          <w:pgSz w:w="11880" w:h="15480" w:orient="portrait"/>
          <w:cols w:equalWidth="0" w:num="1">
            <w:col w:w="9340"/>
          </w:cols>
          <w:pgMar w:left="1260" w:top="1255" w:right="1280" w:bottom="254" w:gutter="0" w:footer="0" w:header="0"/>
        </w:sectPr>
      </w:pPr>
    </w:p>
    <w:bookmarkStart w:id="82" w:name="page83"/>
    <w:bookmarkEnd w:id="82"/>
    <w:p>
      <w:pPr>
        <w:ind w:left="380"/>
        <w:spacing w:after="0"/>
        <w:rPr>
          <w:sz w:val="20"/>
          <w:szCs w:val="20"/>
          <w:color w:val="auto"/>
        </w:rPr>
      </w:pPr>
      <w:r>
        <w:rPr>
          <w:rFonts w:ascii="Times New Roman" w:cs="Times New Roman" w:eastAsia="Times New Roman" w:hAnsi="Times New Roman"/>
          <w:sz w:val="18"/>
          <w:szCs w:val="18"/>
          <w:color w:val="auto"/>
        </w:rPr>
        <w:t>Maturities of lease liabilities as of December 31, 2022 were as follows:</w:t>
      </w:r>
    </w:p>
    <w:p>
      <w:pPr>
        <w:spacing w:after="0" w:line="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6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1600" w:type="dxa"/>
            <w:vAlign w:val="bottom"/>
            <w:tcBorders>
              <w:top w:val="single" w:sz="8" w:color="auto"/>
              <w:bottom w:val="single" w:sz="8" w:color="DDDDDD"/>
            </w:tcBorders>
          </w:tcPr>
          <w:p>
            <w:pPr>
              <w:spacing w:after="0"/>
              <w:rPr>
                <w:sz w:val="2"/>
                <w:szCs w:val="2"/>
                <w:color w:val="auto"/>
              </w:rPr>
            </w:pPr>
          </w:p>
        </w:tc>
        <w:tc>
          <w:tcPr>
            <w:tcW w:w="3100" w:type="dxa"/>
            <w:vAlign w:val="bottom"/>
            <w:tcBorders>
              <w:bottom w:val="single" w:sz="8" w:color="DDDDDD"/>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16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2023</w:t>
            </w:r>
          </w:p>
        </w:tc>
        <w:tc>
          <w:tcPr>
            <w:tcW w:w="310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640" w:type="dxa"/>
            <w:vAlign w:val="bottom"/>
            <w:shd w:val="clear" w:color="auto" w:fill="DDDDDD"/>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82"/>
        </w:trPr>
        <w:tc>
          <w:tcPr>
            <w:tcW w:w="40" w:type="dxa"/>
            <w:vAlign w:val="bottom"/>
            <w:tcBorders>
              <w:bottom w:val="single" w:sz="8" w:color="DDDDDD"/>
            </w:tcBorders>
          </w:tcPr>
          <w:p>
            <w:pPr>
              <w:spacing w:after="0"/>
              <w:rPr>
                <w:sz w:val="24"/>
                <w:szCs w:val="24"/>
                <w:color w:val="auto"/>
              </w:rPr>
            </w:pPr>
          </w:p>
        </w:tc>
        <w:tc>
          <w:tcPr>
            <w:tcW w:w="16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310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640" w:type="dxa"/>
            <w:vAlign w:val="bottom"/>
            <w:tcBorders>
              <w:bottom w:val="single" w:sz="8" w:color="DDDDDD"/>
            </w:tcBorders>
          </w:tcPr>
          <w:p>
            <w:pPr>
              <w:spacing w:after="0"/>
              <w:rPr>
                <w:sz w:val="24"/>
                <w:szCs w:val="24"/>
                <w:color w:val="auto"/>
              </w:rPr>
            </w:pPr>
          </w:p>
        </w:tc>
        <w:tc>
          <w:tcPr>
            <w:tcW w:w="9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14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10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16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2025</w:t>
            </w:r>
          </w:p>
        </w:tc>
        <w:tc>
          <w:tcPr>
            <w:tcW w:w="31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78"/>
        </w:trPr>
        <w:tc>
          <w:tcPr>
            <w:tcW w:w="40" w:type="dxa"/>
            <w:vAlign w:val="bottom"/>
            <w:tcBorders>
              <w:bottom w:val="single" w:sz="8" w:color="DDDDDD"/>
            </w:tcBorders>
          </w:tcPr>
          <w:p>
            <w:pPr>
              <w:spacing w:after="0"/>
              <w:rPr>
                <w:sz w:val="24"/>
                <w:szCs w:val="24"/>
                <w:color w:val="auto"/>
              </w:rPr>
            </w:pPr>
          </w:p>
        </w:tc>
        <w:tc>
          <w:tcPr>
            <w:tcW w:w="16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310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640" w:type="dxa"/>
            <w:vAlign w:val="bottom"/>
            <w:tcBorders>
              <w:bottom w:val="single" w:sz="8" w:color="DDDDDD"/>
            </w:tcBorders>
          </w:tcPr>
          <w:p>
            <w:pPr>
              <w:spacing w:after="0"/>
              <w:rPr>
                <w:sz w:val="24"/>
                <w:szCs w:val="24"/>
                <w:color w:val="auto"/>
              </w:rPr>
            </w:pPr>
          </w:p>
        </w:tc>
        <w:tc>
          <w:tcPr>
            <w:tcW w:w="9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14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10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16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2027</w:t>
            </w:r>
          </w:p>
        </w:tc>
        <w:tc>
          <w:tcPr>
            <w:tcW w:w="31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tcPr>
          <w:p>
            <w:pPr>
              <w:spacing w:after="0"/>
              <w:rPr>
                <w:sz w:val="19"/>
                <w:szCs w:val="19"/>
                <w:color w:val="auto"/>
              </w:rPr>
            </w:pPr>
          </w:p>
        </w:tc>
        <w:tc>
          <w:tcPr>
            <w:tcW w:w="4700" w:type="dxa"/>
            <w:vAlign w:val="bottom"/>
            <w:tcBorders>
              <w:bottom w:val="single" w:sz="8" w:color="DDDDDD"/>
            </w:tcBorders>
            <w:gridSpan w:val="2"/>
            <w:vMerge w:val="continue"/>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470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undiscounted liabilities</w:t>
            </w:r>
          </w:p>
        </w:tc>
        <w:tc>
          <w:tcPr>
            <w:tcW w:w="60" w:type="dxa"/>
            <w:vAlign w:val="bottom"/>
            <w:shd w:val="clear" w:color="auto" w:fill="DDDDDD"/>
          </w:tcPr>
          <w:p>
            <w:pPr>
              <w:spacing w:after="0"/>
              <w:rPr>
                <w:sz w:val="20"/>
                <w:szCs w:val="20"/>
                <w:color w:val="auto"/>
              </w:rPr>
            </w:pPr>
          </w:p>
        </w:tc>
        <w:tc>
          <w:tcPr>
            <w:tcW w:w="640" w:type="dxa"/>
            <w:vAlign w:val="bottom"/>
            <w:shd w:val="clear" w:color="auto" w:fill="DDDDDD"/>
          </w:tcPr>
          <w:p>
            <w:pPr>
              <w:spacing w:after="0"/>
              <w:rPr>
                <w:sz w:val="20"/>
                <w:szCs w:val="20"/>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6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63"/>
        </w:trPr>
        <w:tc>
          <w:tcPr>
            <w:tcW w:w="40" w:type="dxa"/>
            <w:vAlign w:val="bottom"/>
            <w:tcBorders>
              <w:bottom w:val="single" w:sz="8" w:color="DDDDDD"/>
            </w:tcBorders>
          </w:tcPr>
          <w:p>
            <w:pPr>
              <w:spacing w:after="0"/>
              <w:rPr>
                <w:sz w:val="22"/>
                <w:szCs w:val="22"/>
                <w:color w:val="auto"/>
              </w:rPr>
            </w:pPr>
          </w:p>
        </w:tc>
        <w:tc>
          <w:tcPr>
            <w:tcW w:w="47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tcBorders>
              <w:bottom w:val="single" w:sz="8" w:color="DDDDD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476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640" w:type="dxa"/>
            <w:vAlign w:val="bottom"/>
            <w:shd w:val="clear" w:color="auto" w:fill="DDDDDD"/>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0" w:type="dxa"/>
            <w:vAlign w:val="bottom"/>
            <w:shd w:val="clear" w:color="auto" w:fill="DDDDDD"/>
          </w:tcPr>
          <w:p>
            <w:pPr>
              <w:spacing w:after="0"/>
              <w:rPr>
                <w:sz w:val="20"/>
                <w:szCs w:val="20"/>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40" w:firstLine="329"/>
        <w:spacing w:after="0" w:line="259" w:lineRule="auto"/>
        <w:rPr>
          <w:sz w:val="20"/>
          <w:szCs w:val="20"/>
          <w:color w:val="auto"/>
        </w:rPr>
      </w:pPr>
      <w:r>
        <w:rPr>
          <w:rFonts w:ascii="Times New Roman" w:cs="Times New Roman" w:eastAsia="Times New Roman" w:hAnsi="Times New Roman"/>
          <w:sz w:val="18"/>
          <w:szCs w:val="18"/>
          <w:color w:val="auto"/>
        </w:rPr>
        <w:t>Right-of-use assets and lease liabilities acquired from N&amp;B were remeasured at the present value of the future minimum lease payments over the remaining lease term utilizing an updated incremental borrowing rate of the Company as if the acquired leases were new leases as of the Closing Date. Right -of-use assets were further adjusted for any off-market terms of the lease. The remaining lease term is based on the remaining term at the Closing Date plus any renewal or extension options that the Company is reasonably certain will be exercised. Additionally, the Company has elected short-term lease treatment for those acquired lease contracts which, at the Closing Date, have a remaining lease term of 12 months or less. For the leases acquired through the Transactions, the Company will retain the previous lease classification. This resulted in an increase in both right-of-use assets and operating lease liabilities of approximately $525 million and $523 million, respectively, as of the Closing Date.</w:t>
      </w:r>
    </w:p>
    <w:p>
      <w:pPr>
        <w:spacing w:after="0" w:line="291" w:lineRule="exact"/>
        <w:rPr>
          <w:sz w:val="20"/>
          <w:szCs w:val="20"/>
          <w:color w:val="auto"/>
        </w:rPr>
      </w:pPr>
    </w:p>
    <w:p>
      <w:pPr>
        <w:jc w:val="both"/>
        <w:ind w:left="40" w:firstLine="329"/>
        <w:spacing w:after="0" w:line="269" w:lineRule="auto"/>
        <w:rPr>
          <w:sz w:val="20"/>
          <w:szCs w:val="20"/>
          <w:color w:val="auto"/>
        </w:rPr>
      </w:pPr>
      <w:r>
        <w:rPr>
          <w:rFonts w:ascii="Times New Roman" w:cs="Times New Roman" w:eastAsia="Times New Roman" w:hAnsi="Times New Roman"/>
          <w:sz w:val="18"/>
          <w:szCs w:val="18"/>
          <w:color w:val="auto"/>
        </w:rPr>
        <w:t>As a result of the Company’s acquisition of Health Wright, there was an increase of approximately $22 million in finance lease right-of-use assets and $21 million in finance lease liabilities as of the Acquisition Date. In the fourth quarter of 2022, the Company exercised its option to purchase the asset and, as such, de-recognized the finance lease right-of-use assets and finance lease liabilities.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DEBT</w:t>
            </w:r>
          </w:p>
        </w:tc>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Debt consisted of the following at December 31:</w:t>
            </w: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gridSpan w:val="5"/>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1160" w:type="dxa"/>
            <w:vAlign w:val="bottom"/>
            <w:vMerge w:val="restart"/>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restart"/>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60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300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800" w:type="dxa"/>
            <w:vAlign w:val="bottom"/>
            <w:gridSpan w:val="5"/>
            <w:vMerge w:val="restart"/>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160" w:type="dxa"/>
            <w:vAlign w:val="bottom"/>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800" w:type="dxa"/>
            <w:vAlign w:val="bottom"/>
            <w:gridSpan w:val="5"/>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458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2022 Notes</w:t>
            </w:r>
            <w:r>
              <w:rPr>
                <w:rFonts w:ascii="Times New Roman" w:cs="Times New Roman" w:eastAsia="Times New Roman" w:hAnsi="Times New Roman"/>
                <w:sz w:val="11"/>
                <w:szCs w:val="11"/>
                <w:color w:val="auto"/>
              </w:rPr>
              <w:t>(3)</w:t>
            </w:r>
          </w:p>
        </w:tc>
        <w:tc>
          <w:tcPr>
            <w:tcW w:w="40" w:type="dxa"/>
            <w:vAlign w:val="bottom"/>
            <w:tcBorders>
              <w:top w:val="single" w:sz="8" w:color="DDDDDD"/>
            </w:tcBorders>
            <w:shd w:val="clear" w:color="auto" w:fill="DDDDDD"/>
          </w:tcPr>
          <w:p>
            <w:pPr>
              <w:spacing w:after="0"/>
              <w:rPr>
                <w:sz w:val="19"/>
                <w:szCs w:val="19"/>
                <w:color w:val="auto"/>
              </w:rPr>
            </w:pPr>
          </w:p>
        </w:tc>
        <w:tc>
          <w:tcPr>
            <w:tcW w:w="13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20" w:type="dxa"/>
            <w:vAlign w:val="bottom"/>
            <w:tcBorders>
              <w:top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360" w:type="dxa"/>
            <w:vAlign w:val="bottom"/>
            <w:tcBorders>
              <w:top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360" w:type="dxa"/>
            <w:vAlign w:val="bottom"/>
            <w:tcBorders>
              <w:top w:val="single" w:sz="8" w:color="auto"/>
            </w:tcBorders>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2023 Notes</w:t>
            </w:r>
            <w:r>
              <w:rPr>
                <w:rFonts w:ascii="Times New Roman" w:cs="Times New Roman" w:eastAsia="Times New Roman" w:hAnsi="Times New Roman"/>
                <w:sz w:val="11"/>
                <w:szCs w:val="11"/>
                <w:color w:val="auto"/>
              </w:rPr>
              <w:t>(1)</w:t>
            </w:r>
          </w:p>
        </w:tc>
        <w:tc>
          <w:tcPr>
            <w:tcW w:w="14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3.30 %</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DDDDD"/>
            </w:tcBorders>
          </w:tcPr>
          <w:p>
            <w:pPr>
              <w:spacing w:after="0"/>
              <w:rPr>
                <w:sz w:val="22"/>
                <w:szCs w:val="22"/>
                <w:color w:val="auto"/>
              </w:rPr>
            </w:pPr>
          </w:p>
        </w:tc>
        <w:tc>
          <w:tcPr>
            <w:tcW w:w="4600" w:type="dxa"/>
            <w:vAlign w:val="bottom"/>
            <w:tcBorders>
              <w:bottom w:val="single" w:sz="8" w:color="DDDDDD"/>
            </w:tcBorders>
            <w:gridSpan w:val="3"/>
            <w:vMerge w:val="continue"/>
          </w:tcPr>
          <w:p>
            <w:pPr>
              <w:spacing w:after="0"/>
              <w:rPr>
                <w:sz w:val="22"/>
                <w:szCs w:val="22"/>
                <w:color w:val="auto"/>
              </w:rPr>
            </w:pPr>
          </w:p>
        </w:tc>
        <w:tc>
          <w:tcPr>
            <w:tcW w:w="1420" w:type="dxa"/>
            <w:vAlign w:val="bottom"/>
            <w:tcBorders>
              <w:bottom w:val="single" w:sz="8" w:color="DDDDDD"/>
            </w:tcBorders>
            <w:gridSpan w:val="3"/>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4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2024 Euro Notes</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19"/>
                <w:szCs w:val="19"/>
                <w:color w:val="auto"/>
              </w:rPr>
            </w:pPr>
          </w:p>
        </w:tc>
        <w:tc>
          <w:tcPr>
            <w:tcW w:w="138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1.88 %</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46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2025 Notes</w:t>
            </w:r>
            <w:r>
              <w:rPr>
                <w:rFonts w:ascii="Times New Roman" w:cs="Times New Roman" w:eastAsia="Times New Roman" w:hAnsi="Times New Roman"/>
                <w:sz w:val="11"/>
                <w:szCs w:val="11"/>
                <w:color w:val="auto"/>
              </w:rPr>
              <w:t>(3)</w:t>
            </w:r>
          </w:p>
        </w:tc>
        <w:tc>
          <w:tcPr>
            <w:tcW w:w="142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1.22 %</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4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2026 Euro Notes</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19"/>
                <w:szCs w:val="19"/>
                <w:color w:val="auto"/>
              </w:rPr>
            </w:pP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46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2027 Notes</w:t>
            </w:r>
            <w:r>
              <w:rPr>
                <w:rFonts w:ascii="Times New Roman" w:cs="Times New Roman" w:eastAsia="Times New Roman" w:hAnsi="Times New Roman"/>
                <w:sz w:val="11"/>
                <w:szCs w:val="11"/>
                <w:color w:val="auto"/>
              </w:rPr>
              <w:t>(3)</w:t>
            </w:r>
          </w:p>
        </w:tc>
        <w:tc>
          <w:tcPr>
            <w:tcW w:w="142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1.56 %</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5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2028 Notes</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19"/>
                <w:szCs w:val="19"/>
                <w:color w:val="auto"/>
              </w:rPr>
            </w:pP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46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2030 Notes</w:t>
            </w:r>
            <w:r>
              <w:rPr>
                <w:rFonts w:ascii="Times New Roman" w:cs="Times New Roman" w:eastAsia="Times New Roman" w:hAnsi="Times New Roman"/>
                <w:sz w:val="11"/>
                <w:szCs w:val="11"/>
                <w:color w:val="auto"/>
              </w:rPr>
              <w:t>(3)</w:t>
            </w:r>
          </w:p>
        </w:tc>
        <w:tc>
          <w:tcPr>
            <w:tcW w:w="40" w:type="dxa"/>
            <w:vAlign w:val="bottom"/>
            <w:tcBorders>
              <w:bottom w:val="single" w:sz="8" w:color="DDDDDD"/>
            </w:tcBorders>
          </w:tcPr>
          <w:p>
            <w:pPr>
              <w:spacing w:after="0"/>
              <w:rPr>
                <w:sz w:val="24"/>
                <w:szCs w:val="24"/>
                <w:color w:val="auto"/>
              </w:rPr>
            </w:pPr>
          </w:p>
        </w:tc>
        <w:tc>
          <w:tcPr>
            <w:tcW w:w="13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5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2040 Notes</w:t>
            </w:r>
            <w:r>
              <w:rPr>
                <w:rFonts w:ascii="Times New Roman" w:cs="Times New Roman" w:eastAsia="Times New Roman" w:hAnsi="Times New Roman"/>
                <w:sz w:val="11"/>
                <w:szCs w:val="11"/>
                <w:color w:val="auto"/>
              </w:rPr>
              <w:t>(3)</w:t>
            </w:r>
          </w:p>
        </w:tc>
        <w:tc>
          <w:tcPr>
            <w:tcW w:w="40" w:type="dxa"/>
            <w:vAlign w:val="bottom"/>
            <w:shd w:val="clear" w:color="auto" w:fill="DDDDDD"/>
          </w:tcPr>
          <w:p>
            <w:pPr>
              <w:spacing w:after="0"/>
              <w:rPr>
                <w:sz w:val="19"/>
                <w:szCs w:val="19"/>
                <w:color w:val="auto"/>
              </w:rPr>
            </w:pPr>
          </w:p>
        </w:tc>
        <w:tc>
          <w:tcPr>
            <w:tcW w:w="1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2047 Notes</w:t>
            </w:r>
            <w:r>
              <w:rPr>
                <w:rFonts w:ascii="Times New Roman" w:cs="Times New Roman" w:eastAsia="Times New Roman" w:hAnsi="Times New Roman"/>
                <w:sz w:val="11"/>
                <w:szCs w:val="11"/>
                <w:color w:val="auto"/>
              </w:rPr>
              <w:t>(1)</w:t>
            </w:r>
          </w:p>
        </w:tc>
        <w:tc>
          <w:tcPr>
            <w:tcW w:w="40" w:type="dxa"/>
            <w:vAlign w:val="bottom"/>
          </w:tcPr>
          <w:p>
            <w:pPr>
              <w:spacing w:after="0"/>
              <w:rPr>
                <w:sz w:val="2"/>
                <w:szCs w:val="2"/>
                <w:color w:val="auto"/>
              </w:rPr>
            </w:pP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4.44 %</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Borders>
              <w:bottom w:val="single" w:sz="8" w:color="DDDDDD"/>
            </w:tcBorders>
          </w:tcPr>
          <w:p>
            <w:pPr>
              <w:spacing w:after="0"/>
              <w:rPr>
                <w:sz w:val="22"/>
                <w:szCs w:val="22"/>
                <w:color w:val="auto"/>
              </w:rPr>
            </w:pPr>
          </w:p>
        </w:tc>
        <w:tc>
          <w:tcPr>
            <w:tcW w:w="4600" w:type="dxa"/>
            <w:vAlign w:val="bottom"/>
            <w:tcBorders>
              <w:bottom w:val="single" w:sz="8" w:color="DDDDDD"/>
            </w:tcBorders>
            <w:gridSpan w:val="3"/>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1380" w:type="dxa"/>
            <w:vAlign w:val="bottom"/>
            <w:tcBorders>
              <w:bottom w:val="single" w:sz="8" w:color="DDDDDD"/>
            </w:tcBorders>
            <w:gridSpan w:val="2"/>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0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6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4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2048 Notes</w:t>
            </w:r>
            <w:r>
              <w:rPr>
                <w:rFonts w:ascii="Times New Roman" w:cs="Times New Roman" w:eastAsia="Times New Roman" w:hAnsi="Times New Roman"/>
                <w:sz w:val="11"/>
                <w:szCs w:val="11"/>
                <w:color w:val="auto"/>
              </w:rPr>
              <w:t>(1)</w:t>
            </w:r>
          </w:p>
        </w:tc>
        <w:tc>
          <w:tcPr>
            <w:tcW w:w="1420" w:type="dxa"/>
            <w:vAlign w:val="bottom"/>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5.12 %</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46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2050 Notes</w:t>
            </w:r>
            <w:r>
              <w:rPr>
                <w:rFonts w:ascii="Times New Roman" w:cs="Times New Roman" w:eastAsia="Times New Roman" w:hAnsi="Times New Roman"/>
                <w:sz w:val="11"/>
                <w:szCs w:val="11"/>
                <w:color w:val="auto"/>
              </w:rPr>
              <w:t>(3)</w:t>
            </w:r>
          </w:p>
        </w:tc>
        <w:tc>
          <w:tcPr>
            <w:tcW w:w="142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3.21 %</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4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2024 Term Loan Facility</w:t>
            </w:r>
            <w:r>
              <w:rPr>
                <w:rFonts w:ascii="Times New Roman" w:cs="Times New Roman" w:eastAsia="Times New Roman" w:hAnsi="Times New Roman"/>
                <w:sz w:val="11"/>
                <w:szCs w:val="11"/>
                <w:color w:val="auto"/>
              </w:rPr>
              <w:t>(4)</w:t>
            </w:r>
          </w:p>
        </w:tc>
        <w:tc>
          <w:tcPr>
            <w:tcW w:w="40" w:type="dxa"/>
            <w:vAlign w:val="bottom"/>
            <w:shd w:val="clear" w:color="auto" w:fill="DDDDDD"/>
          </w:tcPr>
          <w:p>
            <w:pPr>
              <w:spacing w:after="0"/>
              <w:rPr>
                <w:sz w:val="19"/>
                <w:szCs w:val="19"/>
                <w:color w:val="auto"/>
              </w:rPr>
            </w:pPr>
          </w:p>
        </w:tc>
        <w:tc>
          <w:tcPr>
            <w:tcW w:w="138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3.65 %</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46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2026 Term Loan Facility</w:t>
            </w:r>
            <w:r>
              <w:rPr>
                <w:rFonts w:ascii="Times New Roman" w:cs="Times New Roman" w:eastAsia="Times New Roman" w:hAnsi="Times New Roman"/>
                <w:sz w:val="11"/>
                <w:szCs w:val="11"/>
                <w:color w:val="auto"/>
              </w:rPr>
              <w:t>(4)</w:t>
            </w:r>
          </w:p>
        </w:tc>
        <w:tc>
          <w:tcPr>
            <w:tcW w:w="1420" w:type="dxa"/>
            <w:vAlign w:val="bottom"/>
            <w:tcBorders>
              <w:bottom w:val="single" w:sz="8" w:color="DDDDDD"/>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4.92 %</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4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11"/>
                <w:szCs w:val="11"/>
                <w:color w:val="auto"/>
              </w:rPr>
              <w:t>(5)</w:t>
            </w:r>
          </w:p>
        </w:tc>
        <w:tc>
          <w:tcPr>
            <w:tcW w:w="40" w:type="dxa"/>
            <w:vAlign w:val="bottom"/>
            <w:shd w:val="clear" w:color="auto" w:fill="DDDDDD"/>
          </w:tcPr>
          <w:p>
            <w:pPr>
              <w:spacing w:after="0"/>
              <w:rPr>
                <w:sz w:val="19"/>
                <w:szCs w:val="19"/>
                <w:color w:val="auto"/>
              </w:rPr>
            </w:pPr>
          </w:p>
        </w:tc>
        <w:tc>
          <w:tcPr>
            <w:tcW w:w="13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458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Amended Revolving Credit facility</w:t>
            </w:r>
            <w:r>
              <w:rPr>
                <w:rFonts w:ascii="Times New Roman" w:cs="Times New Roman" w:eastAsia="Times New Roman" w:hAnsi="Times New Roman"/>
                <w:sz w:val="11"/>
                <w:szCs w:val="11"/>
                <w:color w:val="auto"/>
              </w:rPr>
              <w:t>(6)</w:t>
            </w:r>
          </w:p>
        </w:tc>
        <w:tc>
          <w:tcPr>
            <w:tcW w:w="40" w:type="dxa"/>
            <w:vAlign w:val="bottom"/>
            <w:tcBorders>
              <w:top w:val="single" w:sz="8" w:color="DDDDDD"/>
              <w:bottom w:val="single" w:sz="8" w:color="DDDDDD"/>
            </w:tcBorders>
          </w:tcPr>
          <w:p>
            <w:pPr>
              <w:spacing w:after="0"/>
              <w:rPr>
                <w:sz w:val="24"/>
                <w:szCs w:val="24"/>
                <w:color w:val="auto"/>
              </w:rPr>
            </w:pPr>
          </w:p>
        </w:tc>
        <w:tc>
          <w:tcPr>
            <w:tcW w:w="1360" w:type="dxa"/>
            <w:vAlign w:val="bottom"/>
            <w:tcBorders>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4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DDDDDD"/>
              <w:bottom w:val="single" w:sz="8" w:color="DDDDDD"/>
            </w:tcBorders>
          </w:tcPr>
          <w:p>
            <w:pPr>
              <w:spacing w:after="0"/>
              <w:rPr>
                <w:sz w:val="24"/>
                <w:szCs w:val="24"/>
                <w:color w:val="auto"/>
              </w:rPr>
            </w:pPr>
          </w:p>
        </w:tc>
        <w:tc>
          <w:tcPr>
            <w:tcW w:w="10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DDDDDD"/>
            </w:tcBorders>
            <w:shd w:val="clear" w:color="auto" w:fill="DDDDDD"/>
          </w:tcPr>
          <w:p>
            <w:pPr>
              <w:spacing w:after="0"/>
              <w:rPr>
                <w:sz w:val="20"/>
                <w:szCs w:val="20"/>
                <w:color w:val="auto"/>
              </w:rPr>
            </w:pPr>
          </w:p>
        </w:tc>
        <w:tc>
          <w:tcPr>
            <w:tcW w:w="46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Bank overdrafts and other</w:t>
            </w:r>
          </w:p>
        </w:tc>
        <w:tc>
          <w:tcPr>
            <w:tcW w:w="40" w:type="dxa"/>
            <w:vAlign w:val="bottom"/>
            <w:tcBorders>
              <w:bottom w:val="single" w:sz="8" w:color="DDDDDD"/>
            </w:tcBorders>
            <w:shd w:val="clear" w:color="auto" w:fill="DDDDDD"/>
          </w:tcPr>
          <w:p>
            <w:pPr>
              <w:spacing w:after="0"/>
              <w:rPr>
                <w:sz w:val="20"/>
                <w:szCs w:val="20"/>
                <w:color w:val="auto"/>
              </w:rPr>
            </w:pPr>
          </w:p>
        </w:tc>
        <w:tc>
          <w:tcPr>
            <w:tcW w:w="13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4580" w:type="dxa"/>
            <w:vAlign w:val="bottom"/>
            <w:tcBorders>
              <w:bottom w:val="single" w:sz="8" w:color="DDDDDD"/>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1840" w:type="dxa"/>
            <w:vAlign w:val="bottom"/>
            <w:tcBorders>
              <w:bottom w:val="single" w:sz="8" w:color="DDDDDD"/>
            </w:tcBorders>
            <w:gridSpan w:val="6"/>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10,970</w:t>
            </w:r>
          </w:p>
        </w:tc>
        <w:tc>
          <w:tcPr>
            <w:tcW w:w="20" w:type="dxa"/>
            <w:vAlign w:val="bottom"/>
            <w:tcBorders>
              <w:bottom w:val="single" w:sz="8" w:color="DDDDDD"/>
            </w:tcBorders>
          </w:tcPr>
          <w:p>
            <w:pPr>
              <w:spacing w:after="0"/>
              <w:rPr>
                <w:sz w:val="23"/>
                <w:szCs w:val="23"/>
                <w:color w:val="auto"/>
              </w:rPr>
            </w:pPr>
          </w:p>
        </w:tc>
        <w:tc>
          <w:tcPr>
            <w:tcW w:w="480" w:type="dxa"/>
            <w:vAlign w:val="bottom"/>
            <w:tcBorders>
              <w:bottom w:val="single" w:sz="8" w:color="DDDDDD"/>
            </w:tcBorders>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20" w:type="dxa"/>
            <w:vAlign w:val="bottom"/>
            <w:tcBorders>
              <w:bottom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458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Less: Short term borrowings</w:t>
            </w:r>
            <w:r>
              <w:rPr>
                <w:rFonts w:ascii="Times New Roman" w:cs="Times New Roman" w:eastAsia="Times New Roman" w:hAnsi="Times New Roman"/>
                <w:sz w:val="11"/>
                <w:szCs w:val="11"/>
                <w:color w:val="auto"/>
              </w:rPr>
              <w:t>(2)</w:t>
            </w:r>
          </w:p>
        </w:tc>
        <w:tc>
          <w:tcPr>
            <w:tcW w:w="40" w:type="dxa"/>
            <w:vAlign w:val="bottom"/>
            <w:tcBorders>
              <w:bottom w:val="single" w:sz="8" w:color="DDDDDD"/>
            </w:tcBorders>
            <w:shd w:val="clear" w:color="auto" w:fill="DDDDDD"/>
          </w:tcPr>
          <w:p>
            <w:pPr>
              <w:spacing w:after="0"/>
              <w:rPr>
                <w:sz w:val="20"/>
                <w:szCs w:val="20"/>
                <w:color w:val="auto"/>
              </w:rPr>
            </w:pPr>
          </w:p>
        </w:tc>
        <w:tc>
          <w:tcPr>
            <w:tcW w:w="13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 w:type="dxa"/>
            <w:vAlign w:val="bottom"/>
            <w:tcBorders>
              <w:bottom w:val="single" w:sz="8" w:color="auto"/>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spacing w:after="0"/>
              <w:rPr>
                <w:sz w:val="20"/>
                <w:szCs w:val="20"/>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0" w:type="dxa"/>
            <w:vAlign w:val="bottom"/>
            <w:tcBorders>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1840" w:type="dxa"/>
            <w:vAlign w:val="bottom"/>
            <w:gridSpan w:val="6"/>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20" w:type="dxa"/>
            <w:vAlign w:val="bottom"/>
          </w:tcPr>
          <w:p>
            <w:pPr>
              <w:spacing w:after="0"/>
              <w:rPr>
                <w:sz w:val="20"/>
                <w:szCs w:val="20"/>
                <w:color w:val="auto"/>
              </w:rPr>
            </w:pPr>
          </w:p>
        </w:tc>
        <w:tc>
          <w:tcPr>
            <w:tcW w:w="48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0" w:type="dxa"/>
            <w:vAlign w:val="bottom"/>
            <w:gridSpan w:val="2"/>
            <w:vMerge w:val="restart"/>
          </w:tcPr>
          <w:p>
            <w:pPr>
              <w:jc w:val="right"/>
              <w:ind w:right="1108"/>
              <w:spacing w:after="0"/>
              <w:rPr>
                <w:sz w:val="20"/>
                <w:szCs w:val="20"/>
                <w:color w:val="auto"/>
              </w:rPr>
            </w:pPr>
            <w:r>
              <w:rPr>
                <w:rFonts w:ascii="Times New Roman" w:cs="Times New Roman" w:eastAsia="Times New Roman" w:hAnsi="Times New Roman"/>
                <w:sz w:val="18"/>
                <w:szCs w:val="18"/>
                <w:color w:val="auto"/>
                <w:w w:val="99"/>
              </w:rPr>
              <w:t>76</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4900295</wp:posOffset>
                </wp:positionH>
                <wp:positionV relativeFrom="paragraph">
                  <wp:posOffset>-1377315</wp:posOffset>
                </wp:positionV>
                <wp:extent cx="0" cy="172085"/>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85pt,-108.4499pt" to="385.85pt,-94.89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-1024255</wp:posOffset>
                </wp:positionV>
                <wp:extent cx="388747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747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80.6499pt" to="306pt,-80.64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4861560</wp:posOffset>
                </wp:positionH>
                <wp:positionV relativeFrom="paragraph">
                  <wp:posOffset>-1024255</wp:posOffset>
                </wp:positionV>
                <wp:extent cx="7493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93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8pt,-80.6499pt" to="388.7pt,-80.64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-676910</wp:posOffset>
                </wp:positionV>
                <wp:extent cx="388747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747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53.2999pt" to="306pt,-53.29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4861560</wp:posOffset>
                </wp:positionH>
                <wp:positionV relativeFrom="paragraph">
                  <wp:posOffset>-676910</wp:posOffset>
                </wp:positionV>
                <wp:extent cx="7493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93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8pt,-53.2999pt" to="388.7pt,-53.2999pt" o:allowincell="f" strokecolor="#FFFFFF" strokeweight="0.876pt"/>
            </w:pict>
          </mc:Fallback>
        </mc:AlternateContent>
      </w:r>
    </w:p>
    <w:p>
      <w:pPr>
        <w:sectPr>
          <w:pgSz w:w="11880" w:h="15480" w:orient="portrait"/>
          <w:cols w:equalWidth="0" w:num="1">
            <w:col w:w="9400"/>
          </w:cols>
          <w:pgMar w:left="1220" w:top="1255" w:right="1260" w:bottom="213"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70" w:lineRule="exact"/>
        <w:rPr>
          <w:sz w:val="20"/>
          <w:szCs w:val="20"/>
          <w:color w:val="auto"/>
        </w:rPr>
      </w:pPr>
    </w:p>
    <w:p>
      <w:pPr>
        <w:ind w:left="340" w:hanging="334"/>
        <w:spacing w:after="0"/>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is net of unamortized discount and debt issuance costs.</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bank borrowings, overdrafts, current portion of long-term debt and commercial paper.</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Assumed by the Company as part of the N&amp;B Merger. Amount is net of unamortized premium and debt issuance costs.</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Assumed by the Company as part of the N&amp;B Merger and recorded at fair value.</w:t>
      </w:r>
    </w:p>
    <w:p>
      <w:pPr>
        <w:spacing w:after="0" w:line="1" w:lineRule="exact"/>
        <w:rPr>
          <w:rFonts w:ascii="Times New Roman" w:cs="Times New Roman" w:eastAsia="Times New Roman" w:hAnsi="Times New Roman"/>
          <w:sz w:val="17"/>
          <w:szCs w:val="17"/>
          <w:color w:val="auto"/>
        </w:rPr>
      </w:pPr>
    </w:p>
    <w:p>
      <w:pPr>
        <w:ind w:left="340" w:right="140" w:hanging="334"/>
        <w:spacing w:after="0" w:line="225" w:lineRule="auto"/>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interest rate of commercial paper issuances fluctuate as short-term interest rates and demand fluctuate, and deferred debt issuance costs are immaterial. Additionally, the effective interest rate of commercial paper is not meaningful as issuances do not materially differ from short-term interest rates. Proceeds from the issuance of commercial paper include $225 million of proceeds with original maturities greater than three months.</w:t>
      </w:r>
    </w:p>
    <w:p>
      <w:pPr>
        <w:spacing w:after="0" w:line="2" w:lineRule="exact"/>
        <w:rPr>
          <w:rFonts w:ascii="Times New Roman" w:cs="Times New Roman" w:eastAsia="Times New Roman" w:hAnsi="Times New Roman"/>
          <w:sz w:val="17"/>
          <w:szCs w:val="17"/>
          <w:color w:val="auto"/>
        </w:rPr>
      </w:pPr>
    </w:p>
    <w:p>
      <w:pPr>
        <w:ind w:left="340" w:right="40" w:hanging="334"/>
        <w:spacing w:after="0" w:line="239" w:lineRule="auto"/>
        <w:tabs>
          <w:tab w:leader="none" w:pos="34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on the Amended Revolving Credit Facility is, at the applicable borrower's option, a per annum rate equal to either (x) an eurocurrency rate plus an applicable margin varying from 1.000% to 1.625% or (y) a base rate plus an applicable margin varying from</w:t>
      </w:r>
    </w:p>
    <w:p>
      <w:pPr>
        <w:spacing w:after="0" w:line="1" w:lineRule="exact"/>
        <w:rPr>
          <w:rFonts w:ascii="Times New Roman" w:cs="Times New Roman" w:eastAsia="Times New Roman" w:hAnsi="Times New Roman"/>
          <w:sz w:val="16"/>
          <w:szCs w:val="16"/>
          <w:color w:val="auto"/>
        </w:rPr>
      </w:pPr>
    </w:p>
    <w:p>
      <w:pPr>
        <w:ind w:left="340" w:right="60"/>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0.000% to 0.625%, in each case depending on the public debt ratings for non-credit enhanced long-term senior unsecured debt issued by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Facility and Senior Notes assumed as part of the N&amp;B Merger</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Following the Merger, the Company assumed the indebtedness incurred by N&amp;B in the debt financings completed prior to the Distribution. This indebtedness includes (i) a Term Loan Facility of $1.250 billion pursuant to the term loan credit agreement (the “N&amp;B Term Loan Facility”) and (ii) a series of Senior Notes in the aggregate amount of $6.250 billion with maturities ranging from 2 to 30 years as further described below. N&amp;B’s indebtedness raised prior to the Merger was used to finance the Special Cash Payment to DuPont, which has been paid, and for the satisfaction of the related transaction fees and expenses. See Note 3 for additional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N&amp;B Term Loan Facility</w:t>
      </w:r>
    </w:p>
    <w:p>
      <w:pPr>
        <w:spacing w:after="0" w:line="118"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The N&amp;B Term Loan Facility was funded on February 1, 2021, and provides for a senior unsecured term loan credit facility in an aggregate principal amount of $1.250 billion, comprised of a $625 million three-year tranche (“2024 Term Loan Facility”) and a $625 million five-year tranche (“2026 Term Loan Facility”). Interest for each tranche equals, at the Company’s option, a per annum rate equal to either (x) an adjusted LIBOR rate plus an applicable margin varying from 0.750% to 2.000% for the three-year tranche and from 1.125% to 2.375% for the five-year tranche or (y) a base rate plus an applicable margin varying from 0.000% to 1.000% for the three-year tranche and from 0.125% to 1.375% for the five-year tranche, in each case depending on the class of IFF’s non-credit-enhanced, senior unsecured long-term debt credit rating.</w:t>
      </w:r>
    </w:p>
    <w:p>
      <w:pPr>
        <w:spacing w:after="0" w:line="65"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The 2024 Term Loan Facility and 2026 Term Loan Facility are subject to customary affirmative and negative covenants and events of default after the Closing Date of the Merger. On and after the Closing Date of the N&amp;B Transaction, the 2024 Term Loan Facility and 2026 Term Loan Facility are also subject to a financial covenant requiring maintenance of a maximum consolidated leverage ratio of 4.75x, with step downs to 3.50x over time, with the first step-down which occurred after the fiscal quarter ended December 31, 2021 and the final step-down occurring after the fiscal quarter ending June 30, 2023, with a step-up if the Company consummates certain qualified acquisitions.</w:t>
      </w:r>
    </w:p>
    <w:p>
      <w:pPr>
        <w:spacing w:after="0" w:line="67"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On August 4, 2022, the Company and certain of its subsidiaries entered into Amendment No. 2 To Credit Agreement which amended and restated the Company’s Credit Agreement among the Company, certain of its subsidiaries, the banks, financial institutions and other institutional lenders party thereto, and Morgan Stanley Senior Funding, Inc. as administrative agent. Pursuant to the amendment, the 2024 Term Loan Facility and 2026 Term Loan Facility are subject to a financial covenant requiring maintenance of a maximum consolidated leverage ratio of 4.50x until and including the end of the fiscal quarter ending on June 30, 2023, stepping down to 4.25x until and including the end of the fiscal quarter ending on March 31, 2024, stepping down further to 4.00x until and including the end of the fiscal quarter ending on June 30, 2024, stepping down further to 3.75x until and including the end of the fiscal quarter ending on September 30, 2024, stepping down further to 3.50x thereafter, with a step-up in connection with certain qualifying acquisitions. The Company was in compliance with all covenants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ectPr>
          <w:pgSz w:w="11880" w:h="15480" w:orient="portrait"/>
          <w:cols w:equalWidth="0" w:num="1">
            <w:col w:w="9360"/>
          </w:cols>
          <w:pgMar w:left="1260" w:top="1255" w:right="1260" w:bottom="254"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N&amp;B Senior Notes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16, 2020, N&amp;B issued $6.250 billion in aggregate principal amount of senior unsecured notes consisting of:</w:t>
      </w:r>
    </w:p>
    <w:p>
      <w:pPr>
        <w:spacing w:after="0" w:line="12" w:lineRule="exact"/>
        <w:rPr>
          <w:sz w:val="20"/>
          <w:szCs w:val="20"/>
          <w:color w:val="auto"/>
        </w:rPr>
      </w:pPr>
    </w:p>
    <w:p>
      <w:pPr>
        <w:jc w:val="both"/>
        <w:ind w:firstLine="6"/>
        <w:spacing w:after="0" w:line="258" w:lineRule="auto"/>
        <w:tabs>
          <w:tab w:leader="none" w:pos="2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 senior unsecured notes which matured on September 15, 2022 (the “2022 Notes”), bearing interest at a rate of 0.697% per year, payable semi-annually on March 15 and September 15 of each year, beginning March 15, 2021; (ii) $1.000 billion senior unsecured notes maturing on October 1, 2025 (the “2025 Notes”), bearing interest at a rate of 1.230% per year, payable semi-annually on April 1 and October 1 of each year, beginning April 1, 2021; (iii) $1.200 billion senior unsecured notes maturing on October 15, 2027 (the “2027 Notes”), bearing interest at a rate of 1.832% per year, payable semi-annually on April 15 and October 15 of each year, beginning April 15, 2021; (iv) $1.500 billion senior unsecured notes maturing on November 1, 2030 (the “2030 Notes”), bearing interest at a rate of 2.300% per year, payable semi-annually on May 1 and November 1 of each year, beginning May 1, 2021; (v) $750 million senior unsecured notes maturing on November 15, 2040 (the “2040 Notes”), bearing interest at a rate of 3.268% per year, payable semi-annually on May 15 and November 15 of each year, beginning May 15, 2021, and; (vi) $1.500 billion senior unsecured notes maturing on December 1, 2050 (the “2050 Notes”), bearing interest at a rate of 3.468% per year, payable semi-annually on June 1 and December 1 of each year, beginning June 1, 2021.</w:t>
      </w:r>
    </w:p>
    <w:p>
      <w:pPr>
        <w:spacing w:after="0" w:line="288"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Interest on each series of notes began accruing from September 16, 2020 payable semi-annually in arrears as described above. Interest is computed on the basis of a 360-day year comprised of twelve 30-day months.</w:t>
      </w:r>
    </w:p>
    <w:p>
      <w:pPr>
        <w:spacing w:after="0" w:line="30" w:lineRule="exact"/>
        <w:rPr>
          <w:sz w:val="20"/>
          <w:szCs w:val="20"/>
          <w:color w:val="auto"/>
        </w:rPr>
      </w:pPr>
    </w:p>
    <w:p>
      <w:pPr>
        <w:ind w:right="1100" w:firstLine="328"/>
        <w:spacing w:after="0" w:line="380" w:lineRule="auto"/>
        <w:rPr>
          <w:sz w:val="20"/>
          <w:szCs w:val="20"/>
          <w:color w:val="auto"/>
        </w:rPr>
      </w:pPr>
      <w:r>
        <w:rPr>
          <w:rFonts w:ascii="Times New Roman" w:cs="Times New Roman" w:eastAsia="Times New Roman" w:hAnsi="Times New Roman"/>
          <w:sz w:val="18"/>
          <w:szCs w:val="18"/>
          <w:color w:val="auto"/>
        </w:rPr>
        <w:t xml:space="preserve">On September 15, 2022, the Company repaid the full $300 million outstanding of its 2022 Notes at maturity. </w:t>
      </w:r>
      <w:r>
        <w:rPr>
          <w:rFonts w:ascii="Times New Roman" w:cs="Times New Roman" w:eastAsia="Times New Roman" w:hAnsi="Times New Roman"/>
          <w:sz w:val="18"/>
          <w:szCs w:val="18"/>
          <w:b w:val="1"/>
          <w:bCs w:val="1"/>
          <w:color w:val="auto"/>
        </w:rPr>
        <w:t>Amended Revolving Credit Facility</w:t>
      </w:r>
    </w:p>
    <w:p>
      <w:pPr>
        <w:spacing w:after="0" w:line="1"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On August 4, 2022, the Company and certain of its subsidiaries entered into the Amendment No. 1 To Credit Agreement which amended and restated the Company’s Revolving Credit Facility (previously and more recently amended and restated as of July 28, 2021) among the Company, certain of its subsidiaries, the banks, financial institutions and other institutional lenders party thereto, and Citibank, N.A. as administrative agent.</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interest rate on the Amended Revolving Credit Facility is, at the applicable borrower's option, a per annum rate equal to either (x) an eurocurrency rate plus an applicable margin varying from 1.000% to 1.625% or (y) a base rate plus an applicable margin varying from 0.000% to 0.625%, in each case depending on the public debt ratings for non-credit enhanced long-term senior unsecured debt issued by the Company.</w:t>
      </w:r>
    </w:p>
    <w:p>
      <w:pPr>
        <w:spacing w:after="0" w:line="57"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The Amended Revolving Credit Facility is available for general corporate purposes of each borrower and its subsidiaries. The obligations under the Amended Revolving Credit Facility are unsecured and the Company has guaranteed the obligations of each other borrower under the Amended Revolving Credit Facility. The Company pays a commitment fee on the aggregate unused commitments; such fee is not material. The Amended Revolving Credit Agreement contains various covenants, limitations and events of default customary for similar facilities for similarly rated borrowers, including a maximum permitted ratio of Net Debt to Consolidated EBITDA of 4.50x as of December 31, 2022, with step-downs to 3.50x over time, with a step-up if the Company consummates certain qualifying acquisitions.</w:t>
      </w:r>
    </w:p>
    <w:p>
      <w:pPr>
        <w:spacing w:after="0" w:line="65"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In connection with the initial issuance of the Revolving Credit Facility, the Company incurred $1 million of debt issuance costs. As of December 31, 2022, the Company was in compliance with all covenants under the Amended Revolving Credit Facility. As of December 31, 2022, total capacity under the Amended Revolving Credit Facility was $2.000 billion, with $100 million outstanding borrowings. Under the amended terms of the Revolver Credit Agreement, the Amended Revolving Credit Facility increased from $1.000 billion to $2.000 billion, maturing on July 28, 2026. At the option of the Company, the facility may be increased to $2.500 billion subject to certain conditions. As the Amended Revolving Credit Facility is a multi-year revolving credit agreement, the Company classifies as long-term debt the portion that it has the intent and ability to maintain outstanding longer than 12 months.</w:t>
      </w:r>
    </w:p>
    <w:p>
      <w:pPr>
        <w:spacing w:after="0" w:line="66"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During 2022, the Company had draw downs of $550 million and repayments of $450 million under the Amended Revolving Credit Facility. There were no draw downs or repayments under the Amended Revolving Credit Facility in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Senior Unsecured Notes</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On September 25, 2018 the Company issued €300 million aggregate principal amount of senior unsecured notes that matured on September 25, 2021 (the “2021 Euro Notes”). The 2021 Notes bore interest at a rate of 0.5% per year, payable annually on September 25 of each year, beginning September 25, 2019. Total proceeds from the issuance of the 2021 Notes, net of underwriting discounts and offering costs, were €298 million ($350 million in USD). During the third quarter of 2021, the Company repaid the 2021 Euro Notes in a payment of €300 million. The repayment on the 2021 Euro Notes was funded primarily from the Company’s existing cash balances, with the remainder coming from the issuance of commercial paper.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880" w:h="15480" w:orient="portrait"/>
          <w:cols w:equalWidth="0" w:num="1">
            <w:col w:w="9360"/>
          </w:cols>
          <w:pgMar w:left="1260" w:top="1258" w:right="1260" w:bottom="254" w:gutter="0" w:footer="0" w:header="0"/>
        </w:sectPr>
      </w:pPr>
    </w:p>
    <w:bookmarkStart w:id="85" w:name="page86"/>
    <w:bookmarkEnd w:id="85"/>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On September 25, 2018, the Company issued €800 million aggregate principal amount of senior unsecured notes that mature on September 25, 2026 (the “2026 Euro Notes”). The 2026 Notes bear interest at a rate of 1.8% per year, payable annually on September 25 of each year, beginning September 25, 2019. Total proceeds from the issuance of the 2026 Notes, net of underwriting discounts and offering costs, were €794 million ($932 million in USD).</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On September 26, 2018, the Company issued $400 million aggregate principal amount of senior unsecured notes that mature on September 26, 2028 (the “2028 Notes”). The 2028 Notes bear interest at a rate of 4.45% per year, payable semi-annually on March 26 and September 26 of each year, beginning March 26, 2019. Total proceeds from the issuance of the 2028 Notes, net of underwriting discounts and offering costs, were $397 million.</w:t>
      </w:r>
    </w:p>
    <w:p>
      <w:pPr>
        <w:spacing w:after="0" w:line="57"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On September 26, 2018, the Company issued $800 million aggregate principal amount of senior unsecured notes that mature on September 26, 2048 (the “2048 Notes” and collectively with the 2021 Euro Notes, 2026 Euro Notes, 2020 Notes, 2028 Notes, the “2018 Senior Unsecured Notes”). The 2048 Notes bear interest at a rate of 5.0% per year, payable semi-annually on March 26 and September 26 of each year, beginning March 26, 2019. Total proceeds from the issuance of the 2048 Notes, net of underwriting discounts and offering costs, were $787 million.</w:t>
      </w:r>
    </w:p>
    <w:p>
      <w:pPr>
        <w:spacing w:after="0" w:line="61"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As discussed in Note 16, the 2021 Euro Notes and 2026 Euro Notes have been designated as a hedge of the Company’s net investment in certain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Notes</w:t>
      </w:r>
    </w:p>
    <w:p>
      <w:pPr>
        <w:spacing w:after="0" w:line="124"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On April 4, 2013, the Company issued $300 million face amount of 3.20% Senior Notes (“2023 Notes”) due 2023 at a discount of less than $1 million. The Company received proceeds related to the issuance of these 2023 Notes of $298 million which was net of the less than $1 million discount and a $2 million underwriting discount (recorded as deferred financing costs). In addition, the Company incurred $1 million of other deferred financing costs in connection with the debt issuance. The discount and deferred financing costs are being amortized as interest expense over the term of the 2023 Notes. The 2023 Notes bear interest at a rate of 3.20% per year, with interest payable on May 1 and November 1 of each year, commencing on November 1, 2013. The 2023 Notes mature on May 1,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Euro Notes</w:t>
      </w:r>
    </w:p>
    <w:p>
      <w:pPr>
        <w:spacing w:after="0" w:line="124"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On March 14, 2016, the Company issued €500 million face amount of 1.75% Senior Notes (“2024 Euro Notes”) due 2024 at a discount of €1 million. The Company received proceeds related to the issuance of these 2024 Euro Notes of €496 million which was net of the €1 million discount and €3 million underwriting discount (recorded as deferred financing costs). In addition, the Company incurred $1 million of other deferred financing costs in connection with the debt issuance. In connection with the debt issuance, the Company entered into pre-issuance hedging transactions that were settled upon issuance of the debt and resulted in a loss of approximately $3 million. The discount, deferred financing costs and pre-issuance hedge loss are being amortized as interest expense over the eight year term of the debt. The 2024 Euro Notes bear interest at a rate of 1.75% per annum, with interest payable on March 14 of each year, commencing on March 14, 2017. The 2024 Euro Notes will mature on March 14, 2024.</w:t>
      </w:r>
    </w:p>
    <w:p>
      <w:pPr>
        <w:spacing w:after="0" w:line="68"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As discussed in Note 16, the 2024 Euro Notes have been designated as a hedge of the Company’s net investment in certain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2047 Notes</w:t>
      </w:r>
    </w:p>
    <w:p>
      <w:pPr>
        <w:spacing w:after="0" w:line="124" w:lineRule="exact"/>
        <w:rPr>
          <w:sz w:val="20"/>
          <w:szCs w:val="20"/>
          <w:color w:val="auto"/>
        </w:rPr>
      </w:pPr>
    </w:p>
    <w:p>
      <w:pPr>
        <w:jc w:val="both"/>
        <w:ind w:firstLine="329"/>
        <w:spacing w:after="0" w:line="259" w:lineRule="auto"/>
        <w:rPr>
          <w:sz w:val="20"/>
          <w:szCs w:val="20"/>
          <w:color w:val="auto"/>
        </w:rPr>
      </w:pPr>
      <w:r>
        <w:rPr>
          <w:rFonts w:ascii="Times New Roman" w:cs="Times New Roman" w:eastAsia="Times New Roman" w:hAnsi="Times New Roman"/>
          <w:sz w:val="18"/>
          <w:szCs w:val="18"/>
          <w:color w:val="auto"/>
        </w:rPr>
        <w:t>On May 18, 2017, the Company issued $500 million face amount of 4.375% Senior Notes (“2047 Notes”) due 2047 at a discount of $2 million. The Company received proceeds related to the issuance of these 2047 Notes of $494 million which was net of the $2 million discount and $4 million in underwriting fees (recorded as deferred financing costs). In addition, the Company incurred $1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 million. The discount, deferred financing costs and pre-issuance hedge loss are being amortized as interest expense over the 30 year term of the debt. The 2047 Notes bear interest at a rate of 4.375% per annum, with interest payable semi-annually on June 1 and December 1 of each year, commencing on December 1, 2017. The 2047 Notes will mature on June 1, 2047.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880" w:h="15480" w:orient="portrait"/>
          <w:cols w:equalWidth="0" w:num="1">
            <w:col w:w="9360"/>
          </w:cols>
          <w:pgMar w:left="1260" w:top="1255" w:right="1260" w:bottom="254" w:gutter="0" w:footer="0" w:header="0"/>
        </w:sectPr>
      </w:pPr>
    </w:p>
    <w:bookmarkStart w:id="86" w:name="page87"/>
    <w:bookmarkEnd w:id="86"/>
    <w:p>
      <w:pPr>
        <w:ind w:left="40"/>
        <w:spacing w:after="0"/>
        <w:rPr>
          <w:sz w:val="20"/>
          <w:szCs w:val="20"/>
          <w:color w:val="auto"/>
        </w:rPr>
      </w:pPr>
      <w:r>
        <w:rPr>
          <w:rFonts w:ascii="Times New Roman" w:cs="Times New Roman" w:eastAsia="Times New Roman" w:hAnsi="Times New Roman"/>
          <w:sz w:val="18"/>
          <w:szCs w:val="18"/>
          <w:b w:val="1"/>
          <w:bCs w:val="1"/>
          <w:color w:val="auto"/>
        </w:rPr>
        <w:t>2018 Term Loan Facility</w:t>
      </w:r>
    </w:p>
    <w:p>
      <w:pPr>
        <w:spacing w:after="0" w:line="124" w:lineRule="exact"/>
        <w:rPr>
          <w:sz w:val="20"/>
          <w:szCs w:val="20"/>
          <w:color w:val="auto"/>
        </w:rPr>
      </w:pPr>
    </w:p>
    <w:p>
      <w:pPr>
        <w:jc w:val="both"/>
        <w:ind w:left="40" w:firstLine="329"/>
        <w:spacing w:after="0" w:line="260" w:lineRule="auto"/>
        <w:rPr>
          <w:sz w:val="20"/>
          <w:szCs w:val="20"/>
          <w:color w:val="auto"/>
        </w:rPr>
      </w:pPr>
      <w:r>
        <w:rPr>
          <w:rFonts w:ascii="Times New Roman" w:cs="Times New Roman" w:eastAsia="Times New Roman" w:hAnsi="Times New Roman"/>
          <w:sz w:val="18"/>
          <w:szCs w:val="18"/>
          <w:color w:val="auto"/>
        </w:rPr>
        <w:t>On June 6, 2018, the Company entered into a Term Loan Credit Agreement (as amended on July 13, 2018, January 17, 2020 and August 25, 2020, the “2018 Term Loan Credit Agreement”) with Morgan Stanley Senior Funding, Inc., as the administrative agent, and the lenders party thereto, pursuant to which the lenders thereunder committed to provide, a senior unsecured term loan facility in an original aggregate principal amount of up to $350 million (the “2018 Term Loan Facility”), which matured on October 1, 2021. In 2019, the Company made payments of $110 million on the 2018 Term Loan Facility, and during the third quarter of 2021, the Company repaid the remainder of the 2018 Term Loan Facility in two payments of $120 million each. The repayments on the 2018 Term Loan Facility were funded primarily from the Company's existing cash balances, with the remainder coming from the issuance of commercial paper.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2022 Term Loan Facility</w:t>
      </w:r>
    </w:p>
    <w:p>
      <w:pPr>
        <w:spacing w:after="0" w:line="124" w:lineRule="exact"/>
        <w:rPr>
          <w:sz w:val="20"/>
          <w:szCs w:val="20"/>
          <w:color w:val="auto"/>
        </w:rPr>
      </w:pPr>
    </w:p>
    <w:p>
      <w:pPr>
        <w:jc w:val="both"/>
        <w:ind w:left="40" w:firstLine="329"/>
        <w:spacing w:after="0" w:line="259" w:lineRule="auto"/>
        <w:rPr>
          <w:sz w:val="20"/>
          <w:szCs w:val="20"/>
          <w:color w:val="auto"/>
        </w:rPr>
      </w:pPr>
      <w:r>
        <w:rPr>
          <w:rFonts w:ascii="Times New Roman" w:cs="Times New Roman" w:eastAsia="Times New Roman" w:hAnsi="Times New Roman"/>
          <w:sz w:val="18"/>
          <w:szCs w:val="18"/>
          <w:color w:val="auto"/>
        </w:rPr>
        <w:t>On May 15, 2020, the Company entered into a Term Loan Agreement (as amended on August 25, 2020, the “2022 Term Loan Agreement”) with China Construction Bank Corporation, New York Branch, as administrative agent, and the lenders party thereto, pursuant to which the lenders thereunder have committed to provide a senior unsecured two year term loan facility in an aggregate principal amount of up to $200 million (the “2022 Term Loan Facility”). The loans under the 2022 Term Loan Agreement bore interest, at the Company's option, at a per annum rate equal to either (x) an adjusted LIBOR rate plus an applicable margin varying from 1.225% to 2.475% or (y) a base rate plus an applicable margin varying from 0.225% to 1.475%, in each case depending on the public debt ratings for non-credit enhanced long-term senior unsecured debt issued by the Company. The Company could voluntarily prepay the term loans without premium or penalty, with the balance payable on the second anniversary of the funding date. There is no required amortization under the 2022 Term Loan Agreement.</w:t>
      </w:r>
    </w:p>
    <w:p>
      <w:pPr>
        <w:spacing w:after="0" w:line="68"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During the fourth quarter of 2021, the Company elected to voluntarily prepay the outstanding balance of the 2022 Term Loan Facility.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During 2022, the Company had gross issuances of $6.040 billion and repayments of $6.177 billion under the commercial paper program. The commercial paper issued had original maturities of less than 126 days. During 2021, the Company had gross issuances of $800 million and repayments of $476 million under the commercial paper program.</w:t>
      </w:r>
    </w:p>
    <w:p>
      <w:pPr>
        <w:spacing w:after="0" w:line="52"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Commercial Paper Program is backed by the borrowing capacity available under the Revolving Credit Facility. The effective interest rate of commercial paper issuances does not materially differ from short-term interest rates, which fluctuate due to market conditions and as a result may impact our interest expense.</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Redemption Provisions</w:t>
      </w:r>
    </w:p>
    <w:p>
      <w:pPr>
        <w:spacing w:after="0" w:line="124"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2023 Notes, 2024 Euro Notes, 2026 Euro Notes, 2028 Notes, 2047 Notes, and 2048 Notes (collectively, the “Notes”) share the same redemption provisions. Upon 30 days’ notice to holders of the Notes, the Company may redeem the Notes for cash in whole, at any time, or in part, from time to time, prior to maturity, at redemption prices that include accrued and unpaid interest and a make-whole premium, as specified in the indenture governing the Notes. However, no make-whole premium will be paid for redemptions of each note on or after the following date: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Note</w:t>
            </w:r>
          </w:p>
        </w:tc>
        <w:tc>
          <w:tcPr>
            <w:tcW w:w="4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DDDDDD"/>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Redemption Date</w:t>
            </w:r>
          </w:p>
        </w:tc>
      </w:tr>
      <w:tr>
        <w:trPr>
          <w:trHeight w:val="256"/>
        </w:trPr>
        <w:tc>
          <w:tcPr>
            <w:tcW w:w="40" w:type="dxa"/>
            <w:vAlign w:val="bottom"/>
            <w:shd w:val="clear" w:color="auto" w:fill="DDDDDD"/>
          </w:tcPr>
          <w:p>
            <w:pPr>
              <w:spacing w:after="0"/>
              <w:rPr>
                <w:sz w:val="22"/>
                <w:szCs w:val="22"/>
                <w:color w:val="auto"/>
              </w:rPr>
            </w:pPr>
          </w:p>
        </w:tc>
        <w:tc>
          <w:tcPr>
            <w:tcW w:w="4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2023</w:t>
            </w:r>
          </w:p>
        </w:tc>
        <w:tc>
          <w:tcPr>
            <w:tcW w:w="44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February 1, 2023</w:t>
            </w:r>
          </w:p>
        </w:tc>
        <w:tc>
          <w:tcPr>
            <w:tcW w:w="40" w:type="dxa"/>
            <w:vAlign w:val="bottom"/>
            <w:shd w:val="clear" w:color="auto" w:fill="DDDDDD"/>
          </w:tcPr>
          <w:p>
            <w:pPr>
              <w:spacing w:after="0"/>
              <w:rPr>
                <w:sz w:val="22"/>
                <w:szCs w:val="22"/>
                <w:color w:val="auto"/>
              </w:rPr>
            </w:pPr>
          </w:p>
        </w:tc>
      </w:tr>
      <w:tr>
        <w:trPr>
          <w:trHeight w:val="271"/>
        </w:trPr>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Notes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December 14, 2023</w:t>
            </w:r>
          </w:p>
        </w:tc>
      </w:tr>
      <w:tr>
        <w:trPr>
          <w:trHeight w:val="276"/>
        </w:trPr>
        <w:tc>
          <w:tcPr>
            <w:tcW w:w="40" w:type="dxa"/>
            <w:vAlign w:val="bottom"/>
            <w:tcBorders>
              <w:bottom w:val="single" w:sz="8" w:color="DDDDDD"/>
            </w:tcBorders>
            <w:shd w:val="clear" w:color="auto" w:fill="DDDDDD"/>
          </w:tcPr>
          <w:p>
            <w:pPr>
              <w:spacing w:after="0"/>
              <w:rPr>
                <w:sz w:val="24"/>
                <w:szCs w:val="24"/>
                <w:color w:val="auto"/>
              </w:rPr>
            </w:pPr>
          </w:p>
        </w:tc>
        <w:tc>
          <w:tcPr>
            <w:tcW w:w="4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2026</w:t>
            </w:r>
          </w:p>
        </w:tc>
        <w:tc>
          <w:tcPr>
            <w:tcW w:w="44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Euro Notes</w:t>
            </w:r>
          </w:p>
        </w:tc>
        <w:tc>
          <w:tcPr>
            <w:tcW w:w="4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June 25, 2026</w:t>
            </w:r>
          </w:p>
        </w:tc>
        <w:tc>
          <w:tcPr>
            <w:tcW w:w="40" w:type="dxa"/>
            <w:vAlign w:val="bottom"/>
            <w:tcBorders>
              <w:bottom w:val="single" w:sz="8" w:color="DDDDDD"/>
            </w:tcBorders>
            <w:shd w:val="clear" w:color="auto" w:fill="DDDDDD"/>
          </w:tcPr>
          <w:p>
            <w:pPr>
              <w:spacing w:after="0"/>
              <w:rPr>
                <w:sz w:val="24"/>
                <w:szCs w:val="24"/>
                <w:color w:val="auto"/>
              </w:rPr>
            </w:pPr>
          </w:p>
        </w:tc>
      </w:tr>
      <w:tr>
        <w:trPr>
          <w:trHeight w:val="251"/>
        </w:trPr>
        <w:tc>
          <w:tcPr>
            <w:tcW w:w="4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26, 2028</w:t>
            </w:r>
          </w:p>
        </w:tc>
        <w:tc>
          <w:tcPr>
            <w:tcW w:w="40" w:type="dxa"/>
            <w:vAlign w:val="bottom"/>
          </w:tcPr>
          <w:p>
            <w:pPr>
              <w:spacing w:after="0"/>
              <w:rPr>
                <w:sz w:val="21"/>
                <w:szCs w:val="21"/>
                <w:color w:val="auto"/>
              </w:rPr>
            </w:pPr>
          </w:p>
        </w:tc>
      </w:tr>
      <w:tr>
        <w:trPr>
          <w:trHeight w:val="276"/>
        </w:trPr>
        <w:tc>
          <w:tcPr>
            <w:tcW w:w="40" w:type="dxa"/>
            <w:vAlign w:val="bottom"/>
            <w:tcBorders>
              <w:bottom w:val="single" w:sz="8" w:color="DDDDDD"/>
            </w:tcBorders>
            <w:shd w:val="clear" w:color="auto" w:fill="DDDDDD"/>
          </w:tcPr>
          <w:p>
            <w:pPr>
              <w:spacing w:after="0"/>
              <w:rPr>
                <w:sz w:val="24"/>
                <w:szCs w:val="24"/>
                <w:color w:val="auto"/>
              </w:rPr>
            </w:pPr>
          </w:p>
        </w:tc>
        <w:tc>
          <w:tcPr>
            <w:tcW w:w="4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2047</w:t>
            </w:r>
          </w:p>
        </w:tc>
        <w:tc>
          <w:tcPr>
            <w:tcW w:w="4420" w:type="dxa"/>
            <w:vAlign w:val="bottom"/>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December 1, 2046</w:t>
            </w:r>
          </w:p>
        </w:tc>
        <w:tc>
          <w:tcPr>
            <w:tcW w:w="40" w:type="dxa"/>
            <w:vAlign w:val="bottom"/>
            <w:tcBorders>
              <w:bottom w:val="single" w:sz="8" w:color="DDDDDD"/>
            </w:tcBorders>
            <w:shd w:val="clear" w:color="auto" w:fill="DDDDDD"/>
          </w:tcPr>
          <w:p>
            <w:pPr>
              <w:spacing w:after="0"/>
              <w:rPr>
                <w:sz w:val="24"/>
                <w:szCs w:val="24"/>
                <w:color w:val="auto"/>
              </w:rPr>
            </w:pPr>
          </w:p>
        </w:tc>
      </w:tr>
      <w:tr>
        <w:trPr>
          <w:trHeight w:val="251"/>
        </w:trPr>
        <w:tc>
          <w:tcPr>
            <w:tcW w:w="40" w:type="dxa"/>
            <w:vAlign w:val="bottom"/>
          </w:tcPr>
          <w:p>
            <w:pPr>
              <w:spacing w:after="0"/>
              <w:rPr>
                <w:sz w:val="21"/>
                <w:szCs w:val="21"/>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2048</w:t>
            </w: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26, 2048</w:t>
            </w:r>
          </w:p>
        </w:tc>
        <w:tc>
          <w:tcPr>
            <w:tcW w:w="40" w:type="dxa"/>
            <w:vAlign w:val="bottom"/>
          </w:tcPr>
          <w:p>
            <w:pPr>
              <w:spacing w:after="0"/>
              <w:rPr>
                <w:sz w:val="21"/>
                <w:szCs w:val="21"/>
                <w:color w:val="auto"/>
              </w:rPr>
            </w:pPr>
          </w:p>
        </w:tc>
      </w:tr>
    </w:tbl>
    <w:p>
      <w:pPr>
        <w:spacing w:after="0" w:line="63"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indenture of the Notes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Notes below investment grade rating by both Moody’s Investors Services, Inc., Standard &amp; Poor’s Ratings Services and Fitch Ratings Inc. within a specified time period, the Company will be required to make an offer to repurchase the Notes at a price equal to 101% of the principal amount of the Notes, plus accrued and unpaid interest to the date of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ectPr>
          <w:pgSz w:w="11880" w:h="15480" w:orient="portrait"/>
          <w:cols w:equalWidth="0" w:num="1">
            <w:col w:w="9400"/>
          </w:cols>
          <w:pgMar w:left="1220" w:top="1252" w:right="1260" w:bottom="254" w:gutter="0" w:footer="0" w:header="0"/>
        </w:sectPr>
      </w:pPr>
    </w:p>
    <w:bookmarkStart w:id="87" w:name="page88"/>
    <w:bookmarkEnd w:id="87"/>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2025 Notes, 2027 Notes, 2030 Notes, 2040 Notes and 2050 Notes (collectively, the “N&amp;B Senior Notes”), assumed as a result of the Merger, may be redeemed by the issuer at any time at the greater of 100% or the discounted present value of the remaining scheduled payments of principal and interest from the redemption date to the maturity date at Treasury Rate (as defined in the applicable indenture) plus (i) 15 basis points in the case of the 2025 Notes, (ii) 25 basis points in the case of the 2027 Notes, (iii) 25 basis points in the case of the 2030 Notes, (iv) 30 basis points in the case of the 2040 Notes and (v) 30 basis points in the case of the 2050 Notes. The redemption dates of each of the N&amp;B Senior Notes are provided in the table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820" w:type="dxa"/>
            <w:vAlign w:val="bottom"/>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Redemption Date</w:t>
            </w:r>
          </w:p>
        </w:tc>
      </w:tr>
      <w:tr>
        <w:trPr>
          <w:trHeight w:val="256"/>
        </w:trPr>
        <w:tc>
          <w:tcPr>
            <w:tcW w:w="40" w:type="dxa"/>
            <w:vAlign w:val="bottom"/>
            <w:tcBorders>
              <w:top w:val="single" w:sz="8" w:color="DDDDDD"/>
            </w:tcBorders>
            <w:shd w:val="clear" w:color="auto" w:fill="DDDDDD"/>
          </w:tcPr>
          <w:p>
            <w:pPr>
              <w:spacing w:after="0"/>
              <w:rPr>
                <w:sz w:val="22"/>
                <w:szCs w:val="22"/>
                <w:color w:val="auto"/>
              </w:rPr>
            </w:pPr>
          </w:p>
        </w:tc>
        <w:tc>
          <w:tcPr>
            <w:tcW w:w="750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2025 Notes</w:t>
            </w:r>
          </w:p>
        </w:tc>
        <w:tc>
          <w:tcPr>
            <w:tcW w:w="18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September 1, 2025</w:t>
            </w:r>
          </w:p>
        </w:tc>
      </w:tr>
      <w:tr>
        <w:trPr>
          <w:trHeight w:val="271"/>
        </w:trPr>
        <w:tc>
          <w:tcPr>
            <w:tcW w:w="40" w:type="dxa"/>
            <w:vAlign w:val="bottom"/>
          </w:tcPr>
          <w:p>
            <w:pPr>
              <w:spacing w:after="0"/>
              <w:rPr>
                <w:sz w:val="23"/>
                <w:szCs w:val="23"/>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2027 Notes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15, 2027</w:t>
            </w:r>
          </w:p>
        </w:tc>
      </w:tr>
      <w:tr>
        <w:trPr>
          <w:trHeight w:val="276"/>
        </w:trPr>
        <w:tc>
          <w:tcPr>
            <w:tcW w:w="40" w:type="dxa"/>
            <w:vAlign w:val="bottom"/>
            <w:shd w:val="clear" w:color="auto" w:fill="DDDDDD"/>
          </w:tcPr>
          <w:p>
            <w:pPr>
              <w:spacing w:after="0"/>
              <w:rPr>
                <w:sz w:val="24"/>
                <w:szCs w:val="24"/>
                <w:color w:val="auto"/>
              </w:rPr>
            </w:pPr>
          </w:p>
        </w:tc>
        <w:tc>
          <w:tcPr>
            <w:tcW w:w="75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2030 Notes</w:t>
            </w:r>
          </w:p>
        </w:tc>
        <w:tc>
          <w:tcPr>
            <w:tcW w:w="1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August 1, 2030</w:t>
            </w:r>
          </w:p>
        </w:tc>
      </w:tr>
      <w:tr>
        <w:trPr>
          <w:trHeight w:val="271"/>
        </w:trPr>
        <w:tc>
          <w:tcPr>
            <w:tcW w:w="40" w:type="dxa"/>
            <w:vAlign w:val="bottom"/>
          </w:tcPr>
          <w:p>
            <w:pPr>
              <w:spacing w:after="0"/>
              <w:rPr>
                <w:sz w:val="23"/>
                <w:szCs w:val="23"/>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2040 Notes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15, 2040</w:t>
            </w:r>
          </w:p>
        </w:tc>
      </w:tr>
      <w:tr>
        <w:trPr>
          <w:trHeight w:val="276"/>
        </w:trPr>
        <w:tc>
          <w:tcPr>
            <w:tcW w:w="40" w:type="dxa"/>
            <w:vAlign w:val="bottom"/>
            <w:shd w:val="clear" w:color="auto" w:fill="DDDDDD"/>
          </w:tcPr>
          <w:p>
            <w:pPr>
              <w:spacing w:after="0"/>
              <w:rPr>
                <w:sz w:val="24"/>
                <w:szCs w:val="24"/>
                <w:color w:val="auto"/>
              </w:rPr>
            </w:pPr>
          </w:p>
        </w:tc>
        <w:tc>
          <w:tcPr>
            <w:tcW w:w="75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2050 Notes</w:t>
            </w:r>
          </w:p>
        </w:tc>
        <w:tc>
          <w:tcPr>
            <w:tcW w:w="1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June 1, 2050</w:t>
            </w:r>
          </w:p>
        </w:tc>
      </w:tr>
    </w:tbl>
    <w:p>
      <w:pPr>
        <w:spacing w:after="0" w:line="63"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On or after the applicable redemption dates, each series of the N&amp;B Senior Notes may be redeemed by the issuer at a redemption price equal to 100% of the principal amount of the N&amp;B Senior Notes to be redeemed, plus accrued and unpaid interest on the notes to be redeemed to, but excluding, the redemption date.</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contractual maturities of the Company's long-term debt as of December 31,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15"/>
          </w:tcPr>
          <w:p>
            <w:pPr>
              <w:ind w:left="5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5"/>
          </w:tcPr>
          <w:p>
            <w:pPr>
              <w:jc w:val="right"/>
              <w:ind w:right="28"/>
              <w:spacing w:after="0" w:line="191"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220" w:type="dxa"/>
            <w:vAlign w:val="bottom"/>
          </w:tcPr>
          <w:p>
            <w:pPr>
              <w:spacing w:after="0"/>
              <w:rPr>
                <w:sz w:val="16"/>
                <w:szCs w:val="16"/>
                <w:color w:val="auto"/>
              </w:rPr>
            </w:pPr>
          </w:p>
        </w:tc>
        <w:tc>
          <w:tcPr>
            <w:tcW w:w="7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1-3 Years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6"/>
                <w:szCs w:val="16"/>
                <w:color w:val="auto"/>
              </w:rPr>
            </w:pPr>
          </w:p>
        </w:tc>
        <w:tc>
          <w:tcPr>
            <w:tcW w:w="1060" w:type="dxa"/>
            <w:vAlign w:val="bottom"/>
            <w:gridSpan w:val="3"/>
          </w:tcPr>
          <w:p>
            <w:pPr>
              <w:jc w:val="center"/>
              <w:ind w:right="40"/>
              <w:spacing w:after="0" w:line="191"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4"/>
          </w:tcPr>
          <w:p>
            <w:pPr>
              <w:jc w:val="right"/>
              <w:ind w:right="288"/>
              <w:spacing w:after="0" w:line="184" w:lineRule="exact"/>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5"/>
              </w:rPr>
              <w:t>5 Years</w:t>
            </w:r>
          </w:p>
        </w:tc>
        <w:tc>
          <w:tcPr>
            <w:tcW w:w="0" w:type="dxa"/>
            <w:vAlign w:val="bottom"/>
          </w:tcPr>
          <w:p>
            <w:pPr>
              <w:spacing w:after="0"/>
              <w:rPr>
                <w:sz w:val="1"/>
                <w:szCs w:val="1"/>
                <w:color w:val="auto"/>
              </w:rPr>
            </w:pPr>
          </w:p>
        </w:tc>
      </w:tr>
      <w:tr>
        <w:trPr>
          <w:trHeight w:val="24"/>
        </w:trPr>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top w:val="single" w:sz="8" w:color="auto"/>
              <w:bottom w:val="single" w:sz="8" w:color="DDDDDD"/>
            </w:tcBorders>
          </w:tcPr>
          <w:p>
            <w:pPr>
              <w:spacing w:after="0"/>
              <w:rPr>
                <w:sz w:val="2"/>
                <w:szCs w:val="2"/>
                <w:color w:val="auto"/>
              </w:rPr>
            </w:pPr>
          </w:p>
        </w:tc>
        <w:tc>
          <w:tcPr>
            <w:tcW w:w="80" w:type="dxa"/>
            <w:vAlign w:val="bottom"/>
            <w:tcBorders>
              <w:top w:val="single" w:sz="8" w:color="auto"/>
              <w:bottom w:val="single" w:sz="8" w:color="DDDDDD"/>
            </w:tcBorders>
          </w:tcPr>
          <w:p>
            <w:pPr>
              <w:spacing w:after="0"/>
              <w:rPr>
                <w:sz w:val="2"/>
                <w:szCs w:val="2"/>
                <w:color w:val="auto"/>
              </w:rPr>
            </w:pPr>
          </w:p>
        </w:tc>
        <w:tc>
          <w:tcPr>
            <w:tcW w:w="192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80" w:type="dxa"/>
            <w:vAlign w:val="bottom"/>
            <w:tcBorders>
              <w:right w:val="single" w:sz="8" w:color="DDDDDD"/>
            </w:tcBorders>
          </w:tcPr>
          <w:p>
            <w:pPr>
              <w:spacing w:after="0"/>
              <w:rPr>
                <w:sz w:val="21"/>
                <w:szCs w:val="21"/>
                <w:color w:val="auto"/>
              </w:rPr>
            </w:pPr>
          </w:p>
        </w:tc>
        <w:tc>
          <w:tcPr>
            <w:tcW w:w="3520" w:type="dxa"/>
            <w:vAlign w:val="bottom"/>
            <w:tcBorders>
              <w:right w:val="single" w:sz="8" w:color="DDDDDD"/>
            </w:tcBorders>
            <w:gridSpan w:val="3"/>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2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34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DDDDDD"/>
          </w:tcPr>
          <w:p>
            <w:pPr>
              <w:ind w:left="480"/>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60" w:type="dxa"/>
            <w:vAlign w:val="bottom"/>
            <w:tcBorders>
              <w:left w:val="single" w:sz="8" w:color="DDDDDD"/>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00" w:type="dxa"/>
            <w:vAlign w:val="bottom"/>
            <w:tcBorders>
              <w:right w:val="single" w:sz="8" w:color="auto"/>
            </w:tcBorders>
            <w:gridSpan w:val="2"/>
            <w:shd w:val="clear" w:color="auto" w:fill="DDDDDD"/>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0" w:type="dxa"/>
            <w:vAlign w:val="bottom"/>
          </w:tcPr>
          <w:p>
            <w:pPr>
              <w:spacing w:after="0"/>
              <w:rPr>
                <w:sz w:val="24"/>
                <w:szCs w:val="24"/>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Earnings before income taxes consisted of the following:</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88"/>
              <w:spacing w:after="0" w:line="203"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08"/>
              <w:spacing w:after="0" w:line="203"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08"/>
              <w:spacing w:after="0" w:line="203" w:lineRule="exact"/>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gridSpan w:val="2"/>
          </w:tcPr>
          <w:p>
            <w:pPr>
              <w:spacing w:after="0" w:line="20" w:lineRule="exact"/>
              <w:rPr>
                <w:sz w:val="1"/>
                <w:szCs w:val="1"/>
                <w:color w:val="auto"/>
              </w:rPr>
            </w:pPr>
          </w:p>
        </w:tc>
        <w:tc>
          <w:tcPr>
            <w:tcW w:w="2000" w:type="dxa"/>
            <w:vAlign w:val="bottom"/>
            <w:tcBorders>
              <w:bottom w:val="single" w:sz="8" w:color="DDDDDD"/>
            </w:tcBorders>
            <w:gridSpan w:val="2"/>
          </w:tcPr>
          <w:p>
            <w:pPr>
              <w:spacing w:after="0" w:line="20" w:lineRule="exact"/>
              <w:rPr>
                <w:sz w:val="1"/>
                <w:szCs w:val="1"/>
                <w:color w:val="auto"/>
              </w:rPr>
            </w:pPr>
          </w:p>
        </w:tc>
        <w:tc>
          <w:tcPr>
            <w:tcW w:w="240" w:type="dxa"/>
            <w:vAlign w:val="bottom"/>
            <w:tcBorders>
              <w:bottom w:val="single" w:sz="8" w:color="DDDDDD"/>
            </w:tcBorders>
          </w:tcPr>
          <w:p>
            <w:pPr>
              <w:spacing w:after="0" w:line="20" w:lineRule="exact"/>
              <w:rPr>
                <w:sz w:val="1"/>
                <w:szCs w:val="1"/>
                <w:color w:val="auto"/>
              </w:rPr>
            </w:pPr>
          </w:p>
        </w:tc>
        <w:tc>
          <w:tcPr>
            <w:tcW w:w="84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DDDDDD"/>
            </w:tcBorders>
          </w:tcPr>
          <w:p>
            <w:pPr>
              <w:spacing w:after="0" w:line="20" w:lineRule="exact"/>
              <w:rPr>
                <w:sz w:val="1"/>
                <w:szCs w:val="1"/>
                <w:color w:val="auto"/>
              </w:rPr>
            </w:pPr>
          </w:p>
        </w:tc>
        <w:tc>
          <w:tcPr>
            <w:tcW w:w="5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3600" w:type="dxa"/>
            <w:vAlign w:val="bottom"/>
            <w:tcBorders>
              <w:right w:val="single" w:sz="8" w:color="DDDDDD"/>
            </w:tcBorders>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U.S. loss before taxes</w:t>
            </w:r>
          </w:p>
        </w:tc>
        <w:tc>
          <w:tcPr>
            <w:tcW w:w="240" w:type="dxa"/>
            <w:vAlign w:val="bottom"/>
            <w:shd w:val="clear" w:color="auto" w:fill="DDDDDD"/>
          </w:tcPr>
          <w:p>
            <w:pPr>
              <w:spacing w:after="0"/>
              <w:rPr>
                <w:sz w:val="21"/>
                <w:szCs w:val="21"/>
                <w:color w:val="auto"/>
              </w:rPr>
            </w:pPr>
          </w:p>
        </w:tc>
        <w:tc>
          <w:tcPr>
            <w:tcW w:w="84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5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DDDDD"/>
          </w:tcPr>
          <w:p>
            <w:pPr>
              <w:spacing w:after="0"/>
              <w:rPr>
                <w:sz w:val="21"/>
                <w:szCs w:val="21"/>
                <w:color w:val="auto"/>
              </w:rPr>
            </w:pPr>
          </w:p>
        </w:tc>
        <w:tc>
          <w:tcPr>
            <w:tcW w:w="7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DDDDDD"/>
          </w:tcPr>
          <w:p>
            <w:pPr>
              <w:spacing w:after="0"/>
              <w:rPr>
                <w:sz w:val="21"/>
                <w:szCs w:val="21"/>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21"/>
                <w:szCs w:val="21"/>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left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360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Foreign income before taxes</w:t>
            </w:r>
          </w:p>
        </w:tc>
        <w:tc>
          <w:tcPr>
            <w:tcW w:w="240" w:type="dxa"/>
            <w:vAlign w:val="bottom"/>
            <w:tcBorders>
              <w:bottom w:val="single" w:sz="8" w:color="DDDDDD"/>
            </w:tcBorders>
          </w:tcPr>
          <w:p>
            <w:pPr>
              <w:spacing w:after="0"/>
              <w:rPr>
                <w:sz w:val="23"/>
                <w:szCs w:val="23"/>
                <w:color w:val="auto"/>
              </w:rPr>
            </w:pPr>
          </w:p>
        </w:tc>
        <w:tc>
          <w:tcPr>
            <w:tcW w:w="840" w:type="dxa"/>
            <w:vAlign w:val="bottom"/>
            <w:tcBorders>
              <w:bottom w:val="single" w:sz="8" w:color="DDDDDD"/>
            </w:tcBorders>
          </w:tcPr>
          <w:p>
            <w:pPr>
              <w:spacing w:after="0"/>
              <w:rPr>
                <w:sz w:val="23"/>
                <w:szCs w:val="23"/>
                <w:color w:val="auto"/>
              </w:rPr>
            </w:pPr>
          </w:p>
        </w:tc>
        <w:tc>
          <w:tcPr>
            <w:tcW w:w="340" w:type="dxa"/>
            <w:vAlign w:val="bottom"/>
            <w:tcBorders>
              <w:bottom w:val="single" w:sz="8" w:color="DDDDDD"/>
            </w:tcBorders>
          </w:tcPr>
          <w:p>
            <w:pPr>
              <w:spacing w:after="0"/>
              <w:rPr>
                <w:sz w:val="23"/>
                <w:szCs w:val="23"/>
                <w:color w:val="auto"/>
              </w:rPr>
            </w:pPr>
          </w:p>
        </w:tc>
        <w:tc>
          <w:tcPr>
            <w:tcW w:w="520" w:type="dxa"/>
            <w:vAlign w:val="bottom"/>
            <w:tcBorders>
              <w:bottom w:val="single" w:sz="8" w:color="DDDDDD"/>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3600" w:type="dxa"/>
            <w:vAlign w:val="bottom"/>
            <w:tcBorders>
              <w:right w:val="single" w:sz="8" w:color="DDDDDD"/>
            </w:tcBorders>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(loss) income before taxes</w:t>
            </w:r>
          </w:p>
        </w:tc>
        <w:tc>
          <w:tcPr>
            <w:tcW w:w="24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340" w:type="dxa"/>
            <w:vAlign w:val="bottom"/>
            <w:shd w:val="clear" w:color="auto" w:fill="DDDDDD"/>
          </w:tcPr>
          <w:p>
            <w:pPr>
              <w:spacing w:after="0"/>
              <w:rPr>
                <w:sz w:val="22"/>
                <w:szCs w:val="22"/>
                <w:color w:val="auto"/>
              </w:rPr>
            </w:pPr>
          </w:p>
        </w:tc>
        <w:tc>
          <w:tcPr>
            <w:tcW w:w="5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DDDDD"/>
          </w:tcPr>
          <w:p>
            <w:pPr>
              <w:spacing w:after="0"/>
              <w:rPr>
                <w:sz w:val="22"/>
                <w:szCs w:val="22"/>
                <w:color w:val="auto"/>
              </w:rPr>
            </w:pPr>
          </w:p>
        </w:tc>
        <w:tc>
          <w:tcPr>
            <w:tcW w:w="70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DDDDD"/>
          </w:tcPr>
          <w:p>
            <w:pPr>
              <w:spacing w:after="0"/>
              <w:rPr>
                <w:sz w:val="22"/>
                <w:szCs w:val="22"/>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DDDDD"/>
          </w:tcPr>
          <w:p>
            <w:pPr>
              <w:spacing w:after="0"/>
              <w:rPr>
                <w:sz w:val="22"/>
                <w:szCs w:val="22"/>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Borders>
              <w:left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5"/>
            <w:vMerge w:val="continue"/>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gridSpan w:val="2"/>
          </w:tcPr>
          <w:p>
            <w:pPr>
              <w:spacing w:after="0" w:line="20" w:lineRule="exact"/>
              <w:rPr>
                <w:sz w:val="1"/>
                <w:szCs w:val="1"/>
                <w:color w:val="auto"/>
              </w:rPr>
            </w:pPr>
          </w:p>
        </w:tc>
        <w:tc>
          <w:tcPr>
            <w:tcW w:w="2000" w:type="dxa"/>
            <w:vAlign w:val="bottom"/>
            <w:tcBorders>
              <w:bottom w:val="single" w:sz="8" w:color="DDDDDD"/>
            </w:tcBorders>
            <w:gridSpan w:val="2"/>
          </w:tcPr>
          <w:p>
            <w:pPr>
              <w:spacing w:after="0" w:line="20" w:lineRule="exact"/>
              <w:rPr>
                <w:sz w:val="1"/>
                <w:szCs w:val="1"/>
                <w:color w:val="auto"/>
              </w:rPr>
            </w:pPr>
          </w:p>
        </w:tc>
        <w:tc>
          <w:tcPr>
            <w:tcW w:w="240" w:type="dxa"/>
            <w:vAlign w:val="bottom"/>
            <w:tcBorders>
              <w:bottom w:val="single" w:sz="8" w:color="DDDDDD"/>
            </w:tcBorders>
          </w:tcPr>
          <w:p>
            <w:pPr>
              <w:spacing w:after="0" w:line="20" w:lineRule="exact"/>
              <w:rPr>
                <w:sz w:val="1"/>
                <w:szCs w:val="1"/>
                <w:color w:val="auto"/>
              </w:rPr>
            </w:pPr>
          </w:p>
        </w:tc>
        <w:tc>
          <w:tcPr>
            <w:tcW w:w="84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DDDDDD"/>
            </w:tcBorders>
          </w:tcPr>
          <w:p>
            <w:pPr>
              <w:spacing w:after="0" w:line="20" w:lineRule="exact"/>
              <w:rPr>
                <w:sz w:val="1"/>
                <w:szCs w:val="1"/>
                <w:color w:val="auto"/>
              </w:rPr>
            </w:pPr>
          </w:p>
        </w:tc>
        <w:tc>
          <w:tcPr>
            <w:tcW w:w="5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3600" w:type="dxa"/>
            <w:vAlign w:val="bottom"/>
            <w:tcBorders>
              <w:right w:val="single" w:sz="8" w:color="DDDDDD"/>
            </w:tcBorders>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Current tax provision</w:t>
            </w:r>
          </w:p>
        </w:tc>
        <w:tc>
          <w:tcPr>
            <w:tcW w:w="24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340" w:type="dxa"/>
            <w:vAlign w:val="bottom"/>
            <w:shd w:val="clear" w:color="auto" w:fill="DDDDDD"/>
          </w:tcPr>
          <w:p>
            <w:pPr>
              <w:spacing w:after="0"/>
              <w:rPr>
                <w:sz w:val="22"/>
                <w:szCs w:val="22"/>
                <w:color w:val="auto"/>
              </w:rPr>
            </w:pPr>
          </w:p>
        </w:tc>
        <w:tc>
          <w:tcPr>
            <w:tcW w:w="5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6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7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60" w:type="dxa"/>
            <w:vAlign w:val="bottom"/>
            <w:tcBorders>
              <w:left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40" w:type="dxa"/>
            <w:vAlign w:val="bottom"/>
            <w:tcBorders>
              <w:top w:val="single" w:sz="8" w:color="DDDDDD"/>
            </w:tcBorders>
          </w:tcPr>
          <w:p>
            <w:pPr>
              <w:spacing w:after="0"/>
              <w:rPr>
                <w:sz w:val="21"/>
                <w:szCs w:val="21"/>
                <w:color w:val="auto"/>
              </w:rPr>
            </w:pPr>
          </w:p>
        </w:tc>
        <w:tc>
          <w:tcPr>
            <w:tcW w:w="80" w:type="dxa"/>
            <w:vAlign w:val="bottom"/>
            <w:tcBorders>
              <w:top w:val="single" w:sz="8" w:color="DDDDDD"/>
            </w:tcBorders>
          </w:tcPr>
          <w:p>
            <w:pPr>
              <w:spacing w:after="0"/>
              <w:rPr>
                <w:sz w:val="21"/>
                <w:szCs w:val="21"/>
                <w:color w:val="auto"/>
              </w:rPr>
            </w:pPr>
          </w:p>
        </w:tc>
        <w:tc>
          <w:tcPr>
            <w:tcW w:w="3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Borders>
              <w:top w:val="single" w:sz="8" w:color="DDDDDD"/>
            </w:tcBorders>
            <w:gridSpan w:val="2"/>
          </w:tcPr>
          <w:p>
            <w:pPr>
              <w:spacing w:after="0"/>
              <w:rPr>
                <w:sz w:val="21"/>
                <w:szCs w:val="21"/>
                <w:color w:val="auto"/>
              </w:rPr>
            </w:pP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3"/>
                <w:szCs w:val="23"/>
                <w:color w:val="auto"/>
              </w:rPr>
            </w:pPr>
          </w:p>
        </w:tc>
        <w:tc>
          <w:tcPr>
            <w:tcW w:w="80" w:type="dxa"/>
            <w:vAlign w:val="bottom"/>
            <w:tcBorders>
              <w:right w:val="single" w:sz="8" w:color="DDDDDD"/>
            </w:tcBorders>
            <w:shd w:val="clear" w:color="auto" w:fill="DDDDDD"/>
          </w:tcPr>
          <w:p>
            <w:pPr>
              <w:spacing w:after="0"/>
              <w:rPr>
                <w:sz w:val="23"/>
                <w:szCs w:val="23"/>
                <w:color w:val="auto"/>
              </w:rPr>
            </w:pPr>
          </w:p>
        </w:tc>
        <w:tc>
          <w:tcPr>
            <w:tcW w:w="3520" w:type="dxa"/>
            <w:vAlign w:val="bottom"/>
            <w:tcBorders>
              <w:right w:val="single" w:sz="8" w:color="DDDDDD"/>
            </w:tcBorders>
            <w:gridSpan w:val="3"/>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shd w:val="clear" w:color="auto" w:fill="DDDDDD"/>
          </w:tcPr>
          <w:p>
            <w:pPr>
              <w:spacing w:after="0"/>
              <w:rPr>
                <w:sz w:val="23"/>
                <w:szCs w:val="23"/>
                <w:color w:val="auto"/>
              </w:rPr>
            </w:pPr>
          </w:p>
        </w:tc>
        <w:tc>
          <w:tcPr>
            <w:tcW w:w="84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5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80" w:type="dxa"/>
            <w:vAlign w:val="bottom"/>
            <w:tcBorders>
              <w:bottom w:val="single" w:sz="8" w:color="DDDDDD"/>
            </w:tcBorders>
          </w:tcPr>
          <w:p>
            <w:pPr>
              <w:spacing w:after="0"/>
              <w:rPr>
                <w:sz w:val="23"/>
                <w:szCs w:val="23"/>
                <w:color w:val="auto"/>
              </w:rPr>
            </w:pPr>
          </w:p>
        </w:tc>
        <w:tc>
          <w:tcPr>
            <w:tcW w:w="3520" w:type="dxa"/>
            <w:vAlign w:val="bottom"/>
            <w:tcBorders>
              <w:bottom w:val="single" w:sz="8" w:color="DDDDDD"/>
            </w:tcBorders>
            <w:gridSpan w:val="3"/>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DDDDDD"/>
            </w:tcBorders>
          </w:tcPr>
          <w:p>
            <w:pPr>
              <w:spacing w:after="0"/>
              <w:rPr>
                <w:sz w:val="23"/>
                <w:szCs w:val="23"/>
                <w:color w:val="auto"/>
              </w:rPr>
            </w:pPr>
          </w:p>
        </w:tc>
        <w:tc>
          <w:tcPr>
            <w:tcW w:w="840" w:type="dxa"/>
            <w:vAlign w:val="bottom"/>
            <w:tcBorders>
              <w:bottom w:val="single" w:sz="8" w:color="DDDDDD"/>
            </w:tcBorders>
          </w:tcPr>
          <w:p>
            <w:pPr>
              <w:spacing w:after="0"/>
              <w:rPr>
                <w:sz w:val="23"/>
                <w:szCs w:val="23"/>
                <w:color w:val="auto"/>
              </w:rPr>
            </w:pPr>
          </w:p>
        </w:tc>
        <w:tc>
          <w:tcPr>
            <w:tcW w:w="340" w:type="dxa"/>
            <w:vAlign w:val="bottom"/>
            <w:tcBorders>
              <w:bottom w:val="single" w:sz="8" w:color="DDDDDD"/>
            </w:tcBorders>
          </w:tcPr>
          <w:p>
            <w:pPr>
              <w:spacing w:after="0"/>
              <w:rPr>
                <w:sz w:val="23"/>
                <w:szCs w:val="23"/>
                <w:color w:val="auto"/>
              </w:rPr>
            </w:pPr>
          </w:p>
        </w:tc>
        <w:tc>
          <w:tcPr>
            <w:tcW w:w="520" w:type="dxa"/>
            <w:vAlign w:val="bottom"/>
            <w:tcBorders>
              <w:bottom w:val="single" w:sz="8" w:color="DDDDDD"/>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right w:val="single" w:sz="8" w:color="DDDDDD"/>
            </w:tcBorders>
            <w:shd w:val="clear" w:color="auto" w:fill="DDDDDD"/>
          </w:tcPr>
          <w:p>
            <w:pPr>
              <w:spacing w:after="0"/>
              <w:rPr>
                <w:sz w:val="23"/>
                <w:szCs w:val="23"/>
                <w:color w:val="auto"/>
              </w:rPr>
            </w:pPr>
          </w:p>
        </w:tc>
        <w:tc>
          <w:tcPr>
            <w:tcW w:w="3520" w:type="dxa"/>
            <w:vAlign w:val="bottom"/>
            <w:tcBorders>
              <w:bottom w:val="single" w:sz="8" w:color="DDDDDD"/>
              <w:right w:val="single" w:sz="8" w:color="DDDDDD"/>
            </w:tcBorders>
            <w:gridSpan w:val="3"/>
            <w:shd w:val="clear" w:color="auto" w:fill="DDDDDD"/>
          </w:tcPr>
          <w:p>
            <w:pPr>
              <w:ind w:left="260"/>
              <w:spacing w:after="0"/>
              <w:rPr>
                <w:sz w:val="20"/>
                <w:szCs w:val="20"/>
                <w:color w:val="auto"/>
              </w:rPr>
            </w:pPr>
            <w:r>
              <w:rPr>
                <w:rFonts w:ascii="Times New Roman" w:cs="Times New Roman" w:eastAsia="Times New Roman" w:hAnsi="Times New Roman"/>
                <w:sz w:val="18"/>
                <w:szCs w:val="18"/>
                <w:color w:val="auto"/>
              </w:rPr>
              <w:t>Total current tax provision</w:t>
            </w:r>
          </w:p>
        </w:tc>
        <w:tc>
          <w:tcPr>
            <w:tcW w:w="240" w:type="dxa"/>
            <w:vAlign w:val="bottom"/>
            <w:tcBorders>
              <w:bottom w:val="single" w:sz="8" w:color="DDDDDD"/>
            </w:tcBorders>
            <w:shd w:val="clear" w:color="auto" w:fill="DDDDDD"/>
          </w:tcPr>
          <w:p>
            <w:pPr>
              <w:spacing w:after="0"/>
              <w:rPr>
                <w:sz w:val="23"/>
                <w:szCs w:val="23"/>
                <w:color w:val="auto"/>
              </w:rPr>
            </w:pPr>
          </w:p>
        </w:tc>
        <w:tc>
          <w:tcPr>
            <w:tcW w:w="840" w:type="dxa"/>
            <w:vAlign w:val="bottom"/>
            <w:tcBorders>
              <w:bottom w:val="single" w:sz="8" w:color="DDDDDD"/>
            </w:tcBorders>
            <w:shd w:val="clear" w:color="auto" w:fill="DDDDDD"/>
          </w:tcPr>
          <w:p>
            <w:pPr>
              <w:spacing w:after="0"/>
              <w:rPr>
                <w:sz w:val="23"/>
                <w:szCs w:val="23"/>
                <w:color w:val="auto"/>
              </w:rPr>
            </w:pPr>
          </w:p>
        </w:tc>
        <w:tc>
          <w:tcPr>
            <w:tcW w:w="340" w:type="dxa"/>
            <w:vAlign w:val="bottom"/>
            <w:tcBorders>
              <w:bottom w:val="single" w:sz="8" w:color="DDDDDD"/>
            </w:tcBorders>
            <w:shd w:val="clear" w:color="auto" w:fill="DDDDDD"/>
          </w:tcPr>
          <w:p>
            <w:pPr>
              <w:spacing w:after="0"/>
              <w:rPr>
                <w:sz w:val="23"/>
                <w:szCs w:val="23"/>
                <w:color w:val="auto"/>
              </w:rPr>
            </w:pPr>
          </w:p>
        </w:tc>
        <w:tc>
          <w:tcPr>
            <w:tcW w:w="520" w:type="dxa"/>
            <w:vAlign w:val="bottom"/>
            <w:tcBorders>
              <w:bottom w:val="single" w:sz="8" w:color="DDDDDD"/>
            </w:tcBorders>
            <w:shd w:val="clear" w:color="auto" w:fill="DDDDDD"/>
          </w:tcPr>
          <w:p>
            <w:pPr>
              <w:spacing w:after="0"/>
              <w:rPr>
                <w:sz w:val="23"/>
                <w:szCs w:val="23"/>
                <w:color w:val="auto"/>
              </w:rPr>
            </w:pP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spacing w:after="0"/>
              <w:rPr>
                <w:sz w:val="23"/>
                <w:szCs w:val="23"/>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spacing w:after="0"/>
              <w:rPr>
                <w:sz w:val="23"/>
                <w:szCs w:val="23"/>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spacing w:after="0"/>
              <w:rPr>
                <w:sz w:val="23"/>
                <w:szCs w:val="23"/>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left w:val="single" w:sz="8" w:color="DDDDDD"/>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tax provision</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DDDDDD"/>
          </w:tcPr>
          <w:p>
            <w:pPr>
              <w:spacing w:after="0"/>
              <w:rPr>
                <w:sz w:val="24"/>
                <w:szCs w:val="24"/>
                <w:color w:val="auto"/>
              </w:rPr>
            </w:pPr>
          </w:p>
        </w:tc>
        <w:tc>
          <w:tcPr>
            <w:tcW w:w="80" w:type="dxa"/>
            <w:vAlign w:val="bottom"/>
            <w:tcBorders>
              <w:right w:val="single" w:sz="8" w:color="DDDDDD"/>
            </w:tcBorders>
            <w:shd w:val="clear" w:color="auto" w:fill="DDDDDD"/>
          </w:tcPr>
          <w:p>
            <w:pPr>
              <w:spacing w:after="0"/>
              <w:rPr>
                <w:sz w:val="24"/>
                <w:szCs w:val="24"/>
                <w:color w:val="auto"/>
              </w:rPr>
            </w:pPr>
          </w:p>
        </w:tc>
        <w:tc>
          <w:tcPr>
            <w:tcW w:w="3520" w:type="dxa"/>
            <w:vAlign w:val="bottom"/>
            <w:tcBorders>
              <w:right w:val="single" w:sz="8" w:color="DDDDDD"/>
            </w:tcBorders>
            <w:gridSpan w:val="3"/>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DDDDDD"/>
          </w:tcPr>
          <w:p>
            <w:pPr>
              <w:spacing w:after="0"/>
              <w:rPr>
                <w:sz w:val="24"/>
                <w:szCs w:val="24"/>
                <w:color w:val="auto"/>
              </w:rPr>
            </w:pPr>
          </w:p>
        </w:tc>
        <w:tc>
          <w:tcPr>
            <w:tcW w:w="84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5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4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right w:val="single" w:sz="8" w:color="DDDDDD"/>
            </w:tcBorders>
            <w:shd w:val="clear" w:color="auto" w:fill="DDDDDD"/>
          </w:tcPr>
          <w:p>
            <w:pPr>
              <w:spacing w:after="0"/>
              <w:rPr>
                <w:sz w:val="24"/>
                <w:szCs w:val="24"/>
                <w:color w:val="auto"/>
              </w:rPr>
            </w:pPr>
          </w:p>
        </w:tc>
        <w:tc>
          <w:tcPr>
            <w:tcW w:w="3520" w:type="dxa"/>
            <w:vAlign w:val="bottom"/>
            <w:tcBorders>
              <w:bottom w:val="single" w:sz="8" w:color="DDDDDD"/>
              <w:right w:val="single" w:sz="8" w:color="DDDDDD"/>
            </w:tcBorders>
            <w:gridSpan w:val="3"/>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5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left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Borders>
              <w:bottom w:val="single" w:sz="8" w:color="DDDDDD"/>
            </w:tcBorders>
          </w:tcPr>
          <w:p>
            <w:pPr>
              <w:spacing w:after="0"/>
              <w:rPr>
                <w:sz w:val="20"/>
                <w:szCs w:val="20"/>
                <w:color w:val="auto"/>
              </w:rPr>
            </w:pPr>
          </w:p>
        </w:tc>
        <w:tc>
          <w:tcPr>
            <w:tcW w:w="80" w:type="dxa"/>
            <w:vAlign w:val="bottom"/>
            <w:tcBorders>
              <w:bottom w:val="single" w:sz="8" w:color="DDDDDD"/>
            </w:tcBorders>
          </w:tcPr>
          <w:p>
            <w:pPr>
              <w:spacing w:after="0"/>
              <w:rPr>
                <w:sz w:val="20"/>
                <w:szCs w:val="20"/>
                <w:color w:val="auto"/>
              </w:rPr>
            </w:pPr>
          </w:p>
        </w:tc>
        <w:tc>
          <w:tcPr>
            <w:tcW w:w="3520" w:type="dxa"/>
            <w:vAlign w:val="bottom"/>
            <w:tcBorders>
              <w:bottom w:val="single" w:sz="8" w:color="DDDDDD"/>
            </w:tcBorders>
            <w:gridSpan w:val="3"/>
          </w:tcPr>
          <w:p>
            <w:pPr>
              <w:ind w:left="26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240" w:type="dxa"/>
            <w:vAlign w:val="bottom"/>
            <w:tcBorders>
              <w:bottom w:val="single" w:sz="8" w:color="DDDDDD"/>
            </w:tcBorders>
          </w:tcPr>
          <w:p>
            <w:pPr>
              <w:spacing w:after="0"/>
              <w:rPr>
                <w:sz w:val="20"/>
                <w:szCs w:val="20"/>
                <w:color w:val="auto"/>
              </w:rPr>
            </w:pPr>
          </w:p>
        </w:tc>
        <w:tc>
          <w:tcPr>
            <w:tcW w:w="840" w:type="dxa"/>
            <w:vAlign w:val="bottom"/>
            <w:tcBorders>
              <w:bottom w:val="single" w:sz="8" w:color="DDDDDD"/>
            </w:tcBorders>
          </w:tcPr>
          <w:p>
            <w:pPr>
              <w:spacing w:after="0"/>
              <w:rPr>
                <w:sz w:val="20"/>
                <w:szCs w:val="20"/>
                <w:color w:val="auto"/>
              </w:rPr>
            </w:pPr>
          </w:p>
        </w:tc>
        <w:tc>
          <w:tcPr>
            <w:tcW w:w="340" w:type="dxa"/>
            <w:vAlign w:val="bottom"/>
            <w:tcBorders>
              <w:bottom w:val="single" w:sz="8" w:color="DDDDDD"/>
            </w:tcBorders>
          </w:tcPr>
          <w:p>
            <w:pPr>
              <w:spacing w:after="0"/>
              <w:rPr>
                <w:sz w:val="20"/>
                <w:szCs w:val="20"/>
                <w:color w:val="auto"/>
              </w:rPr>
            </w:pPr>
          </w:p>
        </w:tc>
        <w:tc>
          <w:tcPr>
            <w:tcW w:w="520" w:type="dxa"/>
            <w:vAlign w:val="bottom"/>
            <w:tcBorders>
              <w:bottom w:val="single" w:sz="8" w:color="DDDDDD"/>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80" w:type="dxa"/>
            <w:vAlign w:val="bottom"/>
            <w:tcBorders>
              <w:right w:val="single" w:sz="8" w:color="DDDDDD"/>
            </w:tcBorders>
            <w:shd w:val="clear" w:color="auto" w:fill="DDDDDD"/>
          </w:tcPr>
          <w:p>
            <w:pPr>
              <w:spacing w:after="0"/>
              <w:rPr>
                <w:sz w:val="22"/>
                <w:szCs w:val="22"/>
                <w:color w:val="auto"/>
              </w:rPr>
            </w:pPr>
          </w:p>
        </w:tc>
        <w:tc>
          <w:tcPr>
            <w:tcW w:w="3520" w:type="dxa"/>
            <w:vAlign w:val="bottom"/>
            <w:tcBorders>
              <w:right w:val="single" w:sz="8" w:color="DDDDDD"/>
            </w:tcBorders>
            <w:gridSpan w:val="3"/>
            <w:shd w:val="clear" w:color="auto" w:fill="DDDDDD"/>
          </w:tcPr>
          <w:p>
            <w:pPr>
              <w:ind w:left="38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c>
          <w:tcPr>
            <w:tcW w:w="340" w:type="dxa"/>
            <w:vAlign w:val="bottom"/>
            <w:shd w:val="clear" w:color="auto" w:fill="DDDDDD"/>
          </w:tcPr>
          <w:p>
            <w:pPr>
              <w:spacing w:after="0"/>
              <w:rPr>
                <w:sz w:val="22"/>
                <w:szCs w:val="22"/>
                <w:color w:val="auto"/>
              </w:rPr>
            </w:pPr>
          </w:p>
        </w:tc>
        <w:tc>
          <w:tcPr>
            <w:tcW w:w="580" w:type="dxa"/>
            <w:vAlign w:val="bottom"/>
            <w:gridSpan w:val="3"/>
            <w:shd w:val="clear" w:color="auto" w:fill="DDDDDD"/>
          </w:tcPr>
          <w:p>
            <w:pPr>
              <w:spacing w:after="0"/>
              <w:rPr>
                <w:sz w:val="22"/>
                <w:szCs w:val="22"/>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DDDDD"/>
          </w:tcPr>
          <w:p>
            <w:pPr>
              <w:spacing w:after="0"/>
              <w:rPr>
                <w:sz w:val="22"/>
                <w:szCs w:val="22"/>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DDDDD"/>
          </w:tcPr>
          <w:p>
            <w:pPr>
              <w:spacing w:after="0"/>
              <w:rPr>
                <w:sz w:val="22"/>
                <w:szCs w:val="22"/>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Borders>
              <w:left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-1069340</wp:posOffset>
                </wp:positionV>
                <wp:extent cx="357632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7632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84.1999pt" to="281.5pt,-84.19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-374650</wp:posOffset>
                </wp:positionV>
                <wp:extent cx="357632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7632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9.4999pt" to="281.5pt,-29.4999pt" o:allowincell="f" strokecolor="#FFFFFF" strokeweight="0.87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880" w:h="15480" w:orient="portrait"/>
          <w:cols w:equalWidth="0" w:num="1">
            <w:col w:w="9400"/>
          </w:cols>
          <w:pgMar w:left="1220" w:top="1255" w:right="1260" w:bottom="254" w:gutter="0" w:footer="0" w:header="0"/>
        </w:sectPr>
      </w:pPr>
    </w:p>
    <w:bookmarkStart w:id="88" w:name="page89"/>
    <w:bookmarkEnd w:id="88"/>
    <w:p>
      <w:pPr>
        <w:ind w:left="40"/>
        <w:spacing w:after="0"/>
        <w:rPr>
          <w:sz w:val="20"/>
          <w:szCs w:val="20"/>
          <w:color w:val="auto"/>
        </w:rPr>
      </w:pPr>
      <w:r>
        <w:rPr>
          <w:rFonts w:ascii="Times New Roman" w:cs="Times New Roman" w:eastAsia="Times New Roman" w:hAnsi="Times New Roman"/>
          <w:sz w:val="18"/>
          <w:szCs w:val="18"/>
          <w:b w:val="1"/>
          <w:bCs w:val="1"/>
          <w:color w:val="auto"/>
        </w:rPr>
        <w:t>Effective Tax Rate Reconciliation</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Reconciliation between the U.S. federal statutory income tax rate to the actual effective tax rate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3"/>
                <w:szCs w:val="23"/>
                <w:color w:val="auto"/>
              </w:rPr>
            </w:pPr>
          </w:p>
        </w:tc>
        <w:tc>
          <w:tcPr>
            <w:tcW w:w="122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3"/>
                <w:szCs w:val="23"/>
                <w:color w:val="auto"/>
              </w:rPr>
            </w:pPr>
          </w:p>
        </w:tc>
        <w:tc>
          <w:tcPr>
            <w:tcW w:w="1240" w:type="dxa"/>
            <w:vAlign w:val="bottom"/>
            <w:gridSpan w:val="4"/>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580" w:type="dxa"/>
            <w:vAlign w:val="bottom"/>
            <w:tcBorders>
              <w:top w:val="single" w:sz="8" w:color="DDDDDD"/>
            </w:tcBorders>
            <w:gridSpan w:val="4"/>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Statutory tax rate</w:t>
            </w:r>
          </w:p>
        </w:tc>
        <w:tc>
          <w:tcPr>
            <w:tcW w:w="11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Borders>
              <w:top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auto"/>
            </w:tcBorders>
            <w:shd w:val="clear" w:color="auto" w:fill="DDDDDD"/>
          </w:tcPr>
          <w:p>
            <w:pPr>
              <w:spacing w:after="0"/>
              <w:rPr>
                <w:sz w:val="19"/>
                <w:szCs w:val="19"/>
                <w:color w:val="auto"/>
              </w:rPr>
            </w:pPr>
          </w:p>
        </w:tc>
        <w:tc>
          <w:tcPr>
            <w:tcW w:w="1180" w:type="dxa"/>
            <w:vAlign w:val="bottom"/>
            <w:tcBorders>
              <w:top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auto"/>
            </w:tcBorders>
            <w:shd w:val="clear" w:color="auto" w:fill="DDDDDD"/>
          </w:tcPr>
          <w:p>
            <w:pPr>
              <w:spacing w:after="0"/>
              <w:rPr>
                <w:sz w:val="19"/>
                <w:szCs w:val="19"/>
                <w:color w:val="auto"/>
              </w:rPr>
            </w:pPr>
          </w:p>
        </w:tc>
        <w:tc>
          <w:tcPr>
            <w:tcW w:w="1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 w:type="dxa"/>
            <w:vAlign w:val="bottom"/>
            <w:tcBorders>
              <w:top w:val="single" w:sz="8" w:color="DDDDDD"/>
              <w:bottom w:val="single" w:sz="8" w:color="DDDDDD"/>
            </w:tcBorders>
          </w:tcPr>
          <w:p>
            <w:pPr>
              <w:spacing w:after="0"/>
              <w:rPr>
                <w:sz w:val="24"/>
                <w:szCs w:val="24"/>
                <w:color w:val="auto"/>
              </w:rPr>
            </w:pPr>
          </w:p>
        </w:tc>
        <w:tc>
          <w:tcPr>
            <w:tcW w:w="5480" w:type="dxa"/>
            <w:vAlign w:val="bottom"/>
            <w:tcBorders>
              <w:bottom w:val="single" w:sz="8" w:color="DDDDDD"/>
            </w:tcBorders>
          </w:tcPr>
          <w:p>
            <w:pPr>
              <w:ind w:left="120"/>
              <w:spacing w:after="0"/>
              <w:rPr>
                <w:sz w:val="20"/>
                <w:szCs w:val="20"/>
                <w:color w:val="auto"/>
              </w:rPr>
            </w:pPr>
            <w:r>
              <w:rPr>
                <w:rFonts w:ascii="Times New Roman" w:cs="Times New Roman" w:eastAsia="Times New Roman" w:hAnsi="Times New Roman"/>
                <w:sz w:val="18"/>
                <w:szCs w:val="18"/>
                <w:color w:val="auto"/>
              </w:rPr>
              <w:t>Tax effect of non-deductible goodwill impairment</w:t>
            </w:r>
          </w:p>
        </w:tc>
        <w:tc>
          <w:tcPr>
            <w:tcW w:w="4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ind w:right="48"/>
              <w:spacing w:after="0"/>
              <w:rPr>
                <w:sz w:val="20"/>
                <w:szCs w:val="20"/>
                <w:color w:val="auto"/>
              </w:rPr>
            </w:pPr>
            <w:r>
              <w:rPr>
                <w:rFonts w:ascii="Times New Roman" w:cs="Times New Roman" w:eastAsia="Times New Roman" w:hAnsi="Times New Roman"/>
                <w:sz w:val="18"/>
                <w:szCs w:val="18"/>
                <w:color w:val="auto"/>
              </w:rPr>
              <w:t>(29.1)</w:t>
            </w:r>
          </w:p>
        </w:tc>
        <w:tc>
          <w:tcPr>
            <w:tcW w:w="20" w:type="dxa"/>
            <w:vAlign w:val="bottom"/>
            <w:tcBorders>
              <w:top w:val="single" w:sz="8" w:color="DDDDDD"/>
              <w:bottom w:val="single" w:sz="8" w:color="DDDDDD"/>
            </w:tcBorders>
          </w:tcPr>
          <w:p>
            <w:pPr>
              <w:spacing w:after="0"/>
              <w:rPr>
                <w:sz w:val="24"/>
                <w:szCs w:val="24"/>
                <w:color w:val="auto"/>
              </w:rPr>
            </w:pPr>
          </w:p>
        </w:tc>
        <w:tc>
          <w:tcPr>
            <w:tcW w:w="4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1160" w:type="dxa"/>
            <w:vAlign w:val="bottom"/>
            <w:tcBorders>
              <w:bottom w:val="single" w:sz="8" w:color="DDDDDD"/>
            </w:tcBorders>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20" w:type="dxa"/>
            <w:vAlign w:val="bottom"/>
            <w:tcBorders>
              <w:top w:val="single" w:sz="8" w:color="DDDDDD"/>
              <w:bottom w:val="single" w:sz="8" w:color="DDDDDD"/>
            </w:tcBorders>
          </w:tcPr>
          <w:p>
            <w:pPr>
              <w:spacing w:after="0"/>
              <w:rPr>
                <w:sz w:val="24"/>
                <w:szCs w:val="24"/>
                <w:color w:val="auto"/>
              </w:rPr>
            </w:pPr>
          </w:p>
        </w:tc>
        <w:tc>
          <w:tcPr>
            <w:tcW w:w="1180" w:type="dxa"/>
            <w:vAlign w:val="bottom"/>
            <w:tcBorders>
              <w:bottom w:val="single" w:sz="8" w:color="DDDDDD"/>
            </w:tcBorders>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54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Difference in effective tax rate on foreign earnings and remittances</w:t>
            </w:r>
            <w:r>
              <w:rPr>
                <w:rFonts w:ascii="Times New Roman" w:cs="Times New Roman" w:eastAsia="Times New Roman" w:hAnsi="Times New Roman"/>
                <w:sz w:val="11"/>
                <w:szCs w:val="11"/>
                <w:color w:val="auto"/>
              </w:rPr>
              <w:t>(1)</w:t>
            </w:r>
          </w:p>
        </w:tc>
        <w:tc>
          <w:tcPr>
            <w:tcW w:w="1180" w:type="dxa"/>
            <w:vAlign w:val="bottom"/>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16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5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Tax benefit from supply chain optimization</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Borders>
              <w:bottom w:val="single" w:sz="8" w:color="DDDDDD"/>
            </w:tcBorders>
          </w:tcPr>
          <w:p>
            <w:pPr>
              <w:spacing w:after="0"/>
              <w:rPr>
                <w:sz w:val="22"/>
                <w:szCs w:val="22"/>
                <w:color w:val="auto"/>
              </w:rPr>
            </w:pPr>
          </w:p>
        </w:tc>
        <w:tc>
          <w:tcPr>
            <w:tcW w:w="5540" w:type="dxa"/>
            <w:vAlign w:val="bottom"/>
            <w:tcBorders>
              <w:bottom w:val="single" w:sz="8" w:color="DDDDDD"/>
            </w:tcBorders>
            <w:gridSpan w:val="3"/>
            <w:vMerge w:val="continue"/>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18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48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Unrecognized tax benefit, net of reversals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16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16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5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Tax impact on gains on business disposal</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DDDDDD"/>
            </w:tcBorders>
          </w:tcPr>
          <w:p>
            <w:pPr>
              <w:spacing w:after="0"/>
              <w:rPr>
                <w:sz w:val="22"/>
                <w:szCs w:val="22"/>
                <w:color w:val="auto"/>
              </w:rPr>
            </w:pPr>
          </w:p>
        </w:tc>
        <w:tc>
          <w:tcPr>
            <w:tcW w:w="5480" w:type="dxa"/>
            <w:vAlign w:val="bottom"/>
            <w:tcBorders>
              <w:bottom w:val="single" w:sz="8" w:color="DDDDDD"/>
            </w:tcBorders>
            <w:vMerge w:val="continue"/>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18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54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Deferred taxes on deemed repatriation</w:t>
            </w:r>
            <w:r>
              <w:rPr>
                <w:rFonts w:ascii="Times New Roman" w:cs="Times New Roman" w:eastAsia="Times New Roman" w:hAnsi="Times New Roman"/>
                <w:sz w:val="11"/>
                <w:szCs w:val="11"/>
                <w:color w:val="auto"/>
              </w:rPr>
              <w:t>(2)</w:t>
            </w:r>
          </w:p>
        </w:tc>
        <w:tc>
          <w:tcPr>
            <w:tcW w:w="116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16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1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4"/>
                <w:szCs w:val="24"/>
                <w:color w:val="auto"/>
              </w:rPr>
            </w:pPr>
          </w:p>
        </w:tc>
        <w:tc>
          <w:tcPr>
            <w:tcW w:w="1220" w:type="dxa"/>
            <w:vAlign w:val="bottom"/>
            <w:gridSpan w:val="3"/>
          </w:tcPr>
          <w:p>
            <w:pPr>
              <w:jc w:val="right"/>
              <w:ind w:right="128"/>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4"/>
                <w:szCs w:val="24"/>
                <w:color w:val="auto"/>
              </w:rPr>
            </w:pPr>
          </w:p>
        </w:tc>
        <w:tc>
          <w:tcPr>
            <w:tcW w:w="124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5480" w:type="dxa"/>
            <w:vAlign w:val="bottom"/>
            <w:tcBorders>
              <w:top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60" w:type="dxa"/>
            <w:vAlign w:val="bottom"/>
            <w:tcBorders>
              <w:top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60" w:type="dxa"/>
            <w:vAlign w:val="bottom"/>
            <w:tcBorders>
              <w:top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80" w:type="dxa"/>
            <w:vAlign w:val="bottom"/>
            <w:tcBorders>
              <w:top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top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U.S. foreign tax credit - general limitation</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4"/>
                <w:szCs w:val="24"/>
                <w:color w:val="auto"/>
              </w:rPr>
            </w:pPr>
          </w:p>
        </w:tc>
        <w:tc>
          <w:tcPr>
            <w:tcW w:w="122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4"/>
                <w:szCs w:val="24"/>
                <w:color w:val="auto"/>
              </w:rPr>
            </w:pPr>
          </w:p>
        </w:tc>
        <w:tc>
          <w:tcPr>
            <w:tcW w:w="1240" w:type="dxa"/>
            <w:vAlign w:val="bottom"/>
            <w:gridSpan w:val="4"/>
          </w:tcPr>
          <w:p>
            <w:pPr>
              <w:jc w:val="right"/>
              <w:ind w:right="68"/>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5480" w:type="dxa"/>
            <w:vAlign w:val="bottom"/>
            <w:tcBorders>
              <w:top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60" w:type="dxa"/>
            <w:vAlign w:val="bottom"/>
            <w:tcBorders>
              <w:top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60" w:type="dxa"/>
            <w:vAlign w:val="bottom"/>
            <w:tcBorders>
              <w:top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80" w:type="dxa"/>
            <w:vAlign w:val="bottom"/>
            <w:tcBorders>
              <w:top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5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Acquisition costs</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5480" w:type="dxa"/>
            <w:vAlign w:val="bottom"/>
            <w:tcBorders>
              <w:top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Establishment (release) of valuation allowance on state deferred</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60" w:type="dxa"/>
            <w:vAlign w:val="bottom"/>
            <w:tcBorders>
              <w:top w:val="single" w:sz="8" w:color="DDDDDD"/>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60" w:type="dxa"/>
            <w:vAlign w:val="bottom"/>
            <w:tcBorders>
              <w:top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1180" w:type="dxa"/>
            <w:vAlign w:val="bottom"/>
            <w:tcBorders>
              <w:top w:val="single" w:sz="8" w:color="DDDDDD"/>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5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State and local taxes including rate changes</w:t>
            </w:r>
            <w:r>
              <w:rPr>
                <w:rFonts w:ascii="Times New Roman" w:cs="Times New Roman" w:eastAsia="Times New Roman" w:hAnsi="Times New Roman"/>
                <w:sz w:val="11"/>
                <w:szCs w:val="11"/>
                <w:color w:val="auto"/>
              </w:rPr>
              <w:t>(3)</w:t>
            </w:r>
          </w:p>
        </w:tc>
        <w:tc>
          <w:tcPr>
            <w:tcW w:w="1160" w:type="dxa"/>
            <w:vAlign w:val="bottom"/>
            <w:vMerge w:val="restart"/>
          </w:tcPr>
          <w:p>
            <w:pPr>
              <w:jc w:val="right"/>
              <w:ind w:right="108"/>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 w:type="dxa"/>
            <w:vAlign w:val="bottom"/>
            <w:tcBorders>
              <w:bottom w:val="single" w:sz="8" w:color="DDDDDD"/>
            </w:tcBorders>
          </w:tcPr>
          <w:p>
            <w:pPr>
              <w:spacing w:after="0"/>
              <w:rPr>
                <w:sz w:val="22"/>
                <w:szCs w:val="22"/>
                <w:color w:val="auto"/>
              </w:rPr>
            </w:pPr>
          </w:p>
        </w:tc>
        <w:tc>
          <w:tcPr>
            <w:tcW w:w="5540" w:type="dxa"/>
            <w:vAlign w:val="bottom"/>
            <w:tcBorders>
              <w:bottom w:val="single" w:sz="8" w:color="DDDDDD"/>
            </w:tcBorders>
            <w:gridSpan w:val="3"/>
            <w:vMerge w:val="continue"/>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16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180" w:type="dxa"/>
            <w:vAlign w:val="bottom"/>
            <w:tcBorders>
              <w:bottom w:val="single" w:sz="8" w:color="DDDDDD"/>
            </w:tcBorders>
            <w:vMerge w:val="continue"/>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54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116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Borders>
              <w:bottom w:val="single" w:sz="8" w:color="auto"/>
            </w:tcBorders>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c>
          <w:tcPr>
            <w:tcW w:w="1160" w:type="dxa"/>
            <w:vAlign w:val="bottom"/>
            <w:tcBorders>
              <w:bottom w:val="single" w:sz="8" w:color="auto"/>
            </w:tcBorders>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auto"/>
            </w:tcBorders>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tcBorders>
              <w:bottom w:val="single" w:sz="8" w:color="auto"/>
            </w:tcBorders>
            <w:shd w:val="clear" w:color="auto" w:fill="DDDDDD"/>
          </w:tcPr>
          <w:p>
            <w:pPr>
              <w:spacing w:after="0"/>
              <w:rPr>
                <w:sz w:val="19"/>
                <w:szCs w:val="19"/>
                <w:color w:val="auto"/>
              </w:rPr>
            </w:pPr>
          </w:p>
        </w:tc>
        <w:tc>
          <w:tcPr>
            <w:tcW w:w="1180" w:type="dxa"/>
            <w:vAlign w:val="bottom"/>
            <w:tcBorders>
              <w:bottom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5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21.2 %</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5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4296410</wp:posOffset>
                </wp:positionH>
                <wp:positionV relativeFrom="paragraph">
                  <wp:posOffset>-2767330</wp:posOffset>
                </wp:positionV>
                <wp:extent cx="0" cy="17272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8.3pt,-217.8999pt" to="338.3pt,-204.2999pt" o:allowincell="f" strokecolor="#FFFFFF" strokeweight="1.0939pt"/>
            </w:pict>
          </mc:Fallback>
        </mc:AlternateContent>
        <mc:AlternateContent>
          <mc:Choice Requires="wps">
            <w:drawing>
              <wp:anchor simplePos="0" relativeHeight="251657728" behindDoc="1" locked="0" layoutInCell="0" allowOverlap="1">
                <wp:simplePos x="0" y="0"/>
                <wp:positionH relativeFrom="column">
                  <wp:posOffset>5076825</wp:posOffset>
                </wp:positionH>
                <wp:positionV relativeFrom="paragraph">
                  <wp:posOffset>-2767330</wp:posOffset>
                </wp:positionV>
                <wp:extent cx="0" cy="17272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9.75pt,-217.8999pt" to="399.75pt,-204.2999pt" o:allowincell="f" strokecolor="#FFFFFF" strokeweight="1.0939pt"/>
            </w:pict>
          </mc:Fallback>
        </mc:AlternateContent>
      </w:r>
    </w:p>
    <w:p>
      <w:pPr>
        <w:spacing w:after="0" w:line="9" w:lineRule="exact"/>
        <w:rPr>
          <w:sz w:val="20"/>
          <w:szCs w:val="20"/>
          <w:color w:val="auto"/>
        </w:rPr>
      </w:pPr>
    </w:p>
    <w:p>
      <w:pPr>
        <w:ind w:left="380" w:hanging="334"/>
        <w:spacing w:after="0"/>
        <w:tabs>
          <w:tab w:leader="none" w:pos="3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2021, the rate includes rate change impacts related to the Netherlands and United Kingdom.</w:t>
      </w:r>
    </w:p>
    <w:p>
      <w:pPr>
        <w:spacing w:after="0" w:line="53" w:lineRule="exact"/>
        <w:rPr>
          <w:rFonts w:ascii="Times New Roman" w:cs="Times New Roman" w:eastAsia="Times New Roman" w:hAnsi="Times New Roman"/>
          <w:sz w:val="17"/>
          <w:szCs w:val="17"/>
          <w:color w:val="auto"/>
        </w:rPr>
      </w:pPr>
    </w:p>
    <w:p>
      <w:pPr>
        <w:ind w:left="380" w:hanging="334"/>
        <w:spacing w:after="0"/>
        <w:tabs>
          <w:tab w:leader="none" w:pos="3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2022, the rate includes establishment of the “held for sale” deferred tax liabilities due to a change in assertion.</w:t>
      </w:r>
    </w:p>
    <w:p>
      <w:pPr>
        <w:spacing w:after="0" w:line="58" w:lineRule="exact"/>
        <w:rPr>
          <w:rFonts w:ascii="Times New Roman" w:cs="Times New Roman" w:eastAsia="Times New Roman" w:hAnsi="Times New Roman"/>
          <w:sz w:val="17"/>
          <w:szCs w:val="17"/>
          <w:color w:val="auto"/>
        </w:rPr>
      </w:pPr>
    </w:p>
    <w:p>
      <w:pPr>
        <w:ind w:left="380" w:hanging="334"/>
        <w:spacing w:after="0"/>
        <w:tabs>
          <w:tab w:leader="none" w:pos="3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2022, the rate includes rate change impacts related to the remeasurement of the state tax rate on deferred taxes.</w:t>
      </w:r>
    </w:p>
    <w:p>
      <w:pPr>
        <w:spacing w:after="0" w:line="106"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 effective tax rate reflects the recording of non-tax-deductible impairment charges related to goodwill in the Health &amp; Biosciences operating segment and the tax effects of the divestiture of the Microbial Control business unit.</w:t>
      </w:r>
    </w:p>
    <w:p>
      <w:pPr>
        <w:spacing w:after="0" w:line="30"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On December 22, 2017, the U.S. government enacted comprehensive tax legislation commonly referred to as the Tax Cuts and Jobs Act (the “Tax Act”) that significantly revised the U.S. tax code effective January 1, 2018. The Tax Act created significant international tax provisions, including global intangible low-taxed income (“GILTI”). The Company has elected to treat GILTI as a current period cost if and when incurred. This tax position resulted in approximately a net $112 million income tax expense for the year ended December 31, 2022, offset in part by approximately $99 million in foreign tax credits.</w:t>
      </w:r>
    </w:p>
    <w:p>
      <w:pPr>
        <w:spacing w:after="0" w:line="61"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U.S. consolidated group has historically generated taxable income after the inclusion of foreign dividends which has allowed the Company to realize its federal deferred tax assets. Foreign dividends are now subject to a 100% dividends received deduction under the Tax Act and do not serve as a source of federal taxable income. However, as of December 31, 2022, the U.S. consolidated group is in a cumulative income position. It is expected to continue to be in a cumulative income position primarily due to the inclusion of GILTI and expects to realize tax benefits from the reversal of its temporary differences, including capitalized research and experimental expenditures.</w:t>
      </w:r>
    </w:p>
    <w:p>
      <w:pPr>
        <w:spacing w:after="0" w:line="66"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Further, as of December 31, 2022, the Company has maintained a valuation allowance of approximately $1 million on certain state tax attributes based on a state taxable income forecast. The main inputs into the forecast are the 2022 taxable income projections. Changes in the performance of the North American business, the Company’s transfer pricing policies and adjustments to the Company’s U.S. tax profile could impact the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880" w:h="15480" w:orient="portrait"/>
          <w:cols w:equalWidth="0" w:num="1">
            <w:col w:w="9400"/>
          </w:cols>
          <w:pgMar w:left="1220" w:top="1252" w:right="1260" w:bottom="254" w:gutter="0" w:footer="0" w:header="0"/>
        </w:sectPr>
      </w:pPr>
    </w:p>
    <w:bookmarkStart w:id="89" w:name="page90"/>
    <w:bookmarkEnd w:id="89"/>
    <w:p>
      <w:pPr>
        <w:ind w:left="40"/>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deferred tax assets and liabilities consisted of the following amounts:</w:t>
      </w:r>
    </w:p>
    <w:p>
      <w:pPr>
        <w:spacing w:after="0" w:line="13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520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40" w:type="dxa"/>
            <w:vAlign w:val="bottom"/>
            <w:shd w:val="clear" w:color="auto" w:fill="DDDDDD"/>
          </w:tcPr>
          <w:p>
            <w:pPr>
              <w:spacing w:after="0"/>
              <w:rPr>
                <w:sz w:val="20"/>
                <w:szCs w:val="20"/>
                <w:color w:val="auto"/>
              </w:rPr>
            </w:pPr>
          </w:p>
        </w:tc>
        <w:tc>
          <w:tcPr>
            <w:tcW w:w="68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Employee and retiree benefits</w:t>
            </w: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Credit and net operating loss carryforwards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6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Amortizable research and development expenses</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limitation</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shd w:val="clear" w:color="auto" w:fill="DDDDDD"/>
          </w:tcPr>
          <w:p>
            <w:pPr>
              <w:spacing w:after="0"/>
              <w:rPr>
                <w:sz w:val="22"/>
                <w:szCs w:val="22"/>
                <w:color w:val="auto"/>
              </w:rPr>
            </w:pPr>
          </w:p>
        </w:tc>
        <w:tc>
          <w:tcPr>
            <w:tcW w:w="6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Inventory</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0" w:type="dxa"/>
            <w:vAlign w:val="bottom"/>
            <w:tcBorders>
              <w:bottom w:val="single" w:sz="8" w:color="DDDDDD"/>
            </w:tcBorders>
            <w:shd w:val="clear" w:color="auto" w:fill="DDDDDD"/>
          </w:tcPr>
          <w:p>
            <w:pPr>
              <w:spacing w:after="0"/>
              <w:rPr>
                <w:sz w:val="24"/>
                <w:szCs w:val="24"/>
                <w:color w:val="auto"/>
              </w:rPr>
            </w:pPr>
          </w:p>
        </w:tc>
        <w:tc>
          <w:tcPr>
            <w:tcW w:w="68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8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1600" w:type="dxa"/>
            <w:vAlign w:val="bottom"/>
            <w:shd w:val="clear" w:color="auto" w:fill="DDDDDD"/>
          </w:tcPr>
          <w:p>
            <w:pPr>
              <w:spacing w:after="0"/>
              <w:rPr>
                <w:sz w:val="22"/>
                <w:szCs w:val="22"/>
                <w:color w:val="auto"/>
              </w:rPr>
            </w:pPr>
          </w:p>
        </w:tc>
        <w:tc>
          <w:tcPr>
            <w:tcW w:w="520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6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Intangible assets</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58"/>
        </w:trPr>
        <w:tc>
          <w:tcPr>
            <w:tcW w:w="40" w:type="dxa"/>
            <w:vAlign w:val="bottom"/>
            <w:shd w:val="clear" w:color="auto" w:fill="DDDDDD"/>
          </w:tcPr>
          <w:p>
            <w:pPr>
              <w:spacing w:after="0"/>
              <w:rPr>
                <w:sz w:val="22"/>
                <w:szCs w:val="22"/>
                <w:color w:val="auto"/>
              </w:rPr>
            </w:pPr>
          </w:p>
        </w:tc>
        <w:tc>
          <w:tcPr>
            <w:tcW w:w="68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 on foreign currency translation</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DDDDDD"/>
            </w:tcBorders>
          </w:tcPr>
          <w:p>
            <w:pPr>
              <w:spacing w:after="0"/>
              <w:rPr>
                <w:sz w:val="22"/>
                <w:szCs w:val="22"/>
                <w:color w:val="auto"/>
              </w:rPr>
            </w:pPr>
          </w:p>
        </w:tc>
        <w:tc>
          <w:tcPr>
            <w:tcW w:w="686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Deferred taxes on deemed repatriation</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6860" w:type="dxa"/>
            <w:vAlign w:val="bottom"/>
            <w:gridSpan w:val="4"/>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80" w:type="dxa"/>
            <w:vAlign w:val="bottom"/>
            <w:shd w:val="clear" w:color="auto" w:fill="DDDDDD"/>
          </w:tcPr>
          <w:p>
            <w:pPr>
              <w:spacing w:after="0"/>
              <w:rPr>
                <w:sz w:val="20"/>
                <w:szCs w:val="20"/>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9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60"/>
        </w:trPr>
        <w:tc>
          <w:tcPr>
            <w:tcW w:w="40" w:type="dxa"/>
            <w:vAlign w:val="bottom"/>
            <w:tcBorders>
              <w:bottom w:val="single" w:sz="8" w:color="DDDDDD"/>
            </w:tcBorders>
          </w:tcPr>
          <w:p>
            <w:pPr>
              <w:spacing w:after="0"/>
              <w:rPr>
                <w:sz w:val="22"/>
                <w:szCs w:val="22"/>
                <w:color w:val="auto"/>
              </w:rPr>
            </w:pPr>
          </w:p>
        </w:tc>
        <w:tc>
          <w:tcPr>
            <w:tcW w:w="6860" w:type="dxa"/>
            <w:vAlign w:val="bottom"/>
            <w:tcBorders>
              <w:bottom w:val="single" w:sz="8" w:color="DDDDDD"/>
            </w:tcBorders>
            <w:gridSpan w:val="4"/>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1"/>
        </w:trPr>
        <w:tc>
          <w:tcPr>
            <w:tcW w:w="40" w:type="dxa"/>
            <w:vAlign w:val="bottom"/>
            <w:shd w:val="clear" w:color="auto" w:fill="DDDDDD"/>
          </w:tcPr>
          <w:p>
            <w:pPr>
              <w:spacing w:after="0"/>
              <w:rPr>
                <w:sz w:val="20"/>
                <w:szCs w:val="20"/>
                <w:color w:val="auto"/>
              </w:rPr>
            </w:pPr>
          </w:p>
        </w:tc>
        <w:tc>
          <w:tcPr>
            <w:tcW w:w="6800" w:type="dxa"/>
            <w:vAlign w:val="bottom"/>
            <w:gridSpan w:val="2"/>
            <w:shd w:val="clear" w:color="auto" w:fill="DDDDDD"/>
          </w:tcPr>
          <w:p>
            <w:pPr>
              <w:ind w:left="460"/>
              <w:spacing w:after="0"/>
              <w:rPr>
                <w:sz w:val="20"/>
                <w:szCs w:val="20"/>
                <w:color w:val="auto"/>
              </w:rPr>
            </w:pPr>
            <w:r>
              <w:rPr>
                <w:rFonts w:ascii="Times New Roman" w:cs="Times New Roman" w:eastAsia="Times New Roman" w:hAnsi="Times New Roman"/>
                <w:sz w:val="18"/>
                <w:szCs w:val="18"/>
                <w:color w:val="auto"/>
              </w:rPr>
              <w:t>Total net deferred tax liabilities</w:t>
            </w:r>
          </w:p>
        </w:tc>
        <w:tc>
          <w:tcPr>
            <w:tcW w:w="4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28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0" w:type="dxa"/>
            <w:vAlign w:val="bottom"/>
            <w:tcBorders>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-1841500</wp:posOffset>
                </wp:positionV>
                <wp:extent cx="437642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7642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45pt" to="344.5pt,-145pt" o:allowincell="f" strokecolor="#FFFFFF" strokeweight="0.876pt"/>
            </w:pict>
          </mc:Fallback>
        </mc:AlternateContent>
      </w:r>
    </w:p>
    <w:p>
      <w:pPr>
        <w:spacing w:after="0" w:line="9"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6"/>
          <w:szCs w:val="16"/>
          <w:color w:val="auto"/>
        </w:rPr>
        <w:t>Includes deferred taxes on intangible assets owned by a fully consolidated partnership.</w:t>
      </w:r>
    </w:p>
    <w:p>
      <w:pPr>
        <w:spacing w:after="0" w:line="106"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Net operating loss carryforwards were approximately $301 million and $272 million at December 31, 2022 and 2021, respectively. If unused, approximately $98 million will expire between 2023 and 2042. The remainder, totaling approximately $203 million, may be carried forward indefinitely. Tax credit carryforwards were approximately $14 million and $40 million at December 31, 2022 and 2021, respectively. If unused, the $14 million will expire between 2023 and 2042.</w:t>
      </w:r>
    </w:p>
    <w:p>
      <w:pPr>
        <w:spacing w:after="0" w:line="57"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Of the $315 million deferred tax asset for net operating loss carryforwards and credits at December 31, 2022, the Company considers it unlikely that a portion of the tax benefit will be realized. Accordingly, a valuation allowance of approximately $261 million on net operating loss carryforwards and $1 million of tax credits has been established against these deferred tax assets.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80" w:type="dxa"/>
            <w:vAlign w:val="bottom"/>
          </w:tcPr>
          <w:p>
            <w:pPr>
              <w:spacing w:after="0"/>
              <w:rPr>
                <w:sz w:val="17"/>
                <w:szCs w:val="17"/>
                <w:color w:val="auto"/>
              </w:rPr>
            </w:pPr>
          </w:p>
        </w:tc>
        <w:tc>
          <w:tcPr>
            <w:tcW w:w="900" w:type="dxa"/>
            <w:vAlign w:val="bottom"/>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2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2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1600" w:type="dxa"/>
            <w:vAlign w:val="bottom"/>
            <w:tcBorders>
              <w:top w:val="single" w:sz="8" w:color="auto"/>
              <w:bottom w:val="single" w:sz="8" w:color="DDDDDD"/>
            </w:tcBorders>
          </w:tcPr>
          <w:p>
            <w:pPr>
              <w:spacing w:after="0"/>
              <w:rPr>
                <w:sz w:val="2"/>
                <w:szCs w:val="2"/>
                <w:color w:val="auto"/>
              </w:rPr>
            </w:pPr>
          </w:p>
        </w:tc>
        <w:tc>
          <w:tcPr>
            <w:tcW w:w="394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560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of unrecognized tax benefits at beginning of year</w:t>
            </w: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amount of increases in unrecognized tax benefits as a result of</w:t>
            </w:r>
          </w:p>
        </w:tc>
        <w:tc>
          <w:tcPr>
            <w:tcW w:w="2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positions taken during a prior year</w:t>
            </w:r>
            <w:r>
              <w:rPr>
                <w:rFonts w:ascii="Times New Roman" w:cs="Times New Roman" w:eastAsia="Times New Roman" w:hAnsi="Times New Roman"/>
                <w:sz w:val="11"/>
                <w:szCs w:val="11"/>
                <w:color w:val="auto"/>
              </w:rPr>
              <w:t>(1)</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DDDDDD"/>
          </w:tcPr>
          <w:p>
            <w:pPr>
              <w:spacing w:after="0"/>
              <w:rPr>
                <w:sz w:val="18"/>
                <w:szCs w:val="18"/>
                <w:color w:val="auto"/>
              </w:rPr>
            </w:pPr>
          </w:p>
        </w:tc>
        <w:tc>
          <w:tcPr>
            <w:tcW w:w="560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Gross amount of decreases in unrecognized tax benefits as a result of</w:t>
            </w:r>
          </w:p>
        </w:tc>
        <w:tc>
          <w:tcPr>
            <w:tcW w:w="280" w:type="dxa"/>
            <w:vAlign w:val="bottom"/>
            <w:shd w:val="clear" w:color="auto" w:fill="DDDDDD"/>
          </w:tcPr>
          <w:p>
            <w:pPr>
              <w:spacing w:after="0"/>
              <w:rPr>
                <w:sz w:val="18"/>
                <w:szCs w:val="18"/>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0" w:type="dxa"/>
            <w:vAlign w:val="bottom"/>
            <w:shd w:val="clear" w:color="auto" w:fill="DDDDDD"/>
          </w:tcPr>
          <w:p>
            <w:pPr>
              <w:spacing w:after="0"/>
              <w:rPr>
                <w:sz w:val="20"/>
                <w:szCs w:val="20"/>
                <w:color w:val="auto"/>
              </w:rPr>
            </w:pPr>
          </w:p>
        </w:tc>
        <w:tc>
          <w:tcPr>
            <w:tcW w:w="560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positions taken during a prior year</w:t>
            </w:r>
          </w:p>
        </w:tc>
        <w:tc>
          <w:tcPr>
            <w:tcW w:w="280" w:type="dxa"/>
            <w:vAlign w:val="bottom"/>
            <w:shd w:val="clear" w:color="auto" w:fill="DDDDDD"/>
          </w:tcPr>
          <w:p>
            <w:pPr>
              <w:spacing w:after="0"/>
              <w:rPr>
                <w:sz w:val="20"/>
                <w:szCs w:val="20"/>
                <w:color w:val="auto"/>
              </w:rPr>
            </w:pPr>
          </w:p>
        </w:tc>
        <w:tc>
          <w:tcPr>
            <w:tcW w:w="900" w:type="dxa"/>
            <w:vAlign w:val="bottom"/>
            <w:vMerge w:val="continue"/>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920" w:type="dxa"/>
            <w:vAlign w:val="bottom"/>
            <w:vMerge w:val="continue"/>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920" w:type="dxa"/>
            <w:vAlign w:val="bottom"/>
            <w:vMerge w:val="continue"/>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540" w:type="dxa"/>
            <w:vAlign w:val="bottom"/>
            <w:gridSpan w:val="2"/>
            <w:vMerge w:val="restart"/>
          </w:tcPr>
          <w:p>
            <w:pPr>
              <w:spacing w:after="0" w:line="190" w:lineRule="exact"/>
              <w:rPr>
                <w:sz w:val="20"/>
                <w:szCs w:val="20"/>
                <w:color w:val="auto"/>
              </w:rPr>
            </w:pPr>
            <w:r>
              <w:rPr>
                <w:rFonts w:ascii="Times New Roman" w:cs="Times New Roman" w:eastAsia="Times New Roman" w:hAnsi="Times New Roman"/>
                <w:sz w:val="18"/>
                <w:szCs w:val="18"/>
                <w:color w:val="auto"/>
              </w:rPr>
              <w:t>Gross amount of increases in unrecognized tax benefits as a result of</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55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4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positions taken during the current year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DDDDDD"/>
          </w:tcPr>
          <w:p>
            <w:pPr>
              <w:spacing w:after="0"/>
              <w:rPr>
                <w:sz w:val="18"/>
                <w:szCs w:val="18"/>
                <w:color w:val="auto"/>
              </w:rPr>
            </w:pPr>
          </w:p>
        </w:tc>
        <w:tc>
          <w:tcPr>
            <w:tcW w:w="560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The amounts of decreases in unrecognized benefits relating to settlements</w:t>
            </w:r>
          </w:p>
        </w:tc>
        <w:tc>
          <w:tcPr>
            <w:tcW w:w="280" w:type="dxa"/>
            <w:vAlign w:val="bottom"/>
            <w:shd w:val="clear" w:color="auto" w:fill="DDDDDD"/>
          </w:tcPr>
          <w:p>
            <w:pPr>
              <w:spacing w:after="0"/>
              <w:rPr>
                <w:sz w:val="18"/>
                <w:szCs w:val="18"/>
                <w:color w:val="auto"/>
              </w:rPr>
            </w:pPr>
          </w:p>
        </w:tc>
        <w:tc>
          <w:tcPr>
            <w:tcW w:w="9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9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5"/>
        </w:trPr>
        <w:tc>
          <w:tcPr>
            <w:tcW w:w="40" w:type="dxa"/>
            <w:vAlign w:val="bottom"/>
            <w:shd w:val="clear" w:color="auto" w:fill="DDDDDD"/>
          </w:tcPr>
          <w:p>
            <w:pPr>
              <w:spacing w:after="0"/>
              <w:rPr>
                <w:sz w:val="21"/>
                <w:szCs w:val="21"/>
                <w:color w:val="auto"/>
              </w:rPr>
            </w:pPr>
          </w:p>
        </w:tc>
        <w:tc>
          <w:tcPr>
            <w:tcW w:w="560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with taxing authorities</w:t>
            </w:r>
          </w:p>
        </w:tc>
        <w:tc>
          <w:tcPr>
            <w:tcW w:w="280" w:type="dxa"/>
            <w:vAlign w:val="bottom"/>
            <w:shd w:val="clear" w:color="auto" w:fill="DDDDDD"/>
          </w:tcPr>
          <w:p>
            <w:pPr>
              <w:spacing w:after="0"/>
              <w:rPr>
                <w:sz w:val="21"/>
                <w:szCs w:val="21"/>
                <w:color w:val="auto"/>
              </w:rPr>
            </w:pPr>
          </w:p>
        </w:tc>
        <w:tc>
          <w:tcPr>
            <w:tcW w:w="900" w:type="dxa"/>
            <w:vAlign w:val="bottom"/>
            <w:vMerge w:val="continue"/>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920" w:type="dxa"/>
            <w:vAlign w:val="bottom"/>
            <w:vMerge w:val="continue"/>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920" w:type="dxa"/>
            <w:vAlign w:val="bottom"/>
            <w:vMerge w:val="continue"/>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Reduction in unrecognized tax benefits due to the lapse of applicable</w:t>
            </w:r>
          </w:p>
        </w:tc>
        <w:tc>
          <w:tcPr>
            <w:tcW w:w="28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1"/>
        </w:trPr>
        <w:tc>
          <w:tcPr>
            <w:tcW w:w="40" w:type="dxa"/>
            <w:vAlign w:val="bottom"/>
            <w:tcBorders>
              <w:bottom w:val="single" w:sz="8" w:color="DDDDDD"/>
            </w:tcBorders>
          </w:tcPr>
          <w:p>
            <w:pPr>
              <w:spacing w:after="0"/>
              <w:rPr>
                <w:sz w:val="20"/>
                <w:szCs w:val="20"/>
                <w:color w:val="auto"/>
              </w:rPr>
            </w:pPr>
          </w:p>
        </w:tc>
        <w:tc>
          <w:tcPr>
            <w:tcW w:w="560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statute of limitation</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DDDDDD"/>
          </w:tcPr>
          <w:p>
            <w:pPr>
              <w:spacing w:after="0"/>
              <w:rPr>
                <w:sz w:val="22"/>
                <w:szCs w:val="22"/>
                <w:color w:val="auto"/>
              </w:rPr>
            </w:pPr>
          </w:p>
        </w:tc>
        <w:tc>
          <w:tcPr>
            <w:tcW w:w="560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of unrecognized tax benefits at end of year</w:t>
            </w: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55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4354830</wp:posOffset>
                </wp:positionH>
                <wp:positionV relativeFrom="paragraph">
                  <wp:posOffset>-1196975</wp:posOffset>
                </wp:positionV>
                <wp:extent cx="0" cy="286385"/>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385"/>
                        </a:xfrm>
                        <a:prstGeom prst="line">
                          <a:avLst/>
                        </a:prstGeom>
                        <a:solidFill>
                          <a:srgbClr val="FFFFFF"/>
                        </a:solidFill>
                        <a:ln w="41681">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9pt,-94.2499pt" to="342.9pt,-71.6999pt" o:allowincell="f" strokecolor="#FFFFFF" strokeweight="3.282pt"/>
            </w:pict>
          </mc:Fallback>
        </mc:AlternateContent>
        <mc:AlternateContent>
          <mc:Choice Requires="wps">
            <w:drawing>
              <wp:anchor simplePos="0" relativeHeight="251657728" behindDoc="1" locked="0" layoutInCell="0" allowOverlap="1">
                <wp:simplePos x="0" y="0"/>
                <wp:positionH relativeFrom="column">
                  <wp:posOffset>5153660</wp:posOffset>
                </wp:positionH>
                <wp:positionV relativeFrom="paragraph">
                  <wp:posOffset>-1196975</wp:posOffset>
                </wp:positionV>
                <wp:extent cx="0" cy="286385"/>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6385"/>
                        </a:xfrm>
                        <a:prstGeom prst="line">
                          <a:avLst/>
                        </a:prstGeom>
                        <a:solidFill>
                          <a:srgbClr val="FFFFFF"/>
                        </a:solidFill>
                        <a:ln w="44462">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8pt,-94.2499pt" to="405.8pt,-71.6999pt" o:allowincell="f" strokecolor="#FFFFFF" strokeweight="3.5009pt"/>
            </w:pict>
          </mc:Fallback>
        </mc:AlternateContent>
      </w:r>
    </w:p>
    <w:p>
      <w:pPr>
        <w:spacing w:after="0" w:line="9" w:lineRule="exact"/>
        <w:rPr>
          <w:sz w:val="20"/>
          <w:szCs w:val="20"/>
          <w:color w:val="auto"/>
        </w:rPr>
      </w:pPr>
    </w:p>
    <w:p>
      <w:pPr>
        <w:ind w:left="380" w:hanging="334"/>
        <w:spacing w:after="0"/>
        <w:tabs>
          <w:tab w:leader="none" w:pos="3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2021, the amount includes positions related to N&amp;B opening balance sheet amounts.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66" w:lineRule="exact"/>
        <w:rPr>
          <w:rFonts w:ascii="Times New Roman" w:cs="Times New Roman" w:eastAsia="Times New Roman" w:hAnsi="Times New Roman"/>
          <w:sz w:val="17"/>
          <w:szCs w:val="17"/>
          <w:color w:val="auto"/>
        </w:rPr>
      </w:pPr>
    </w:p>
    <w:p>
      <w:pPr>
        <w:ind w:left="4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83</w:t>
      </w:r>
    </w:p>
    <w:p>
      <w:pPr>
        <w:sectPr>
          <w:pgSz w:w="11880" w:h="15480" w:orient="portrait"/>
          <w:cols w:equalWidth="0" w:num="1">
            <w:col w:w="9400"/>
          </w:cols>
          <w:pgMar w:left="1220" w:top="1252" w:right="1260" w:bottom="254" w:gutter="0" w:footer="0" w:header="0"/>
        </w:sectPr>
      </w:pPr>
    </w:p>
    <w:bookmarkStart w:id="90" w:name="page91"/>
    <w:bookmarkEnd w:id="90"/>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At December 31, 2022, 2021 and 2020, there were approximately $98 million, $130 million and $98 million, respectively, of unrecognized tax benefits recorded to Other liabilities. There was approximately $14 million recorded to Other current liabilities for 2022, less than $1 million recorded to Other current liabilities for 2021 and approximately $1 million recorded to Other current liabilities for 2020. If these unrecognized tax benefits were recognized, all the benefits and related interest and penalties would be recorded as a benefit to income tax expense.</w:t>
      </w:r>
    </w:p>
    <w:p>
      <w:pPr>
        <w:spacing w:after="0" w:line="61"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The Company decreased its liabilities for interest and penalties by approximately $1 million, net, for the year ended December 31, 2022, and increased its liabilities for interest and penalties by approximately $19 million and $3 million, net, for the years ended December 31, 2021 and 2020, respectively. At December 31, 2022, 2021 and 2020, the Company had accrued approximately $31 million, $36 million and $17 million, respectively, of interest and penalties classified as Other liabilities, $4 million classified as Other current liabilities for December 31, 2022 and less than $1 million classified as Other current liabilities for December 31, 2021 and 2020.</w:t>
      </w:r>
    </w:p>
    <w:p>
      <w:pPr>
        <w:spacing w:after="0" w:line="67"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As of December 31, 2022, the Company’s aggregate provision for unrecognized tax benefits, including interest and penalties, was approximately $147 million associated with various tax positions principally asserted in foreign jurisdictions.</w:t>
      </w:r>
    </w:p>
    <w:p>
      <w:pPr>
        <w:spacing w:after="0" w:line="30"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Company’s reversal of uncertain tax positions due to the expiration of related statutes of limitations over the next 12 months was estimated to be approximately $18 million, which has been classified as current. The total changes to the uncertain tax positions over the next 12 months is impracticable to estimate and is dependent on the resolution of new or existing tax disputes.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8"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Tax benefits credited to Shareholders’ equity were not material for the years ended December 31, 2022, 2021 and 2020 associated with stock option exercises and PRSU dividends.</w:t>
      </w:r>
    </w:p>
    <w:p>
      <w:pPr>
        <w:spacing w:after="0" w:line="30"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The Company regularly repatriates earnings from non-U.S. subsidiaries. As the Company repatriates these funds to the U.S., they will be required to pay income taxes in certain U.S. states and applicable foreign withholding taxes during the period when such repatriation occurs. Accordingly, as of December 31, 2022, the Company had a deferred tax liability of approximately $166 million for the effect of repatriating the funds to the U.S., attributable to various non-U.S. subsidiaries. There is no deferred tax liability associated with non-U.S. subsidiaries where we intend to indefinitely reinvest the earnings to fund local operations and/or capital projects.</w:t>
      </w:r>
    </w:p>
    <w:p>
      <w:pPr>
        <w:spacing w:after="0" w:line="66"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19.</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Company also has several other tax audits in process and has open tax years with various taxing jurisdictions that range primarily from 2012 to 2021. Based on currently available information, the Company does not believe the ultimate outcome of any of these tax audits and other tax positions related to open tax years, when finalized, will have a material impact on its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880" w:h="15480" w:orient="portrait"/>
          <w:cols w:equalWidth="0" w:num="1">
            <w:col w:w="9360"/>
          </w:cols>
          <w:pgMar w:left="1260" w:top="1255" w:right="1260" w:bottom="254" w:gutter="0" w:footer="0" w:header="0"/>
        </w:sectPr>
      </w:pPr>
    </w:p>
    <w:bookmarkStart w:id="91" w:name="page92"/>
    <w:bookmarkEnd w:id="9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11.</w:t>
        <w:tab/>
        <w:t>NET (LOSS) INCOME PER SHARE</w:t>
      </w:r>
    </w:p>
    <w:p>
      <w:pPr>
        <w:spacing w:after="0" w:line="124" w:lineRule="exact"/>
        <w:rPr>
          <w:sz w:val="20"/>
          <w:szCs w:val="20"/>
          <w:color w:val="auto"/>
        </w:rPr>
      </w:pPr>
    </w:p>
    <w:p>
      <w:pPr>
        <w:ind w:firstLine="328"/>
        <w:spacing w:after="0" w:line="300" w:lineRule="auto"/>
        <w:rPr>
          <w:sz w:val="20"/>
          <w:szCs w:val="20"/>
          <w:color w:val="auto"/>
        </w:rPr>
      </w:pPr>
      <w:r>
        <w:rPr>
          <w:rFonts w:ascii="Times New Roman" w:cs="Times New Roman" w:eastAsia="Times New Roman" w:hAnsi="Times New Roman"/>
          <w:sz w:val="18"/>
          <w:szCs w:val="18"/>
          <w:color w:val="auto"/>
        </w:rPr>
        <w:t>Basic and diluted net (loss) income per share is based on the weighted average number of shares outstanding. A reconciliation of shares used in the computation of basic and diluted net (loss) income per share is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(AMOUNTS IN MILLIONS EXCEPT PER SHARE AMOUNTS)</w:t>
            </w:r>
          </w:p>
        </w:tc>
        <w:tc>
          <w:tcPr>
            <w:tcW w:w="320" w:type="dxa"/>
            <w:vAlign w:val="bottom"/>
          </w:tcPr>
          <w:p>
            <w:pPr>
              <w:spacing w:after="0"/>
              <w:rPr>
                <w:sz w:val="18"/>
                <w:szCs w:val="18"/>
                <w:color w:val="auto"/>
              </w:rPr>
            </w:pPr>
          </w:p>
        </w:tc>
        <w:tc>
          <w:tcPr>
            <w:tcW w:w="1040" w:type="dxa"/>
            <w:vAlign w:val="bottom"/>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360" w:type="dxa"/>
            <w:vAlign w:val="bottom"/>
            <w:gridSpan w:val="2"/>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0" w:type="dxa"/>
            <w:vAlign w:val="bottom"/>
          </w:tcPr>
          <w:p>
            <w:pPr>
              <w:spacing w:after="0"/>
              <w:rPr>
                <w:sz w:val="5"/>
                <w:szCs w:val="5"/>
                <w:color w:val="auto"/>
              </w:rPr>
            </w:pPr>
          </w:p>
        </w:tc>
        <w:tc>
          <w:tcPr>
            <w:tcW w:w="5000" w:type="dxa"/>
            <w:vAlign w:val="bottom"/>
            <w:tcBorders>
              <w:bottom w:val="single" w:sz="8" w:color="DDDDDD"/>
            </w:tcBorders>
            <w:gridSpan w:val="2"/>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320" w:type="dxa"/>
            <w:vAlign w:val="bottom"/>
            <w:tcBorders>
              <w:bottom w:val="single" w:sz="8" w:color="DDDDDD"/>
            </w:tcBorders>
          </w:tcPr>
          <w:p>
            <w:pPr>
              <w:spacing w:after="0"/>
              <w:rPr>
                <w:sz w:val="5"/>
                <w:szCs w:val="5"/>
                <w:color w:val="auto"/>
              </w:rPr>
            </w:pPr>
          </w:p>
        </w:tc>
        <w:tc>
          <w:tcPr>
            <w:tcW w:w="104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40" w:type="dxa"/>
            <w:vAlign w:val="bottom"/>
            <w:tcBorders>
              <w:bottom w:val="single" w:sz="8" w:color="DDDDDD"/>
            </w:tcBorders>
          </w:tcPr>
          <w:p>
            <w:pPr>
              <w:spacing w:after="0"/>
              <w:rPr>
                <w:sz w:val="5"/>
                <w:szCs w:val="5"/>
                <w:color w:val="auto"/>
              </w:rPr>
            </w:pPr>
          </w:p>
        </w:tc>
        <w:tc>
          <w:tcPr>
            <w:tcW w:w="160" w:type="dxa"/>
            <w:vAlign w:val="bottom"/>
            <w:tcBorders>
              <w:bottom w:val="single" w:sz="8" w:color="DDDDDD"/>
            </w:tcBorders>
          </w:tcPr>
          <w:p>
            <w:pPr>
              <w:spacing w:after="0"/>
              <w:rPr>
                <w:sz w:val="5"/>
                <w:szCs w:val="5"/>
                <w:color w:val="auto"/>
              </w:rPr>
            </w:pPr>
          </w:p>
        </w:tc>
        <w:tc>
          <w:tcPr>
            <w:tcW w:w="1220" w:type="dxa"/>
            <w:vAlign w:val="bottom"/>
            <w:tcBorders>
              <w:bottom w:val="single" w:sz="8" w:color="DDDDDD"/>
            </w:tcBorders>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300" w:type="dxa"/>
            <w:vAlign w:val="bottom"/>
            <w:tcBorders>
              <w:bottom w:val="single" w:sz="8" w:color="DDDDDD"/>
            </w:tcBorders>
          </w:tcPr>
          <w:p>
            <w:pPr>
              <w:spacing w:after="0"/>
              <w:rPr>
                <w:sz w:val="5"/>
                <w:szCs w:val="5"/>
                <w:color w:val="auto"/>
              </w:rPr>
            </w:pPr>
          </w:p>
        </w:tc>
        <w:tc>
          <w:tcPr>
            <w:tcW w:w="1060" w:type="dxa"/>
            <w:vAlign w:val="bottom"/>
            <w:tcBorders>
              <w:bottom w:val="single" w:sz="8" w:color="DDDDDD"/>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DDDDDD"/>
            </w:tcBorders>
          </w:tcPr>
          <w:p>
            <w:pPr>
              <w:spacing w:after="0"/>
              <w:rPr>
                <w:sz w:val="19"/>
                <w:szCs w:val="19"/>
                <w:color w:val="auto"/>
              </w:rPr>
            </w:pPr>
          </w:p>
        </w:tc>
        <w:tc>
          <w:tcPr>
            <w:tcW w:w="50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income attributable to IFF shareholders</w:t>
            </w:r>
          </w:p>
        </w:tc>
        <w:tc>
          <w:tcPr>
            <w:tcW w:w="32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 related to (increase) decrease in redemption value of</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50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redeemable non-controlling interests in excess of earnings allocated</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vMerge w:val="continue"/>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DDDDDD"/>
            </w:tcBorders>
          </w:tcPr>
          <w:p>
            <w:pPr>
              <w:spacing w:after="0"/>
              <w:rPr>
                <w:sz w:val="20"/>
                <w:szCs w:val="20"/>
                <w:color w:val="auto"/>
              </w:rPr>
            </w:pPr>
          </w:p>
        </w:tc>
        <w:tc>
          <w:tcPr>
            <w:tcW w:w="5060" w:type="dxa"/>
            <w:vAlign w:val="bottom"/>
            <w:tcBorders>
              <w:top w:val="single" w:sz="8" w:color="DDDDDD"/>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income attributable to IFF shareholders</w:t>
            </w:r>
          </w:p>
        </w:tc>
        <w:tc>
          <w:tcPr>
            <w:tcW w:w="320" w:type="dxa"/>
            <w:vAlign w:val="bottom"/>
            <w:tcBorders>
              <w:top w:val="single" w:sz="8" w:color="DDDDDD"/>
              <w:bottom w:val="single" w:sz="8" w:color="auto"/>
            </w:tcBorders>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40" w:type="dxa"/>
            <w:vAlign w:val="bottom"/>
            <w:tcBorders>
              <w:top w:val="single" w:sz="8" w:color="DDDDDD"/>
              <w:bottom w:val="single" w:sz="8" w:color="DDDDDD"/>
            </w:tcBorders>
            <w:shd w:val="clear" w:color="auto" w:fill="DDDDDD"/>
          </w:tcPr>
          <w:p>
            <w:pPr>
              <w:spacing w:after="0"/>
              <w:rPr>
                <w:sz w:val="20"/>
                <w:szCs w:val="20"/>
                <w:color w:val="auto"/>
              </w:rPr>
            </w:pPr>
          </w:p>
        </w:tc>
        <w:tc>
          <w:tcPr>
            <w:tcW w:w="1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300" w:type="dxa"/>
            <w:vAlign w:val="bottom"/>
            <w:tcBorders>
              <w:top w:val="single" w:sz="8" w:color="DDDDDD"/>
              <w:bottom w:val="single" w:sz="8" w:color="auto"/>
            </w:tcBorders>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60" w:type="dxa"/>
            <w:vAlign w:val="bottom"/>
            <w:gridSpan w:val="3"/>
            <w:vMerge w:val="restart"/>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0" w:type="dxa"/>
            <w:vAlign w:val="bottom"/>
          </w:tcPr>
          <w:p>
            <w:pPr>
              <w:spacing w:after="0"/>
              <w:rPr>
                <w:sz w:val="16"/>
                <w:szCs w:val="16"/>
                <w:color w:val="auto"/>
              </w:rPr>
            </w:pPr>
          </w:p>
        </w:tc>
        <w:tc>
          <w:tcPr>
            <w:tcW w:w="5060" w:type="dxa"/>
            <w:vAlign w:val="bottom"/>
            <w:tcBorders>
              <w:bottom w:val="single" w:sz="8" w:color="DDDDDD"/>
            </w:tcBorders>
            <w:gridSpan w:val="3"/>
            <w:vMerge w:val="continue"/>
          </w:tcPr>
          <w:p>
            <w:pPr>
              <w:spacing w:after="0"/>
              <w:rPr>
                <w:sz w:val="16"/>
                <w:szCs w:val="16"/>
                <w:color w:val="auto"/>
              </w:rPr>
            </w:pPr>
          </w:p>
        </w:tc>
        <w:tc>
          <w:tcPr>
            <w:tcW w:w="320" w:type="dxa"/>
            <w:vAlign w:val="bottom"/>
            <w:tcBorders>
              <w:bottom w:val="single" w:sz="8" w:color="DDDDDD"/>
            </w:tcBorders>
          </w:tcPr>
          <w:p>
            <w:pPr>
              <w:spacing w:after="0"/>
              <w:rPr>
                <w:sz w:val="16"/>
                <w:szCs w:val="16"/>
                <w:color w:val="auto"/>
              </w:rPr>
            </w:pPr>
          </w:p>
        </w:tc>
        <w:tc>
          <w:tcPr>
            <w:tcW w:w="104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40" w:type="dxa"/>
            <w:vAlign w:val="bottom"/>
            <w:tcBorders>
              <w:bottom w:val="single" w:sz="8" w:color="DDDDDD"/>
            </w:tcBorders>
          </w:tcPr>
          <w:p>
            <w:pPr>
              <w:spacing w:after="0"/>
              <w:rPr>
                <w:sz w:val="16"/>
                <w:szCs w:val="16"/>
                <w:color w:val="auto"/>
              </w:rPr>
            </w:pPr>
          </w:p>
        </w:tc>
        <w:tc>
          <w:tcPr>
            <w:tcW w:w="160" w:type="dxa"/>
            <w:vAlign w:val="bottom"/>
            <w:tcBorders>
              <w:bottom w:val="single" w:sz="8" w:color="DDDDDD"/>
            </w:tcBorders>
          </w:tcPr>
          <w:p>
            <w:pPr>
              <w:spacing w:after="0"/>
              <w:rPr>
                <w:sz w:val="16"/>
                <w:szCs w:val="16"/>
                <w:color w:val="auto"/>
              </w:rPr>
            </w:pPr>
          </w:p>
        </w:tc>
        <w:tc>
          <w:tcPr>
            <w:tcW w:w="1220" w:type="dxa"/>
            <w:vAlign w:val="bottom"/>
            <w:tcBorders>
              <w:bottom w:val="single" w:sz="8" w:color="DDDDDD"/>
            </w:tcBorders>
          </w:tcPr>
          <w:p>
            <w:pPr>
              <w:spacing w:after="0"/>
              <w:rPr>
                <w:sz w:val="16"/>
                <w:szCs w:val="16"/>
                <w:color w:val="auto"/>
              </w:rPr>
            </w:pPr>
          </w:p>
        </w:tc>
        <w:tc>
          <w:tcPr>
            <w:tcW w:w="60" w:type="dxa"/>
            <w:vAlign w:val="bottom"/>
            <w:tcBorders>
              <w:bottom w:val="single" w:sz="8" w:color="DDDDDD"/>
            </w:tcBorders>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300" w:type="dxa"/>
            <w:vAlign w:val="bottom"/>
            <w:tcBorders>
              <w:bottom w:val="single" w:sz="8" w:color="DDDDDD"/>
            </w:tcBorders>
          </w:tcPr>
          <w:p>
            <w:pPr>
              <w:spacing w:after="0"/>
              <w:rPr>
                <w:sz w:val="16"/>
                <w:szCs w:val="16"/>
                <w:color w:val="auto"/>
              </w:rPr>
            </w:pPr>
          </w:p>
        </w:tc>
        <w:tc>
          <w:tcPr>
            <w:tcW w:w="1060" w:type="dxa"/>
            <w:vAlign w:val="bottom"/>
            <w:tcBorders>
              <w:bottom w:val="single" w:sz="8" w:color="DDDDDD"/>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DDDDDD"/>
            </w:tcBorders>
          </w:tcPr>
          <w:p>
            <w:pPr>
              <w:spacing w:after="0"/>
              <w:rPr>
                <w:sz w:val="19"/>
                <w:szCs w:val="19"/>
                <w:color w:val="auto"/>
              </w:rPr>
            </w:pPr>
          </w:p>
        </w:tc>
        <w:tc>
          <w:tcPr>
            <w:tcW w:w="50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r>
              <w:rPr>
                <w:rFonts w:ascii="Times New Roman" w:cs="Times New Roman" w:eastAsia="Times New Roman" w:hAnsi="Times New Roman"/>
                <w:sz w:val="11"/>
                <w:szCs w:val="11"/>
                <w:color w:val="auto"/>
              </w:rPr>
              <w:t>(1)</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Adjustment for assumed dilution</w:t>
            </w:r>
            <w:r>
              <w:rPr>
                <w:rFonts w:ascii="Times New Roman" w:cs="Times New Roman" w:eastAsia="Times New Roman" w:hAnsi="Times New Roman"/>
                <w:sz w:val="11"/>
                <w:szCs w:val="11"/>
                <w:color w:val="auto"/>
              </w:rPr>
              <w:t>(2)</w:t>
            </w:r>
            <w:r>
              <w:rPr>
                <w:rFonts w:ascii="Times New Roman" w:cs="Times New Roman" w:eastAsia="Times New Roman" w:hAnsi="Times New Roman"/>
                <w:sz w:val="18"/>
                <w:szCs w:val="18"/>
                <w:color w:val="auto"/>
              </w:rPr>
              <w:t>:</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5000" w:type="dxa"/>
            <w:vAlign w:val="bottom"/>
            <w:tcBorders>
              <w:bottom w:val="single" w:sz="8" w:color="DDDDDD"/>
            </w:tcBorders>
            <w:gridSpan w:val="2"/>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320" w:type="dxa"/>
            <w:vAlign w:val="bottom"/>
            <w:tcBorders>
              <w:bottom w:val="single" w:sz="8" w:color="DDDDDD"/>
            </w:tcBorders>
          </w:tcPr>
          <w:p>
            <w:pPr>
              <w:spacing w:after="0"/>
              <w:rPr>
                <w:sz w:val="22"/>
                <w:szCs w:val="22"/>
                <w:color w:val="auto"/>
              </w:rPr>
            </w:pPr>
          </w:p>
        </w:tc>
        <w:tc>
          <w:tcPr>
            <w:tcW w:w="10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160" w:type="dxa"/>
            <w:vAlign w:val="bottom"/>
            <w:tcBorders>
              <w:bottom w:val="single" w:sz="8" w:color="DDDDDD"/>
            </w:tcBorders>
          </w:tcPr>
          <w:p>
            <w:pPr>
              <w:spacing w:after="0"/>
              <w:rPr>
                <w:sz w:val="22"/>
                <w:szCs w:val="22"/>
                <w:color w:val="auto"/>
              </w:rPr>
            </w:pPr>
          </w:p>
        </w:tc>
        <w:tc>
          <w:tcPr>
            <w:tcW w:w="1220" w:type="dxa"/>
            <w:vAlign w:val="bottom"/>
            <w:tcBorders>
              <w:bottom w:val="single" w:sz="8" w:color="DDDDDD"/>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300" w:type="dxa"/>
            <w:vAlign w:val="bottom"/>
            <w:tcBorders>
              <w:bottom w:val="single" w:sz="8" w:color="DDDDDD"/>
            </w:tcBorders>
          </w:tcPr>
          <w:p>
            <w:pPr>
              <w:spacing w:after="0"/>
              <w:rPr>
                <w:sz w:val="22"/>
                <w:szCs w:val="22"/>
                <w:color w:val="auto"/>
              </w:rPr>
            </w:pPr>
          </w:p>
        </w:tc>
        <w:tc>
          <w:tcPr>
            <w:tcW w:w="1060" w:type="dxa"/>
            <w:vAlign w:val="bottom"/>
            <w:tcBorders>
              <w:bottom w:val="single" w:sz="8" w:color="DDDDDD"/>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DDDDDD"/>
            </w:tcBorders>
          </w:tcPr>
          <w:p>
            <w:pPr>
              <w:spacing w:after="0"/>
              <w:rPr>
                <w:sz w:val="19"/>
                <w:szCs w:val="19"/>
                <w:color w:val="auto"/>
              </w:rPr>
            </w:pPr>
          </w:p>
        </w:tc>
        <w:tc>
          <w:tcPr>
            <w:tcW w:w="5000" w:type="dxa"/>
            <w:vAlign w:val="bottom"/>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Stock options and restricted stock awards</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5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SPC portion of the TEUs</w:t>
            </w: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5000" w:type="dxa"/>
            <w:vAlign w:val="bottom"/>
            <w:tcBorders>
              <w:bottom w:val="single" w:sz="8" w:color="DDDDDD"/>
            </w:tcBorders>
            <w:gridSpan w:val="2"/>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DDDDDD"/>
            </w:tcBorders>
          </w:tcPr>
          <w:p>
            <w:pPr>
              <w:spacing w:after="0"/>
              <w:rPr>
                <w:sz w:val="19"/>
                <w:szCs w:val="19"/>
                <w:color w:val="auto"/>
              </w:rPr>
            </w:pPr>
          </w:p>
        </w:tc>
        <w:tc>
          <w:tcPr>
            <w:tcW w:w="500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Weighted average shares assuming dilution (diluted)</w:t>
            </w:r>
          </w:p>
        </w:tc>
        <w:tc>
          <w:tcPr>
            <w:tcW w:w="6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DDDDDD"/>
              <w:bottom w:val="single" w:sz="8" w:color="auto"/>
            </w:tcBorders>
            <w:shd w:val="clear" w:color="auto" w:fill="DDDDDD"/>
          </w:tcPr>
          <w:p>
            <w:pPr>
              <w:spacing w:after="0"/>
              <w:rPr>
                <w:sz w:val="19"/>
                <w:szCs w:val="19"/>
                <w:color w:val="auto"/>
              </w:rPr>
            </w:pPr>
          </w:p>
        </w:tc>
        <w:tc>
          <w:tcPr>
            <w:tcW w:w="104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DDDDD"/>
              <w:bottom w:val="single" w:sz="8" w:color="auto"/>
            </w:tcBorders>
            <w:shd w:val="clear" w:color="auto" w:fill="DDDDDD"/>
          </w:tcPr>
          <w:p>
            <w:pPr>
              <w:spacing w:after="0"/>
              <w:rPr>
                <w:sz w:val="19"/>
                <w:szCs w:val="19"/>
                <w:color w:val="auto"/>
              </w:rPr>
            </w:pPr>
          </w:p>
        </w:tc>
        <w:tc>
          <w:tcPr>
            <w:tcW w:w="12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300" w:type="dxa"/>
            <w:vAlign w:val="bottom"/>
            <w:tcBorders>
              <w:top w:val="single" w:sz="8" w:color="DDDDDD"/>
              <w:bottom w:val="single" w:sz="8" w:color="auto"/>
            </w:tcBorders>
            <w:shd w:val="clear" w:color="auto" w:fill="DDDDDD"/>
          </w:tcPr>
          <w:p>
            <w:pPr>
              <w:spacing w:after="0"/>
              <w:rPr>
                <w:sz w:val="19"/>
                <w:szCs w:val="19"/>
                <w:color w:val="auto"/>
              </w:rPr>
            </w:pPr>
          </w:p>
        </w:tc>
        <w:tc>
          <w:tcPr>
            <w:tcW w:w="106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Income per Share</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Pr>
          <w:p>
            <w:pPr>
              <w:spacing w:after="0"/>
              <w:rPr>
                <w:sz w:val="20"/>
                <w:szCs w:val="20"/>
                <w:color w:val="auto"/>
              </w:rPr>
            </w:pPr>
          </w:p>
        </w:tc>
        <w:tc>
          <w:tcPr>
            <w:tcW w:w="5060" w:type="dxa"/>
            <w:vAlign w:val="bottom"/>
            <w:tcBorders>
              <w:bottom w:val="single" w:sz="8" w:color="DDDDDD"/>
            </w:tcBorders>
            <w:gridSpan w:val="3"/>
            <w:vMerge w:val="continue"/>
          </w:tcPr>
          <w:p>
            <w:pPr>
              <w:spacing w:after="0"/>
              <w:rPr>
                <w:sz w:val="20"/>
                <w:szCs w:val="20"/>
                <w:color w:val="auto"/>
              </w:rPr>
            </w:pPr>
          </w:p>
        </w:tc>
        <w:tc>
          <w:tcPr>
            <w:tcW w:w="320" w:type="dxa"/>
            <w:vAlign w:val="bottom"/>
            <w:tcBorders>
              <w:bottom w:val="single" w:sz="8" w:color="DDDDDD"/>
            </w:tcBorders>
          </w:tcPr>
          <w:p>
            <w:pPr>
              <w:spacing w:after="0"/>
              <w:rPr>
                <w:sz w:val="20"/>
                <w:szCs w:val="20"/>
                <w:color w:val="auto"/>
              </w:rPr>
            </w:pPr>
          </w:p>
        </w:tc>
        <w:tc>
          <w:tcPr>
            <w:tcW w:w="104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40" w:type="dxa"/>
            <w:vAlign w:val="bottom"/>
            <w:tcBorders>
              <w:bottom w:val="single" w:sz="8" w:color="DDDDDD"/>
            </w:tcBorders>
          </w:tcPr>
          <w:p>
            <w:pPr>
              <w:spacing w:after="0"/>
              <w:rPr>
                <w:sz w:val="20"/>
                <w:szCs w:val="20"/>
                <w:color w:val="auto"/>
              </w:rPr>
            </w:pPr>
          </w:p>
        </w:tc>
        <w:tc>
          <w:tcPr>
            <w:tcW w:w="160" w:type="dxa"/>
            <w:vAlign w:val="bottom"/>
            <w:tcBorders>
              <w:bottom w:val="single" w:sz="8" w:color="DDDDDD"/>
            </w:tcBorders>
          </w:tcPr>
          <w:p>
            <w:pPr>
              <w:spacing w:after="0"/>
              <w:rPr>
                <w:sz w:val="20"/>
                <w:szCs w:val="20"/>
                <w:color w:val="auto"/>
              </w:rPr>
            </w:pPr>
          </w:p>
        </w:tc>
        <w:tc>
          <w:tcPr>
            <w:tcW w:w="122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300" w:type="dxa"/>
            <w:vAlign w:val="bottom"/>
            <w:tcBorders>
              <w:bottom w:val="single" w:sz="8" w:color="DDDDDD"/>
            </w:tcBorders>
          </w:tcPr>
          <w:p>
            <w:pPr>
              <w:spacing w:after="0"/>
              <w:rPr>
                <w:sz w:val="20"/>
                <w:szCs w:val="20"/>
                <w:color w:val="auto"/>
              </w:rPr>
            </w:pPr>
          </w:p>
        </w:tc>
        <w:tc>
          <w:tcPr>
            <w:tcW w:w="1060" w:type="dxa"/>
            <w:vAlign w:val="bottom"/>
            <w:tcBorders>
              <w:bottom w:val="single" w:sz="8" w:color="DDDDDD"/>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 w:type="dxa"/>
            <w:vAlign w:val="bottom"/>
            <w:tcBorders>
              <w:right w:val="single" w:sz="8" w:color="DDDDDD"/>
            </w:tcBorders>
          </w:tcPr>
          <w:p>
            <w:pPr>
              <w:spacing w:after="0"/>
              <w:rPr>
                <w:sz w:val="19"/>
                <w:szCs w:val="19"/>
                <w:color w:val="auto"/>
              </w:rPr>
            </w:pPr>
          </w:p>
        </w:tc>
        <w:tc>
          <w:tcPr>
            <w:tcW w:w="50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 income per share - basic</w:t>
            </w:r>
            <w:r>
              <w:rPr>
                <w:rFonts w:ascii="Times New Roman" w:cs="Times New Roman" w:eastAsia="Times New Roman" w:hAnsi="Times New Roman"/>
                <w:sz w:val="11"/>
                <w:szCs w:val="11"/>
                <w:color w:val="auto"/>
              </w:rPr>
              <w:t>(3)</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gridSpan w:val="2"/>
            <w:shd w:val="clear" w:color="auto" w:fill="DDDDDD"/>
          </w:tcPr>
          <w:p>
            <w:pPr>
              <w:spacing w:after="0"/>
              <w:rPr>
                <w:sz w:val="19"/>
                <w:szCs w:val="19"/>
                <w:color w:val="auto"/>
              </w:rPr>
            </w:pPr>
          </w:p>
        </w:tc>
        <w:tc>
          <w:tcPr>
            <w:tcW w:w="30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income per share - diluted</w:t>
            </w:r>
            <w:r>
              <w:rPr>
                <w:rFonts w:ascii="Times New Roman" w:cs="Times New Roman" w:eastAsia="Times New Roman" w:hAnsi="Times New Roman"/>
                <w:sz w:val="11"/>
                <w:szCs w:val="11"/>
                <w:color w:val="auto"/>
              </w:rPr>
              <w:t>(4)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47"/>
        </w:trPr>
        <w:tc>
          <w:tcPr>
            <w:tcW w:w="3760" w:type="dxa"/>
            <w:vAlign w:val="bottom"/>
            <w:gridSpan w:val="2"/>
          </w:tcPr>
          <w:p>
            <w:pPr>
              <w:jc w:val="right"/>
              <w:ind w:right="1569"/>
              <w:spacing w:after="0"/>
              <w:rPr>
                <w:sz w:val="20"/>
                <w:szCs w:val="20"/>
                <w:color w:val="auto"/>
              </w:rPr>
            </w:pPr>
            <w:r>
              <w:rPr>
                <w:rFonts w:ascii="Times New Roman" w:cs="Times New Roman" w:eastAsia="Times New Roman" w:hAnsi="Times New Roman"/>
                <w:sz w:val="18"/>
                <w:szCs w:val="18"/>
                <w:color w:val="auto"/>
              </w:rPr>
              <w:t>_______________________</w:t>
            </w: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-620395</wp:posOffset>
                </wp:positionV>
                <wp:extent cx="324040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40405" cy="4763"/>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8.8499pt" to="255.65pt,-48.8499pt" o:allowincell="f" strokecolor="#FFFFFF" strokeweight="2.845pt"/>
            </w:pict>
          </mc:Fallback>
        </mc:AlternateContent>
      </w:r>
    </w:p>
    <w:p>
      <w:pPr>
        <w:spacing w:after="0" w:line="9" w:lineRule="exact"/>
        <w:rPr>
          <w:sz w:val="20"/>
          <w:szCs w:val="20"/>
          <w:color w:val="auto"/>
        </w:rPr>
      </w:pPr>
    </w:p>
    <w:p>
      <w:pPr>
        <w:jc w:val="both"/>
        <w:ind w:left="340" w:right="20" w:hanging="334"/>
        <w:spacing w:after="0" w:line="241" w:lineRule="auto"/>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15, 2021, additional shares of IFF's common stock were issued in settlement of the SPC portion of the TEUs. For the year ended December 31, 2020, the TEUs were assumed to be outstanding at the minimum settlement amount for basic earnings per share (“EPS”). See below for additional information.</w:t>
      </w:r>
    </w:p>
    <w:p>
      <w:pPr>
        <w:spacing w:after="0" w:line="1"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 of dilutive securities includes dilution under stock plans and incremental impact of TEUs. See below for additional information.</w:t>
      </w:r>
    </w:p>
    <w:p>
      <w:pPr>
        <w:spacing w:after="0" w:line="12" w:lineRule="exact"/>
        <w:rPr>
          <w:rFonts w:ascii="Times New Roman" w:cs="Times New Roman" w:eastAsia="Times New Roman" w:hAnsi="Times New Roman"/>
          <w:sz w:val="16"/>
          <w:szCs w:val="16"/>
          <w:color w:val="auto"/>
        </w:rPr>
      </w:pPr>
    </w:p>
    <w:p>
      <w:pPr>
        <w:ind w:left="340" w:right="20" w:hanging="334"/>
        <w:spacing w:after="0" w:line="241" w:lineRule="auto"/>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years ended December 31, 2022, 2021 and 2020, the basic net (loss) income per share cannot be recalculated based on the information presented in the table above due to the effects of rounding.</w:t>
      </w:r>
    </w:p>
    <w:p>
      <w:pPr>
        <w:spacing w:after="0" w:line="1" w:lineRule="exact"/>
        <w:rPr>
          <w:rFonts w:ascii="Times New Roman" w:cs="Times New Roman" w:eastAsia="Times New Roman" w:hAnsi="Times New Roman"/>
          <w:sz w:val="17"/>
          <w:szCs w:val="17"/>
          <w:color w:val="auto"/>
        </w:rPr>
      </w:pPr>
    </w:p>
    <w:p>
      <w:pPr>
        <w:ind w:left="340" w:right="20" w:hanging="334"/>
        <w:spacing w:after="0" w:line="275" w:lineRule="auto"/>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years ended December 31, 2022 and 2020, the diluted net (loss) income per share cannot be recalculated based on the information presented in the table above due to the effects of rounding.</w:t>
      </w:r>
    </w:p>
    <w:p>
      <w:pPr>
        <w:spacing w:after="0" w:line="55" w:lineRule="exact"/>
        <w:rPr>
          <w:sz w:val="20"/>
          <w:szCs w:val="20"/>
          <w:color w:val="auto"/>
        </w:rPr>
      </w:pPr>
    </w:p>
    <w:p>
      <w:pPr>
        <w:jc w:val="both"/>
        <w:ind w:right="20" w:firstLine="328"/>
        <w:spacing w:after="0" w:line="260" w:lineRule="auto"/>
        <w:rPr>
          <w:sz w:val="20"/>
          <w:szCs w:val="20"/>
          <w:color w:val="auto"/>
        </w:rPr>
      </w:pPr>
      <w:r>
        <w:rPr>
          <w:rFonts w:ascii="Times New Roman" w:cs="Times New Roman" w:eastAsia="Times New Roman" w:hAnsi="Times New Roman"/>
          <w:sz w:val="18"/>
          <w:szCs w:val="18"/>
          <w:color w:val="auto"/>
        </w:rPr>
        <w:t>As of the effective time of the Merger, each issued and outstanding share of common stock of N&amp;B (except for shares of common stock of N&amp;B held by N&amp;B as treasury stock or by DuPont, which were canceled and ceased to exist and no consideration was delivered in exchange therefor) was converted into the right to receive one share of common stock of IFF. The Merger was completed in exchange for 141,740,461 shares of IFF common stock, par value $0.125 per share (or cash payment in lieu of fractional shares), which had been approved in the special shareholder meeting that occurred on August 27, 2020 where IFF shareholders voted to approve the issuance of shares of IFF common stock in connection with the N&amp;B Transaction, pursuant to the Merger Agreement. The shares issued in the Merger represented approximately 55.4% of the common stock of IFF on a fully diluted basis, after giving effect to the Merger, as of February 1, 2021.</w:t>
      </w:r>
    </w:p>
    <w:p>
      <w:pPr>
        <w:spacing w:after="0" w:line="66" w:lineRule="exact"/>
        <w:rPr>
          <w:sz w:val="20"/>
          <w:szCs w:val="20"/>
          <w:color w:val="auto"/>
        </w:rPr>
      </w:pPr>
    </w:p>
    <w:p>
      <w:pPr>
        <w:jc w:val="both"/>
        <w:ind w:right="20" w:firstLine="328"/>
        <w:spacing w:after="0" w:line="260" w:lineRule="auto"/>
        <w:rPr>
          <w:sz w:val="20"/>
          <w:szCs w:val="20"/>
          <w:color w:val="auto"/>
        </w:rPr>
      </w:pPr>
      <w:r>
        <w:rPr>
          <w:rFonts w:ascii="Times New Roman" w:cs="Times New Roman" w:eastAsia="Times New Roman" w:hAnsi="Times New Roman"/>
          <w:sz w:val="18"/>
          <w:szCs w:val="18"/>
          <w:color w:val="auto"/>
        </w:rPr>
        <w:t>The Company issued 16,500,000 TEUs, consisting of a prepaid SPC and a senior amortizing note, for net proceeds of approximately $800 million on September 17, 2018. On September 14, 2021, the Company notified holders of the TEUs that the final settlement rate in respect of each SPC was 0.330911 shares of IFF’s common stock. On September 15, 2021, 5,460,031 shares of IFF's common stock were issued in settlement of the SPCs. The SPC conversion factor is based on the VWAP per share of the Company’s common stock. For purposes of calculating basic net income per share, the settlement rate of 0.330911 shares per SPC, the final settlement rate, was used on December 31, 2021 and 0.313400 shares per SPC was used on December 31, 2020. For purposes of calculating diluted earnings per share, the settlement rate of 0.330911 shares per SPC, the final settlement rate, was used on December 31, 2021 and 0.383900 shares per SPC was used on December 31, 2020.</w:t>
      </w:r>
    </w:p>
    <w:p>
      <w:pPr>
        <w:spacing w:after="0" w:line="66" w:lineRule="exact"/>
        <w:rPr>
          <w:sz w:val="20"/>
          <w:szCs w:val="20"/>
          <w:color w:val="auto"/>
        </w:rPr>
      </w:pPr>
    </w:p>
    <w:p>
      <w:pPr>
        <w:jc w:val="both"/>
        <w:ind w:right="20" w:firstLine="328"/>
        <w:spacing w:after="0" w:line="259" w:lineRule="auto"/>
        <w:rPr>
          <w:sz w:val="20"/>
          <w:szCs w:val="20"/>
          <w:color w:val="auto"/>
        </w:rPr>
      </w:pPr>
      <w:r>
        <w:rPr>
          <w:rFonts w:ascii="Times New Roman" w:cs="Times New Roman" w:eastAsia="Times New Roman" w:hAnsi="Times New Roman"/>
          <w:sz w:val="18"/>
          <w:szCs w:val="18"/>
          <w:color w:val="auto"/>
        </w:rPr>
        <w:t>The Company has issued shares of Purchased Restricted Stock Units (“PRSUs”) which contain non-forfeitable rights to dividends and thus are considered participating securities which are required to be included in the computation of basic and diluted earnings per share pursuant to the two-class method. The two-class method was not presented since there was no difference between basic net (loss) income per share for both common shareholders and PRSU holders as of December 31, 2022, 2021 and 2020, and there was no difference between diluted net loss per share for both common shareholders and PRSU holders as of December 31, 2022. The difference between diluted net income per share for both common shareholders and PRSU holders was less than $0.01 and $0.04 per share as of December 31, 2021 and 2020. In addition, for each year, the number of PRSUs outstanding as of December 31, 2022, 2021 and 2020 was immaterial. Net loss allocated to such PRSUs during 2022 was not material and net income allocated to such PRSUs during 2021 and 2020 was not material.</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880" w:h="15480" w:orient="portrait"/>
          <w:cols w:equalWidth="0" w:num="1">
            <w:col w:w="9380"/>
          </w:cols>
          <w:pgMar w:left="1260" w:top="1252" w:right="1240" w:bottom="254" w:gutter="0" w:footer="0" w:header="0"/>
        </w:sectPr>
      </w:pPr>
    </w:p>
    <w:bookmarkStart w:id="92" w:name="page93"/>
    <w:bookmarkEnd w:id="92"/>
    <w:p>
      <w:pPr>
        <w:jc w:val="both"/>
        <w:ind w:left="40" w:firstLine="329"/>
        <w:spacing w:after="0" w:line="276" w:lineRule="auto"/>
        <w:rPr>
          <w:sz w:val="20"/>
          <w:szCs w:val="20"/>
          <w:color w:val="auto"/>
        </w:rPr>
      </w:pPr>
      <w:r>
        <w:rPr>
          <w:rFonts w:ascii="Times New Roman" w:cs="Times New Roman" w:eastAsia="Times New Roman" w:hAnsi="Times New Roman"/>
          <w:sz w:val="18"/>
          <w:szCs w:val="18"/>
          <w:color w:val="auto"/>
        </w:rPr>
        <w:t>There were approximately 0.3 million potentially dilutive securities excluded from the computation of diluted net loss per share for the year ended December 31, 2022 because there was a net loss attributable to IFF for the period and, as such, the inclusion of these securities would have been anti-dilutive.</w:t>
      </w:r>
    </w:p>
    <w:p>
      <w:pPr>
        <w:spacing w:after="0" w:line="52"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For the year ended December 31, 2022, there were approximately 0.3 million share equivalents that had an anti-dilutive effect and therefore were excluded from the computation of diluted net loss per share. There were no share equivalents excluded from the computation of diluted net income per share for the years ended December 31, 2021 and 2020.</w:t>
      </w:r>
    </w:p>
    <w:p>
      <w:pPr>
        <w:spacing w:after="0" w:line="158"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12.</w:t>
        <w:tab/>
        <w:t>SHAREHOLDERS’ EQUITY</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4"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Cash dividends declared per share were $3.20, $3.12 and $3.04 for the years ended December 31, 2022, 2021 and 2020, respectively. The Consolidated Balance Sheets reflect $206 million of dividends payable at December 31, 2022. This amount relates to a cash dividend of $0.81 per share declared in December 2022 and paid in January 2023. Dividends declared, but not paid as of December 31, 2021 and December 31, 2020 were $201 million ($0.79 per share) and $82 million ($0.77 per share), respectively.</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4"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$56 million available under the amended repurchase program as of October 31, 2017, the Board of Directors re-approved on November 1, 2017 a $250 million share repurchase authorization and extension for a total value of $300 million available under the program.</w:t>
      </w:r>
    </w:p>
    <w:p>
      <w:pPr>
        <w:spacing w:after="0" w:line="61"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As of May 7, 2018, the Company has suspended its share repurchases. On November 1, 2022, the share repurchase program expired.</w:t>
      </w:r>
    </w:p>
    <w:p>
      <w:pPr>
        <w:spacing w:after="0" w:line="193"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13.</w:t>
        <w:tab/>
        <w:t>STOCK COMPENSATION PLANS</w:t>
      </w:r>
    </w:p>
    <w:p>
      <w:pPr>
        <w:spacing w:after="0" w:line="124"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 Company has various equity plans under which its officers, senior management, other key employees and Board of Directors may be granted options to purchase IFF common stock or other forms of stock-based awards.</w:t>
      </w:r>
    </w:p>
    <w:p>
      <w:pPr>
        <w:spacing w:after="0" w:line="30"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cost of all employee stock-based awards are principally recognized on a straight-line attribution basis over their respective vesting periods, net of estimated forfeitures. Total stock-based compensation expense included in the Consolidated Statements of (Loss) Income and Comprehensive (Loss) Income was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199"/>
        </w:trPr>
        <w:tc>
          <w:tcPr>
            <w:tcW w:w="4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80" w:type="dxa"/>
            <w:vAlign w:val="bottom"/>
          </w:tcPr>
          <w:p>
            <w:pPr>
              <w:spacing w:after="0"/>
              <w:rPr>
                <w:sz w:val="17"/>
                <w:szCs w:val="17"/>
                <w:color w:val="auto"/>
              </w:rPr>
            </w:pPr>
          </w:p>
        </w:tc>
        <w:tc>
          <w:tcPr>
            <w:tcW w:w="900" w:type="dxa"/>
            <w:vAlign w:val="bottom"/>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2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2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398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5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Equity-based awards</w:t>
            </w: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93"/>
        </w:trPr>
        <w:tc>
          <w:tcPr>
            <w:tcW w:w="40" w:type="dxa"/>
            <w:vAlign w:val="bottom"/>
            <w:tcBorders>
              <w:bottom w:val="single" w:sz="8" w:color="DDDDDD"/>
            </w:tcBorders>
          </w:tcPr>
          <w:p>
            <w:pPr>
              <w:spacing w:after="0"/>
              <w:rPr>
                <w:sz w:val="24"/>
                <w:szCs w:val="24"/>
                <w:color w:val="auto"/>
              </w:rPr>
            </w:pPr>
          </w:p>
        </w:tc>
        <w:tc>
          <w:tcPr>
            <w:tcW w:w="558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Liability-based awards</w:t>
            </w: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40" w:type="dxa"/>
            <w:vAlign w:val="bottom"/>
            <w:shd w:val="clear" w:color="auto" w:fill="DDDDDD"/>
          </w:tcPr>
          <w:p>
            <w:pPr>
              <w:spacing w:after="0"/>
              <w:rPr>
                <w:sz w:val="20"/>
                <w:szCs w:val="20"/>
                <w:color w:val="auto"/>
              </w:rPr>
            </w:pPr>
          </w:p>
        </w:tc>
        <w:tc>
          <w:tcPr>
            <w:tcW w:w="5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80" w:type="dxa"/>
            <w:vAlign w:val="bottom"/>
            <w:shd w:val="clear" w:color="auto" w:fill="DDDDDD"/>
          </w:tcPr>
          <w:p>
            <w:pPr>
              <w:spacing w:after="0"/>
              <w:rPr>
                <w:sz w:val="20"/>
                <w:szCs w:val="20"/>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3"/>
        </w:trPr>
        <w:tc>
          <w:tcPr>
            <w:tcW w:w="40" w:type="dxa"/>
            <w:vAlign w:val="bottom"/>
            <w:tcBorders>
              <w:bottom w:val="single" w:sz="8" w:color="DDDDDD"/>
            </w:tcBorders>
          </w:tcPr>
          <w:p>
            <w:pPr>
              <w:spacing w:after="0"/>
              <w:rPr>
                <w:sz w:val="23"/>
                <w:szCs w:val="23"/>
                <w:color w:val="auto"/>
              </w:rPr>
            </w:pPr>
          </w:p>
        </w:tc>
        <w:tc>
          <w:tcPr>
            <w:tcW w:w="56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Less tax benefit</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6"/>
        </w:trPr>
        <w:tc>
          <w:tcPr>
            <w:tcW w:w="40" w:type="dxa"/>
            <w:vAlign w:val="bottom"/>
            <w:shd w:val="clear" w:color="auto" w:fill="DDDDDD"/>
          </w:tcPr>
          <w:p>
            <w:pPr>
              <w:spacing w:after="0"/>
              <w:rPr>
                <w:sz w:val="22"/>
                <w:szCs w:val="22"/>
                <w:color w:val="auto"/>
              </w:rPr>
            </w:pPr>
          </w:p>
        </w:tc>
        <w:tc>
          <w:tcPr>
            <w:tcW w:w="5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stock-based compensation, net of tax</w:t>
            </w: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shareholders of the Company approved the Company’s 2021 Stock Award and Incentive Plan (the “2021 Plan”) on May 5, 2021. The 2021 Plan replaced the Company’s 2015 Stock Award and Incentive Plan (the “2015 Plan”) and the Company's 2010 Stock Award and Incentive Plan (the “2010 Plan”), and provides the source for future deferrals of cash into deferred stock under the Company’s Deferred Compensation Plan (with the Deferred Compensation Plan being deemed a subplan under the 2010 Plan for the sole purpose of funding deferrals under the IFF Share Fund).</w:t>
      </w:r>
    </w:p>
    <w:p>
      <w:pPr>
        <w:spacing w:after="0" w:line="61"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Under the 2021 Plan, a total of 2,290,000 shares were authorized for issuance. At December 31, 2022, 1,403,092 shares were subject to outstanding awards and 1,777,205 shares remained available for future awards under all of the Company’s equity award plans, including the 2015 Plan and 2010 Plan (excluding shares not yet issued under open cycles of the Company’s Long-Term Incentive Plan).</w:t>
      </w:r>
    </w:p>
    <w:p>
      <w:pPr>
        <w:spacing w:after="0" w:line="57"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 Company offers a Long-Term Incentive Plan (“LTIP”) for senior management. The targeted payout is principally 50% cash and 50% IFF common stock at the end of the three-year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86</w:t>
      </w:r>
    </w:p>
    <w:p>
      <w:pPr>
        <w:sectPr>
          <w:pgSz w:w="11880" w:h="15480" w:orient="portrait"/>
          <w:cols w:equalWidth="0" w:num="1">
            <w:col w:w="9400"/>
          </w:cols>
          <w:pgMar w:left="1220" w:top="1255" w:right="1260" w:bottom="254" w:gutter="0" w:footer="0" w:header="0"/>
        </w:sectPr>
      </w:pPr>
    </w:p>
    <w:bookmarkStart w:id="93" w:name="page94"/>
    <w:bookmarkEnd w:id="93"/>
    <w:p>
      <w:pPr>
        <w:jc w:val="both"/>
        <w:ind w:left="40" w:firstLine="329"/>
        <w:spacing w:after="0" w:line="261" w:lineRule="auto"/>
        <w:rPr>
          <w:sz w:val="20"/>
          <w:szCs w:val="20"/>
          <w:color w:val="auto"/>
        </w:rPr>
      </w:pPr>
      <w:r>
        <w:rPr>
          <w:rFonts w:ascii="Times New Roman" w:cs="Times New Roman" w:eastAsia="Times New Roman" w:hAnsi="Times New Roman"/>
          <w:sz w:val="18"/>
          <w:szCs w:val="18"/>
          <w:color w:val="auto"/>
        </w:rPr>
        <w:t>For the 2020-2022 cycle, the LTIP awards are earned based on the achievement of: (i) an annual Leverage Ratio for 2020 (representing one-sixth of the award value), (ii) a 2-year cumulative Leverage Ratio for 2021-2022 (representing one-third of the award value) and (iii) Relative TSR targets (representing one-half of the award value). For the 2021-2023 cycle, the LTIP awards are earned based on the achievement of: (i) an annual Leverage Ratio for 2021, 2022 and 2023 (representing one-half of the award value) and (ii) Relative TSR targets (representing one-half of the award value). For the 2022-2024 cycle, the LTIP awards are earned based on the achievement of: (i) 3 -year cumulative Return on Invested Capital (“ROIC”) (representing one-half of the award value) and (ii) Relative TSR targets (representing one-half of the award value).</w:t>
      </w:r>
    </w:p>
    <w:p>
      <w:pPr>
        <w:spacing w:after="0" w:line="65"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Leverage Ratio measures Net debt as compared to a measure profitability. The ROIC measures adjusted net operating profit after tax against average invested capital. When the award is granted, 50% of the target dollar value of the award is converted to a number of “notional” shares based on the closing price at the beginning of the cycle. For those shares whose payout is based on Relative TSR, compensation expense is recognized using a graded-vesting attribution method, while compensation expense for the remainder of the performance shares (Leverage Ratio or ROIC targets for the applicable cycle) is recognized on a straight-line basis over the vesting period based on the probable outcome of the performance condition.</w:t>
      </w:r>
    </w:p>
    <w:p>
      <w:pPr>
        <w:spacing w:after="0" w:line="66"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2018-2020 cycle concluded at the end of 2020 and an aggregate 7,484 shares of common stock were issued in March 2021. The 2019-2021 cycle concluded at the end of 2021 and no shares of common stock were issued in March 2022. The 2020-2022 cycle concluded at the end of 2022 and no shares of common stock will be issued in March 2023.</w:t>
      </w:r>
    </w:p>
    <w:p>
      <w:pPr>
        <w:spacing w:after="0" w:line="52"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In 2006, the Board of Directors approved the Equity Choice Program (the “Program”) for senior management. This program continues under the 2015 Plan. Eligible employees can choose from among three equity alternatives and will be granted such equity awards up to certain dollar awards depending on the participant’s employment grade level. A participant may choose among (1) Stock-Settled Appreciation Rights (“SSARs”), (2) Restricted Stock Units (“RSUs”) or (3) PRSUs.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Transaction with Nutrition and Biosciences, Inc.</w:t>
      </w:r>
    </w:p>
    <w:p>
      <w:pPr>
        <w:spacing w:after="0" w:line="124" w:lineRule="exact"/>
        <w:rPr>
          <w:sz w:val="20"/>
          <w:szCs w:val="20"/>
          <w:color w:val="auto"/>
        </w:rPr>
      </w:pPr>
    </w:p>
    <w:p>
      <w:pPr>
        <w:jc w:val="both"/>
        <w:ind w:left="40" w:firstLine="328"/>
        <w:spacing w:after="0" w:line="272" w:lineRule="auto"/>
        <w:rPr>
          <w:sz w:val="20"/>
          <w:szCs w:val="20"/>
          <w:color w:val="auto"/>
        </w:rPr>
      </w:pPr>
      <w:r>
        <w:rPr>
          <w:rFonts w:ascii="Times New Roman" w:cs="Times New Roman" w:eastAsia="Times New Roman" w:hAnsi="Times New Roman"/>
          <w:sz w:val="18"/>
          <w:szCs w:val="18"/>
          <w:color w:val="auto"/>
        </w:rPr>
        <w:t>In connection with the Merger, N&amp;B employees’ outstanding (unvested and/or vested and unexercised) equity awards were converted into equity awards denominated in shares of the Company’s common stock based on a defined exchange ratio. N&amp;B employees’ equity awards were converted into 335,347 IFF stock options, 258,572 IFF RSU awards and 5,816 IFF SAR awards.</w:t>
      </w:r>
    </w:p>
    <w:p>
      <w:pPr>
        <w:spacing w:after="0" w:line="281"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For converted RSU awards, the fair value of the equity award is based on the Closing Date market price of IFF stock. For converted stock options and SAR awards, the exercise price per share of the converted award is equal to the exercise price per share of the N&amp;B award immediately prior to the Merger divided by the exchange ratio. The fair value of the IFF stock options and SAR awards that the Company issued in connection with the Merger was estimated using the Black Scholes model.</w:t>
      </w:r>
    </w:p>
    <w:p>
      <w:pPr>
        <w:spacing w:after="0" w:line="57"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converted awards were generally issued with the same terms and conditions as were applicable prior to the Transaction. At the Closing Date, approximately $25 million of the fair value of the replacement awards granted to N&amp;B employees was attributable to pre-combination service and was included in the purchase price. As of December 31, 2022, post-combination expense of approximately $11 million is expected to be recognized related to the replacement awards over the remaining post-combination service period, approximately up to three years.</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SSARs and Options</w:t>
      </w:r>
    </w:p>
    <w:p>
      <w:pPr>
        <w:spacing w:after="0" w:line="124"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SSARs are a contractual right to receive the value, in shares of Company stock, of the appreciation in our stock price from the grant date to the date the SSARs are exercised by the participant. SSARs granted become exercisable on the third anniversary of the grant date and have a maximum term of seven years. SSARs do not require a financial investment by the SSARs grantee. Stock options require the participant to pay the exercise price at the time they exercise their stock options. No stock options were granted in 2022, 2021 or 2020.</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40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SSARs and options activity was as follows:</w:t>
            </w:r>
          </w:p>
        </w:tc>
        <w:tc>
          <w:tcPr>
            <w:tcW w:w="6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Shares Subject to</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SSARs/</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8"/>
                <w:szCs w:val="18"/>
                <w:b w:val="1"/>
                <w:bCs w:val="1"/>
                <w:color w:val="auto"/>
              </w:rPr>
              <w:t>Average Exercise</w:t>
            </w:r>
          </w:p>
        </w:tc>
        <w:tc>
          <w:tcPr>
            <w:tcW w:w="60" w:type="dxa"/>
            <w:vAlign w:val="bottom"/>
          </w:tcPr>
          <w:p>
            <w:pPr>
              <w:spacing w:after="0"/>
              <w:rPr>
                <w:sz w:val="15"/>
                <w:szCs w:val="15"/>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Options</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660" w:type="dxa"/>
            <w:vAlign w:val="bottom"/>
          </w:tcPr>
          <w:p>
            <w:pPr>
              <w:spacing w:after="0"/>
              <w:rPr>
                <w:sz w:val="15"/>
                <w:szCs w:val="15"/>
                <w:color w:val="auto"/>
              </w:rPr>
            </w:pPr>
          </w:p>
        </w:tc>
        <w:tc>
          <w:tcPr>
            <w:tcW w:w="1480" w:type="dxa"/>
            <w:vAlign w:val="bottom"/>
          </w:tcPr>
          <w:p>
            <w:pPr>
              <w:jc w:val="right"/>
              <w:ind w:right="48"/>
              <w:spacing w:after="0" w:line="184" w:lineRule="exact"/>
              <w:rPr>
                <w:sz w:val="20"/>
                <w:szCs w:val="20"/>
                <w:color w:val="auto"/>
              </w:rPr>
            </w:pPr>
            <w:r>
              <w:rPr>
                <w:rFonts w:ascii="Times New Roman" w:cs="Times New Roman" w:eastAsia="Times New Roman" w:hAnsi="Times New Roman"/>
                <w:sz w:val="18"/>
                <w:szCs w:val="18"/>
                <w:b w:val="1"/>
                <w:bCs w:val="1"/>
                <w:color w:val="auto"/>
              </w:rPr>
              <w:t>SSARs/Options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448"/>
              <w:spacing w:after="0" w:line="184" w:lineRule="exact"/>
              <w:rPr>
                <w:sz w:val="20"/>
                <w:szCs w:val="20"/>
                <w:color w:val="auto"/>
              </w:rPr>
            </w:pPr>
            <w:r>
              <w:rPr>
                <w:rFonts w:ascii="Times New Roman" w:cs="Times New Roman" w:eastAsia="Times New Roman" w:hAnsi="Times New Roman"/>
                <w:sz w:val="18"/>
                <w:szCs w:val="18"/>
                <w:b w:val="1"/>
                <w:bCs w:val="1"/>
                <w:color w:val="auto"/>
              </w:rPr>
              <w:t>Price</w:t>
            </w:r>
          </w:p>
        </w:tc>
        <w:tc>
          <w:tcPr>
            <w:tcW w:w="60" w:type="dxa"/>
            <w:vAlign w:val="bottom"/>
          </w:tcPr>
          <w:p>
            <w:pPr>
              <w:spacing w:after="0"/>
              <w:rPr>
                <w:sz w:val="15"/>
                <w:szCs w:val="15"/>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Exercisable</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300" w:type="dxa"/>
            <w:vAlign w:val="bottom"/>
            <w:tcBorders>
              <w:top w:val="single" w:sz="8" w:color="auto"/>
              <w:bottom w:val="single" w:sz="8" w:color="DDDDDD"/>
            </w:tcBorders>
          </w:tcPr>
          <w:p>
            <w:pPr>
              <w:spacing w:after="0" w:line="20" w:lineRule="exact"/>
              <w:rPr>
                <w:sz w:val="1"/>
                <w:szCs w:val="1"/>
                <w:color w:val="auto"/>
              </w:rPr>
            </w:pPr>
          </w:p>
        </w:tc>
        <w:tc>
          <w:tcPr>
            <w:tcW w:w="1760" w:type="dxa"/>
            <w:vAlign w:val="bottom"/>
            <w:tcBorders>
              <w:bottom w:val="single" w:sz="8" w:color="DDDDDD"/>
            </w:tcBorders>
          </w:tcPr>
          <w:p>
            <w:pPr>
              <w:spacing w:after="0" w:line="20" w:lineRule="exact"/>
              <w:rPr>
                <w:sz w:val="1"/>
                <w:szCs w:val="1"/>
                <w:color w:val="auto"/>
              </w:rPr>
            </w:pPr>
          </w:p>
        </w:tc>
        <w:tc>
          <w:tcPr>
            <w:tcW w:w="660" w:type="dxa"/>
            <w:vAlign w:val="bottom"/>
            <w:tcBorders>
              <w:bottom w:val="single" w:sz="8" w:color="DDDDDD"/>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40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660" w:type="dxa"/>
            <w:vAlign w:val="bottom"/>
            <w:shd w:val="clear" w:color="auto" w:fill="DDDDDD"/>
          </w:tcPr>
          <w:p>
            <w:pPr>
              <w:spacing w:after="0"/>
              <w:rPr>
                <w:sz w:val="21"/>
                <w:szCs w:val="21"/>
                <w:color w:val="auto"/>
              </w:rPr>
            </w:pP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60" w:type="dxa"/>
            <w:vAlign w:val="bottom"/>
            <w:shd w:val="clear" w:color="auto" w:fill="DDDDDD"/>
          </w:tcPr>
          <w:p>
            <w:pPr>
              <w:spacing w:after="0"/>
              <w:rPr>
                <w:sz w:val="21"/>
                <w:szCs w:val="21"/>
                <w:color w:val="auto"/>
              </w:rPr>
            </w:pP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406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660" w:type="dxa"/>
            <w:vAlign w:val="bottom"/>
            <w:shd w:val="clear" w:color="auto" w:fill="DDDDDD"/>
          </w:tcPr>
          <w:p>
            <w:pPr>
              <w:spacing w:after="0"/>
              <w:rPr>
                <w:sz w:val="23"/>
                <w:szCs w:val="23"/>
                <w:color w:val="auto"/>
              </w:rPr>
            </w:pP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60" w:type="dxa"/>
            <w:vAlign w:val="bottom"/>
            <w:shd w:val="clear" w:color="auto" w:fill="DDDDDD"/>
          </w:tcPr>
          <w:p>
            <w:pPr>
              <w:spacing w:after="0"/>
              <w:rPr>
                <w:sz w:val="23"/>
                <w:szCs w:val="23"/>
                <w:color w:val="auto"/>
              </w:rPr>
            </w:pPr>
          </w:p>
        </w:tc>
        <w:tc>
          <w:tcPr>
            <w:tcW w:w="148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0" w:type="dxa"/>
            <w:vAlign w:val="bottom"/>
            <w:tcBorders>
              <w:top w:val="single" w:sz="8" w:color="DDDDDD"/>
            </w:tcBorders>
            <w:shd w:val="clear" w:color="auto" w:fill="DDDDDD"/>
          </w:tcPr>
          <w:p>
            <w:pPr>
              <w:spacing w:after="0"/>
              <w:rPr>
                <w:sz w:val="22"/>
                <w:szCs w:val="22"/>
                <w:color w:val="auto"/>
              </w:rPr>
            </w:pPr>
          </w:p>
        </w:tc>
        <w:tc>
          <w:tcPr>
            <w:tcW w:w="406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660" w:type="dxa"/>
            <w:vAlign w:val="bottom"/>
            <w:tcBorders>
              <w:top w:val="single" w:sz="8" w:color="DDDDDD"/>
            </w:tcBorders>
            <w:shd w:val="clear" w:color="auto" w:fill="DDDDDD"/>
          </w:tcPr>
          <w:p>
            <w:pPr>
              <w:spacing w:after="0"/>
              <w:rPr>
                <w:sz w:val="22"/>
                <w:szCs w:val="22"/>
                <w:color w:val="auto"/>
              </w:rPr>
            </w:pPr>
          </w:p>
        </w:tc>
        <w:tc>
          <w:tcPr>
            <w:tcW w:w="14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tcBorders>
              <w:top w:val="single" w:sz="8" w:color="DDDDDD"/>
            </w:tcBorders>
            <w:shd w:val="clear" w:color="auto" w:fill="DDDDDD"/>
          </w:tcPr>
          <w:p>
            <w:pPr>
              <w:spacing w:after="0"/>
              <w:rPr>
                <w:sz w:val="22"/>
                <w:szCs w:val="22"/>
                <w:color w:val="auto"/>
              </w:rPr>
            </w:pPr>
          </w:p>
        </w:tc>
        <w:tc>
          <w:tcPr>
            <w:tcW w:w="260" w:type="dxa"/>
            <w:vAlign w:val="bottom"/>
            <w:tcBorders>
              <w:top w:val="single" w:sz="8" w:color="auto"/>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60" w:type="dxa"/>
            <w:vAlign w:val="bottom"/>
            <w:tcBorders>
              <w:top w:val="single" w:sz="8" w:color="DDDDDD"/>
            </w:tcBorders>
            <w:shd w:val="clear" w:color="auto" w:fill="DDDDDD"/>
          </w:tcPr>
          <w:p>
            <w:pPr>
              <w:spacing w:after="0"/>
              <w:rPr>
                <w:sz w:val="22"/>
                <w:szCs w:val="22"/>
                <w:color w:val="auto"/>
              </w:rPr>
            </w:pPr>
          </w:p>
        </w:tc>
        <w:tc>
          <w:tcPr>
            <w:tcW w:w="14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060" w:type="dxa"/>
            <w:vAlign w:val="bottom"/>
            <w:gridSpan w:val="2"/>
          </w:tcPr>
          <w:p>
            <w:pPr>
              <w:spacing w:after="0"/>
              <w:rPr>
                <w:sz w:val="18"/>
                <w:szCs w:val="18"/>
                <w:color w:val="auto"/>
              </w:rPr>
            </w:pPr>
          </w:p>
        </w:tc>
        <w:tc>
          <w:tcPr>
            <w:tcW w:w="21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DDDDDD"/>
          </w:tcPr>
          <w:p>
            <w:pPr>
              <w:spacing w:after="0"/>
              <w:rPr>
                <w:sz w:val="23"/>
                <w:szCs w:val="23"/>
                <w:color w:val="auto"/>
              </w:rPr>
            </w:pPr>
          </w:p>
        </w:tc>
        <w:tc>
          <w:tcPr>
            <w:tcW w:w="40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Expected to Vest at December 31, 2022</w:t>
            </w:r>
          </w:p>
        </w:tc>
        <w:tc>
          <w:tcPr>
            <w:tcW w:w="660" w:type="dxa"/>
            <w:vAlign w:val="bottom"/>
            <w:shd w:val="clear" w:color="auto" w:fill="DDDDDD"/>
          </w:tcPr>
          <w:p>
            <w:pPr>
              <w:spacing w:after="0"/>
              <w:rPr>
                <w:sz w:val="23"/>
                <w:szCs w:val="23"/>
                <w:color w:val="auto"/>
              </w:rPr>
            </w:pPr>
          </w:p>
        </w:tc>
        <w:tc>
          <w:tcPr>
            <w:tcW w:w="14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60" w:type="dxa"/>
            <w:vAlign w:val="bottom"/>
            <w:shd w:val="clear" w:color="auto" w:fill="DDDDDD"/>
          </w:tcPr>
          <w:p>
            <w:pPr>
              <w:spacing w:after="0"/>
              <w:rPr>
                <w:sz w:val="23"/>
                <w:szCs w:val="23"/>
                <w:color w:val="auto"/>
              </w:rPr>
            </w:pPr>
          </w:p>
        </w:tc>
        <w:tc>
          <w:tcPr>
            <w:tcW w:w="148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804"/>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40" w:type="dxa"/>
            <w:vAlign w:val="bottom"/>
            <w:gridSpan w:val="2"/>
          </w:tcPr>
          <w:p>
            <w:pPr>
              <w:jc w:val="right"/>
              <w:ind w:right="1308"/>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400"/>
          </w:cols>
          <w:pgMar w:left="1220" w:top="1255" w:right="1260" w:bottom="213" w:gutter="0" w:footer="0" w:header="0"/>
        </w:sectPr>
      </w:pPr>
    </w:p>
    <w:bookmarkStart w:id="94" w:name="page95"/>
    <w:bookmarkEnd w:id="94"/>
    <w:p>
      <w:pPr>
        <w:ind w:left="40" w:firstLine="328"/>
        <w:spacing w:after="0" w:line="300" w:lineRule="auto"/>
        <w:rPr>
          <w:sz w:val="20"/>
          <w:szCs w:val="20"/>
          <w:color w:val="auto"/>
        </w:rPr>
      </w:pPr>
      <w:r>
        <w:rPr>
          <w:rFonts w:ascii="Times New Roman" w:cs="Times New Roman" w:eastAsia="Times New Roman" w:hAnsi="Times New Roman"/>
          <w:sz w:val="18"/>
          <w:szCs w:val="18"/>
          <w:color w:val="auto"/>
        </w:rPr>
        <w:t>The weighted average exercise price of SSARs and options exercisable at December 31, 2022, 2021 and 2020 were $109.50, $109.77 and $118.10, respectively.</w:t>
      </w:r>
    </w:p>
    <w:p>
      <w:pPr>
        <w:sectPr>
          <w:pgSz w:w="11880" w:h="15480" w:orient="portrait"/>
          <w:cols w:equalWidth="0" w:num="1">
            <w:col w:w="9400"/>
          </w:cols>
          <w:pgMar w:left="1220" w:top="1255" w:right="1260" w:bottom="254" w:gutter="0" w:footer="0" w:header="0"/>
        </w:sectPr>
      </w:pP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SSARs and options outstanding at December 31, 2022 was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Remaining</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15"/>
                <w:szCs w:val="15"/>
                <w:color w:val="auto"/>
              </w:rPr>
            </w:pP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Contractual Life</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2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6"/>
                <w:szCs w:val="16"/>
                <w:color w:val="auto"/>
              </w:rPr>
            </w:pPr>
          </w:p>
        </w:tc>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(in years)</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760" w:type="dxa"/>
            <w:vAlign w:val="bottom"/>
            <w:tcBorders>
              <w:bottom w:val="single" w:sz="8" w:color="DDDDDD"/>
            </w:tcBorders>
          </w:tcPr>
          <w:p>
            <w:pPr>
              <w:spacing w:after="0"/>
              <w:rPr>
                <w:sz w:val="2"/>
                <w:szCs w:val="2"/>
                <w:color w:val="auto"/>
              </w:rPr>
            </w:pPr>
          </w:p>
        </w:tc>
        <w:tc>
          <w:tcPr>
            <w:tcW w:w="2200" w:type="dxa"/>
            <w:vAlign w:val="bottom"/>
            <w:tcBorders>
              <w:bottom w:val="single" w:sz="8" w:color="DDDDDD"/>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7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Over $65</w:t>
            </w:r>
          </w:p>
        </w:tc>
        <w:tc>
          <w:tcPr>
            <w:tcW w:w="2200" w:type="dxa"/>
            <w:vAlign w:val="bottom"/>
            <w:shd w:val="clear" w:color="auto" w:fill="DDDDDD"/>
          </w:tcPr>
          <w:p>
            <w:pPr>
              <w:spacing w:after="0"/>
              <w:rPr>
                <w:sz w:val="21"/>
                <w:szCs w:val="21"/>
                <w:color w:val="auto"/>
              </w:rPr>
            </w:pPr>
          </w:p>
        </w:tc>
        <w:tc>
          <w:tcPr>
            <w:tcW w:w="1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DDDDDD"/>
          </w:tcPr>
          <w:p>
            <w:pPr>
              <w:spacing w:after="0"/>
              <w:rPr>
                <w:sz w:val="21"/>
                <w:szCs w:val="21"/>
                <w:color w:val="auto"/>
              </w:rPr>
            </w:pPr>
          </w:p>
        </w:tc>
        <w:tc>
          <w:tcPr>
            <w:tcW w:w="1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SSARs and options exercisable as of December 31, 2022 was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68"/>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184"/>
        </w:trPr>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right="68"/>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right="68"/>
              <w:spacing w:after="0" w:line="184" w:lineRule="exact"/>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87"/>
        </w:trPr>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9"/>
        </w:trPr>
        <w:tc>
          <w:tcPr>
            <w:tcW w:w="6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6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388" w:lineRule="exact"/>
        <w:rPr>
          <w:sz w:val="20"/>
          <w:szCs w:val="20"/>
          <w:color w:val="auto"/>
        </w:rPr>
      </w:pPr>
    </w:p>
    <w:p>
      <w:pPr>
        <w:sectPr>
          <w:pgSz w:w="11880" w:h="15480" w:orient="portrait"/>
          <w:cols w:equalWidth="0" w:num="2">
            <w:col w:w="6140" w:space="0"/>
            <w:col w:w="3260"/>
          </w:cols>
          <w:pgMar w:left="1220" w:top="1255" w:right="1260" w:bottom="254"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center"/>
              <w:ind w:right="68"/>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Remaining</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Exercisable</w:t>
            </w:r>
          </w:p>
        </w:tc>
        <w:tc>
          <w:tcPr>
            <w:tcW w:w="80" w:type="dxa"/>
            <w:vAlign w:val="bottom"/>
          </w:tcPr>
          <w:p>
            <w:pPr>
              <w:spacing w:after="0"/>
              <w:rPr>
                <w:sz w:val="15"/>
                <w:szCs w:val="15"/>
                <w:color w:val="auto"/>
              </w:rPr>
            </w:pPr>
          </w:p>
        </w:tc>
        <w:tc>
          <w:tcPr>
            <w:tcW w:w="15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Contractual Life</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center"/>
              <w:ind w:right="108"/>
              <w:spacing w:after="0" w:line="18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center"/>
              <w:ind w:right="68"/>
              <w:spacing w:after="0" w:line="184"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200" w:type="dxa"/>
            <w:vAlign w:val="bottom"/>
          </w:tcPr>
          <w:p>
            <w:pPr>
              <w:spacing w:after="0"/>
              <w:rPr>
                <w:sz w:val="16"/>
                <w:szCs w:val="16"/>
                <w:color w:val="auto"/>
              </w:rPr>
            </w:pPr>
          </w:p>
        </w:tc>
        <w:tc>
          <w:tcPr>
            <w:tcW w:w="152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6"/>
                <w:szCs w:val="16"/>
                <w:color w:val="auto"/>
              </w:rPr>
            </w:pPr>
          </w:p>
        </w:tc>
        <w:tc>
          <w:tcPr>
            <w:tcW w:w="156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rPr>
              <w:t>(in years)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88"/>
              <w:spacing w:after="0" w:line="193"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68"/>
              <w:spacing w:after="0" w:line="193" w:lineRule="exact"/>
              <w:rPr>
                <w:sz w:val="20"/>
                <w:szCs w:val="20"/>
                <w:color w:val="auto"/>
              </w:rPr>
            </w:pPr>
            <w:r>
              <w:rPr>
                <w:rFonts w:ascii="Times New Roman" w:cs="Times New Roman" w:eastAsia="Times New Roman" w:hAnsi="Times New Roman"/>
                <w:sz w:val="18"/>
                <w:szCs w:val="18"/>
                <w:b w:val="1"/>
                <w:bCs w:val="1"/>
                <w:color w:val="auto"/>
              </w:rPr>
              <w:t>(in millions)</w:t>
            </w:r>
          </w:p>
        </w:tc>
        <w:tc>
          <w:tcPr>
            <w:tcW w:w="0" w:type="dxa"/>
            <w:vAlign w:val="bottom"/>
          </w:tcPr>
          <w:p>
            <w:pPr>
              <w:spacing w:after="0"/>
              <w:rPr>
                <w:sz w:val="1"/>
                <w:szCs w:val="1"/>
                <w:color w:val="auto"/>
              </w:rPr>
            </w:pPr>
          </w:p>
        </w:tc>
      </w:tr>
      <w:tr>
        <w:trPr>
          <w:trHeight w:val="57"/>
        </w:trPr>
        <w:tc>
          <w:tcPr>
            <w:tcW w:w="40" w:type="dxa"/>
            <w:vAlign w:val="bottom"/>
            <w:tcBorders>
              <w:bottom w:val="single" w:sz="8" w:color="DDDDDD"/>
            </w:tcBorders>
          </w:tcPr>
          <w:p>
            <w:pPr>
              <w:spacing w:after="0"/>
              <w:rPr>
                <w:sz w:val="4"/>
                <w:szCs w:val="4"/>
                <w:color w:val="auto"/>
              </w:rPr>
            </w:pPr>
          </w:p>
        </w:tc>
        <w:tc>
          <w:tcPr>
            <w:tcW w:w="760" w:type="dxa"/>
            <w:vAlign w:val="bottom"/>
            <w:tcBorders>
              <w:bottom w:val="single" w:sz="8" w:color="DDDDDD"/>
            </w:tcBorders>
          </w:tcPr>
          <w:p>
            <w:pPr>
              <w:spacing w:after="0"/>
              <w:rPr>
                <w:sz w:val="4"/>
                <w:szCs w:val="4"/>
                <w:color w:val="auto"/>
              </w:rPr>
            </w:pPr>
          </w:p>
        </w:tc>
        <w:tc>
          <w:tcPr>
            <w:tcW w:w="2200" w:type="dxa"/>
            <w:vAlign w:val="bottom"/>
            <w:tcBorders>
              <w:bottom w:val="single" w:sz="8" w:color="DDDDDD"/>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76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Over $65</w:t>
            </w:r>
          </w:p>
        </w:tc>
        <w:tc>
          <w:tcPr>
            <w:tcW w:w="2200" w:type="dxa"/>
            <w:vAlign w:val="bottom"/>
            <w:tcBorders>
              <w:top w:val="single" w:sz="8" w:color="DDDDDD"/>
            </w:tcBorders>
            <w:shd w:val="clear" w:color="auto" w:fill="DDDDDD"/>
          </w:tcPr>
          <w:p>
            <w:pPr>
              <w:spacing w:after="0"/>
              <w:rPr>
                <w:sz w:val="19"/>
                <w:szCs w:val="19"/>
                <w:color w:val="auto"/>
              </w:rPr>
            </w:pPr>
          </w:p>
        </w:tc>
        <w:tc>
          <w:tcPr>
            <w:tcW w:w="15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top w:val="single" w:sz="8" w:color="DDDDDD"/>
            </w:tcBorders>
            <w:shd w:val="clear" w:color="auto" w:fill="DDDDDD"/>
          </w:tcPr>
          <w:p>
            <w:pPr>
              <w:spacing w:after="0"/>
              <w:rPr>
                <w:sz w:val="19"/>
                <w:szCs w:val="19"/>
                <w:color w:val="auto"/>
              </w:rPr>
            </w:pPr>
          </w:p>
        </w:tc>
        <w:tc>
          <w:tcPr>
            <w:tcW w:w="15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60" w:type="dxa"/>
            <w:vAlign w:val="bottom"/>
            <w:tcBorders>
              <w:top w:val="single" w:sz="8" w:color="DDDDDD"/>
            </w:tcBorders>
            <w:shd w:val="clear" w:color="auto" w:fill="DDDDDD"/>
          </w:tcPr>
          <w:p>
            <w:pPr>
              <w:spacing w:after="0"/>
              <w:rPr>
                <w:sz w:val="19"/>
                <w:szCs w:val="19"/>
                <w:color w:val="auto"/>
              </w:rPr>
            </w:pPr>
          </w:p>
        </w:tc>
        <w:tc>
          <w:tcPr>
            <w:tcW w:w="1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60" w:type="dxa"/>
            <w:vAlign w:val="bottom"/>
            <w:tcBorders>
              <w:top w:val="single" w:sz="8" w:color="DDDDDD"/>
            </w:tcBorders>
            <w:shd w:val="clear" w:color="auto" w:fill="DDDDDD"/>
          </w:tcPr>
          <w:p>
            <w:pPr>
              <w:spacing w:after="0"/>
              <w:rPr>
                <w:sz w:val="19"/>
                <w:szCs w:val="19"/>
                <w:color w:val="auto"/>
              </w:rPr>
            </w:pPr>
          </w:p>
        </w:tc>
        <w:tc>
          <w:tcPr>
            <w:tcW w:w="1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 total intrinsic value of options/SSARs exercised during 2022 was approximately $2 million, $3 million for 2021 and was not material for 2020.</w:t>
      </w:r>
    </w:p>
    <w:p>
      <w:pPr>
        <w:spacing w:after="0" w:line="30"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As of December 31, 2022, the total unrecognized compensation cost related to non-vested SSARs granted was approximately $4 million; such cost is expected to be recognized over a weighted average period of approximately 1.91 years.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4"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Company has granted RSUs to eligible employees and members of the Board of Directors. The Company has granted both time-based RSUs, which contain no performance criteria provisions, and performance-based RSUs. Such RSUs are subject to forfeitures or adjustments if certain conditions are not met, including service period or pre-established cumulative performance targets. RSUs principally vest 100% at the end of three years. An RSU’s fair value is calculated based on the market price of the Company's stock at date of grant, with an adjustment to reflect the fact that such awards do not participate in dividend rights. The aggregate fair value is amortized to expense ratably over the vesting period.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2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RSU activity was as follows:</w:t>
            </w:r>
          </w:p>
        </w:tc>
        <w:tc>
          <w:tcPr>
            <w:tcW w:w="1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vMerge w:val="restart"/>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268"/>
              <w:spacing w:after="0" w:line="184"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300" w:type="dxa"/>
            <w:vAlign w:val="bottom"/>
            <w:tcBorders>
              <w:top w:val="single" w:sz="8" w:color="auto"/>
              <w:bottom w:val="single" w:sz="8" w:color="DDDDDD"/>
            </w:tcBorders>
          </w:tcPr>
          <w:p>
            <w:pPr>
              <w:spacing w:after="0" w:line="20" w:lineRule="exact"/>
              <w:rPr>
                <w:sz w:val="1"/>
                <w:szCs w:val="1"/>
                <w:color w:val="auto"/>
              </w:rPr>
            </w:pPr>
          </w:p>
        </w:tc>
        <w:tc>
          <w:tcPr>
            <w:tcW w:w="290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DDDDDD"/>
          </w:tcPr>
          <w:p>
            <w:pPr>
              <w:spacing w:after="0"/>
              <w:rPr>
                <w:sz w:val="22"/>
                <w:szCs w:val="22"/>
                <w:color w:val="auto"/>
              </w:rPr>
            </w:pPr>
          </w:p>
        </w:tc>
        <w:tc>
          <w:tcPr>
            <w:tcW w:w="52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52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5260" w:type="dxa"/>
            <w:vAlign w:val="bottom"/>
            <w:gridSpan w:val="4"/>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52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24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Change due to performance conditions, net</w:t>
            </w:r>
          </w:p>
        </w:tc>
        <w:tc>
          <w:tcPr>
            <w:tcW w:w="20" w:type="dxa"/>
            <w:vAlign w:val="bottom"/>
            <w:tcBorders>
              <w:bottom w:val="single" w:sz="8" w:color="auto"/>
            </w:tcBorders>
            <w:shd w:val="clear" w:color="auto" w:fill="DDDDDD"/>
          </w:tcPr>
          <w:p>
            <w:pPr>
              <w:spacing w:after="0"/>
              <w:rPr>
                <w:sz w:val="23"/>
                <w:szCs w:val="23"/>
                <w:color w:val="auto"/>
              </w:rPr>
            </w:pPr>
          </w:p>
        </w:tc>
        <w:tc>
          <w:tcPr>
            <w:tcW w:w="1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spacing w:after="0"/>
              <w:rPr>
                <w:sz w:val="23"/>
                <w:szCs w:val="23"/>
                <w:color w:val="auto"/>
              </w:rPr>
            </w:pPr>
          </w:p>
        </w:tc>
        <w:tc>
          <w:tcPr>
            <w:tcW w:w="1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fair value of RSUs that vested during the year ended December 31, 2022 was approximately $40 million.</w:t>
      </w:r>
    </w:p>
    <w:p>
      <w:pPr>
        <w:spacing w:after="0" w:line="121"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As of December 31, 2022, there was approximately $58 million of total unrecognized compensation cost related to non-vested RSUs granted under the equity incentive plans; such cost is expected to be recognized over a weighted average period of approximately 1.98 years.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Purchased Restricted Stock Units</w:t>
      </w:r>
    </w:p>
    <w:p>
      <w:pPr>
        <w:spacing w:after="0" w:line="124"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grant of awards under the Program provided for eligible employees to purchase shares of IFF common stock and deposit them into an escrow account. For each share deposited in escrow by the eligible employee, the Company matched with the grant of a restricted stock unit. The shares of restricted stock units generally vest on the third anniversary of the grant date, are subject to continued employment and other specified conditions, and pay dividends if and when paid by the Company. Holders of restricted stock units have, in most instances, all of the rights of shareholders, except that they may not sell, assign, pledge or otherwise encumber such shares. PRSUs pay dividend equivalents and do not have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880" w:h="15480" w:orient="portrait"/>
          <w:cols w:equalWidth="0" w:num="1">
            <w:col w:w="9400"/>
          </w:cols>
          <w:pgMar w:left="1220" w:top="1255" w:right="1260" w:bottom="254" w:gutter="0" w:footer="0" w:header="0"/>
          <w:type w:val="continuous"/>
        </w:sectPr>
      </w:pPr>
    </w:p>
    <w:bookmarkStart w:id="95" w:name="page96"/>
    <w:bookmarkEnd w:id="95"/>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Company's PRSU activity for the years ended December 31, 2022, 2021 and 2020:</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Issued Shares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Aggregate Purchase Price</w:t>
            </w:r>
          </w:p>
        </w:tc>
        <w:tc>
          <w:tcPr>
            <w:tcW w:w="80" w:type="dxa"/>
            <w:vAlign w:val="bottom"/>
          </w:tcPr>
          <w:p>
            <w:pPr>
              <w:spacing w:after="0"/>
              <w:rPr>
                <w:sz w:val="17"/>
                <w:szCs w:val="17"/>
                <w:color w:val="auto"/>
              </w:rPr>
            </w:pP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Covered Shares</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15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2022</w:t>
            </w:r>
          </w:p>
        </w:tc>
        <w:tc>
          <w:tcPr>
            <w:tcW w:w="1700" w:type="dxa"/>
            <w:vAlign w:val="bottom"/>
            <w:tcBorders>
              <w:top w:val="single" w:sz="8" w:color="DDDDDD"/>
            </w:tcBorders>
            <w:shd w:val="clear" w:color="auto" w:fill="DDDDDD"/>
          </w:tcPr>
          <w:p>
            <w:pPr>
              <w:spacing w:after="0"/>
              <w:rPr>
                <w:sz w:val="22"/>
                <w:szCs w:val="22"/>
                <w:color w:val="auto"/>
              </w:rPr>
            </w:pPr>
          </w:p>
        </w:tc>
        <w:tc>
          <w:tcPr>
            <w:tcW w:w="4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auto"/>
              <w:bottom w:val="single" w:sz="8" w:color="DDDDDD"/>
            </w:tcBorders>
            <w:shd w:val="clear" w:color="auto" w:fill="DDDDDD"/>
          </w:tcPr>
          <w:p>
            <w:pPr>
              <w:spacing w:after="0"/>
              <w:rPr>
                <w:sz w:val="22"/>
                <w:szCs w:val="22"/>
                <w:color w:val="auto"/>
              </w:rPr>
            </w:pPr>
          </w:p>
        </w:tc>
        <w:tc>
          <w:tcPr>
            <w:tcW w:w="17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43,690</w:t>
            </w:r>
          </w:p>
        </w:tc>
        <w:tc>
          <w:tcPr>
            <w:tcW w:w="80" w:type="dxa"/>
            <w:vAlign w:val="bottom"/>
            <w:tcBorders>
              <w:top w:val="single" w:sz="8" w:color="auto"/>
              <w:bottom w:val="single" w:sz="8" w:color="DDDDDD"/>
            </w:tcBorders>
            <w:shd w:val="clear" w:color="auto" w:fill="DDDDDD"/>
          </w:tcPr>
          <w:p>
            <w:pPr>
              <w:spacing w:after="0"/>
              <w:rPr>
                <w:sz w:val="22"/>
                <w:szCs w:val="22"/>
                <w:color w:val="auto"/>
              </w:rPr>
            </w:pPr>
          </w:p>
        </w:tc>
        <w:tc>
          <w:tcPr>
            <w:tcW w:w="1100" w:type="dxa"/>
            <w:vAlign w:val="bottom"/>
            <w:tcBorders>
              <w:top w:val="single" w:sz="8" w:color="auto"/>
            </w:tcBorders>
            <w:shd w:val="clear" w:color="auto" w:fill="DDDDDD"/>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auto"/>
              <w:bottom w:val="single" w:sz="8" w:color="DDDDDD"/>
            </w:tcBorders>
            <w:shd w:val="clear" w:color="auto" w:fill="DDDDDD"/>
          </w:tcPr>
          <w:p>
            <w:pPr>
              <w:spacing w:after="0"/>
              <w:rPr>
                <w:sz w:val="22"/>
                <w:szCs w:val="22"/>
                <w:color w:val="auto"/>
              </w:rPr>
            </w:pPr>
          </w:p>
        </w:tc>
        <w:tc>
          <w:tcPr>
            <w:tcW w:w="17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21,845</w:t>
            </w:r>
          </w:p>
        </w:tc>
        <w:tc>
          <w:tcPr>
            <w:tcW w:w="20" w:type="dxa"/>
            <w:vAlign w:val="bottom"/>
            <w:tcBorders>
              <w:top w:val="single" w:sz="8" w:color="auto"/>
              <w:bottom w:val="single" w:sz="8" w:color="DDDDDD"/>
            </w:tcBorders>
            <w:shd w:val="clear" w:color="auto" w:fill="DDDDDD"/>
          </w:tcPr>
          <w:p>
            <w:pPr>
              <w:spacing w:after="0"/>
              <w:rPr>
                <w:sz w:val="22"/>
                <w:szCs w:val="22"/>
                <w:color w:val="auto"/>
              </w:rPr>
            </w:pPr>
          </w:p>
        </w:tc>
      </w:tr>
      <w:tr>
        <w:trPr>
          <w:trHeight w:val="251"/>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61,870</w:t>
            </w:r>
          </w:p>
        </w:tc>
        <w:tc>
          <w:tcPr>
            <w:tcW w:w="80" w:type="dxa"/>
            <w:vAlign w:val="bottom"/>
          </w:tcPr>
          <w:p>
            <w:pPr>
              <w:spacing w:after="0"/>
              <w:rPr>
                <w:sz w:val="21"/>
                <w:szCs w:val="21"/>
                <w:color w:val="auto"/>
              </w:rPr>
            </w:pPr>
          </w:p>
        </w:tc>
        <w:tc>
          <w:tcPr>
            <w:tcW w:w="1100" w:type="dxa"/>
            <w:vAlign w:val="bottom"/>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20" w:type="dxa"/>
            <w:vAlign w:val="bottom"/>
          </w:tcPr>
          <w:p>
            <w:pPr>
              <w:spacing w:after="0"/>
              <w:rPr>
                <w:sz w:val="21"/>
                <w:szCs w:val="21"/>
                <w:color w:val="auto"/>
              </w:rPr>
            </w:pPr>
          </w:p>
        </w:tc>
      </w:tr>
      <w:tr>
        <w:trPr>
          <w:trHeight w:val="276"/>
        </w:trPr>
        <w:tc>
          <w:tcPr>
            <w:tcW w:w="60" w:type="dxa"/>
            <w:vAlign w:val="bottom"/>
            <w:shd w:val="clear" w:color="auto" w:fill="DDDDDD"/>
          </w:tcPr>
          <w:p>
            <w:pPr>
              <w:spacing w:after="0"/>
              <w:rPr>
                <w:sz w:val="24"/>
                <w:szCs w:val="24"/>
                <w:color w:val="auto"/>
              </w:rPr>
            </w:pPr>
          </w:p>
        </w:tc>
        <w:tc>
          <w:tcPr>
            <w:tcW w:w="16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2020</w:t>
            </w:r>
          </w:p>
        </w:tc>
        <w:tc>
          <w:tcPr>
            <w:tcW w:w="17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66,160</w:t>
            </w:r>
          </w:p>
        </w:tc>
        <w:tc>
          <w:tcPr>
            <w:tcW w:w="80" w:type="dxa"/>
            <w:vAlign w:val="bottom"/>
            <w:shd w:val="clear" w:color="auto" w:fill="DDDDDD"/>
          </w:tcPr>
          <w:p>
            <w:pPr>
              <w:spacing w:after="0"/>
              <w:rPr>
                <w:sz w:val="24"/>
                <w:szCs w:val="24"/>
                <w:color w:val="auto"/>
              </w:rPr>
            </w:pPr>
          </w:p>
        </w:tc>
        <w:tc>
          <w:tcPr>
            <w:tcW w:w="1100" w:type="dxa"/>
            <w:vAlign w:val="bottom"/>
            <w:shd w:val="clear" w:color="auto" w:fill="DDDDDD"/>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DDDDDD"/>
          </w:tcPr>
          <w:p>
            <w:pPr>
              <w:spacing w:after="0"/>
              <w:rPr>
                <w:sz w:val="24"/>
                <w:szCs w:val="24"/>
                <w:color w:val="auto"/>
              </w:rPr>
            </w:pPr>
          </w:p>
        </w:tc>
        <w:tc>
          <w:tcPr>
            <w:tcW w:w="1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33,080</w:t>
            </w:r>
          </w:p>
        </w:tc>
        <w:tc>
          <w:tcPr>
            <w:tcW w:w="20" w:type="dxa"/>
            <w:vAlign w:val="bottom"/>
            <w:shd w:val="clear" w:color="auto" w:fill="DDDDDD"/>
          </w:tcPr>
          <w:p>
            <w:pPr>
              <w:spacing w:after="0"/>
              <w:rPr>
                <w:sz w:val="24"/>
                <w:szCs w:val="24"/>
                <w:color w:val="auto"/>
              </w:rPr>
            </w:pPr>
          </w:p>
        </w:tc>
      </w:tr>
    </w:tbl>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5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PRSU activity was as follows:</w:t>
            </w:r>
          </w:p>
        </w:tc>
        <w:tc>
          <w:tcPr>
            <w:tcW w:w="1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vMerge w:val="restart"/>
          </w:tcPr>
          <w:p>
            <w:pPr>
              <w:jc w:val="center"/>
              <w:ind w:left="348"/>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jc w:val="center"/>
              <w:ind w:right="108"/>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88"/>
              <w:spacing w:after="0" w:line="184"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230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2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tcPr>
          <w:p>
            <w:pPr>
              <w:jc w:val="center"/>
              <w:ind w:left="348"/>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jc w:val="center"/>
              <w:ind w:right="88"/>
              <w:spacing w:after="0" w:line="180" w:lineRule="exact"/>
              <w:rPr>
                <w:sz w:val="20"/>
                <w:szCs w:val="20"/>
                <w:color w:val="auto"/>
              </w:rPr>
            </w:pPr>
            <w:r>
              <w:rPr>
                <w:rFonts w:ascii="Times New Roman" w:cs="Times New Roman" w:eastAsia="Times New Roman" w:hAnsi="Times New Roman"/>
                <w:sz w:val="18"/>
                <w:szCs w:val="18"/>
                <w:b w:val="1"/>
                <w:bCs w:val="1"/>
                <w:color w:val="auto"/>
                <w:w w:val="99"/>
              </w:rPr>
              <w:t>Value Per Share</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5260" w:type="dxa"/>
            <w:vAlign w:val="bottom"/>
            <w:tcBorders>
              <w:bottom w:val="single" w:sz="8" w:color="DDDDDD"/>
            </w:tcBorders>
            <w:gridSpan w:val="2"/>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0" w:type="dxa"/>
            <w:vAlign w:val="bottom"/>
            <w:shd w:val="clear" w:color="auto" w:fill="DDDDDD"/>
          </w:tcPr>
          <w:p>
            <w:pPr>
              <w:spacing w:after="0"/>
              <w:rPr>
                <w:sz w:val="21"/>
                <w:szCs w:val="21"/>
                <w:color w:val="auto"/>
              </w:rPr>
            </w:pPr>
          </w:p>
        </w:tc>
        <w:tc>
          <w:tcPr>
            <w:tcW w:w="528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520" w:type="dxa"/>
            <w:vAlign w:val="bottom"/>
            <w:shd w:val="clear" w:color="auto" w:fill="DDDDDD"/>
          </w:tcPr>
          <w:p>
            <w:pPr>
              <w:spacing w:after="0"/>
              <w:rPr>
                <w:sz w:val="21"/>
                <w:szCs w:val="21"/>
                <w:color w:val="auto"/>
              </w:rPr>
            </w:pPr>
          </w:p>
        </w:tc>
        <w:tc>
          <w:tcPr>
            <w:tcW w:w="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138.36</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2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28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DDDDDD"/>
          </w:tcPr>
          <w:p>
            <w:pPr>
              <w:spacing w:after="0"/>
              <w:rPr>
                <w:sz w:val="23"/>
                <w:szCs w:val="23"/>
                <w:color w:val="auto"/>
              </w:rPr>
            </w:pPr>
          </w:p>
        </w:tc>
        <w:tc>
          <w:tcPr>
            <w:tcW w:w="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138.06</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5280" w:type="dxa"/>
            <w:vAlign w:val="bottom"/>
            <w:tcBorders>
              <w:bottom w:val="single" w:sz="8" w:color="DDDDDD"/>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135.50</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28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520" w:type="dxa"/>
            <w:vAlign w:val="bottom"/>
            <w:shd w:val="clear" w:color="auto" w:fill="DDDDDD"/>
          </w:tcPr>
          <w:p>
            <w:pPr>
              <w:spacing w:after="0"/>
              <w:rPr>
                <w:sz w:val="22"/>
                <w:szCs w:val="22"/>
                <w:color w:val="auto"/>
              </w:rPr>
            </w:pPr>
          </w:p>
        </w:tc>
        <w:tc>
          <w:tcPr>
            <w:tcW w:w="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fair value of PRSUs that vested during the year ended December 31, 2022 was approximately $13 million.</w:t>
      </w:r>
    </w:p>
    <w:p>
      <w:pPr>
        <w:spacing w:after="0" w:line="121"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As of December 31, 2022, there was approximately $4 million of total unrecognized compensation cost related to non-vested PRSUs granted under the equity incentive plans; such cost is expected to be recognized over a weighted average period of approximately 1.87 years.</w:t>
      </w: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Liability Awards</w:t>
      </w:r>
    </w:p>
    <w:p>
      <w:pPr>
        <w:spacing w:after="0" w:line="177"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The Company has granted cash-settled RSUs (“Cash RSUs”) to eligible employees that are paid out 100% in cash upon vesting. Such RSUs are subject to forfeiture if certain conditions are not met. Cash RSUs principally vest 100% at the end of three years and contain no performance criteria provisions. A Cash RSU's fair value is calculated based on the market price of the Company's stock at the date of the closing period and is accounted for as a liability award. The aggregate fair value is amortized to expense ratably over the vesting period.</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RSU activity was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128"/>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920" w:type="dxa"/>
            <w:vAlign w:val="bottom"/>
            <w:vMerge w:val="restart"/>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Cash RSUs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jc w:val="center"/>
              <w:ind w:right="88"/>
              <w:spacing w:after="0" w:line="184"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(SHARE AMOUNTS IN THOUSANDS)</w:t>
            </w:r>
          </w:p>
        </w:tc>
        <w:tc>
          <w:tcPr>
            <w:tcW w:w="1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w w:val="99"/>
              </w:rPr>
              <w:t>Value Per Share</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300" w:type="dxa"/>
            <w:vAlign w:val="bottom"/>
            <w:tcBorders>
              <w:top w:val="single" w:sz="8" w:color="auto"/>
              <w:bottom w:val="single" w:sz="8" w:color="DDDDDD"/>
            </w:tcBorders>
          </w:tcPr>
          <w:p>
            <w:pPr>
              <w:spacing w:after="0" w:line="20" w:lineRule="exact"/>
              <w:rPr>
                <w:sz w:val="1"/>
                <w:szCs w:val="1"/>
                <w:color w:val="auto"/>
              </w:rPr>
            </w:pPr>
          </w:p>
        </w:tc>
        <w:tc>
          <w:tcPr>
            <w:tcW w:w="3080" w:type="dxa"/>
            <w:vAlign w:val="bottom"/>
            <w:tcBorders>
              <w:bottom w:val="single" w:sz="8" w:color="DDDDDD"/>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 w:type="dxa"/>
            <w:vAlign w:val="bottom"/>
            <w:shd w:val="clear" w:color="auto" w:fill="DDDDDD"/>
          </w:tcPr>
          <w:p>
            <w:pPr>
              <w:spacing w:after="0"/>
              <w:rPr>
                <w:sz w:val="22"/>
                <w:szCs w:val="22"/>
                <w:color w:val="auto"/>
              </w:rPr>
            </w:pPr>
          </w:p>
        </w:tc>
        <w:tc>
          <w:tcPr>
            <w:tcW w:w="53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538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130.67</w:t>
            </w: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tcPr>
          <w:p>
            <w:pPr>
              <w:spacing w:after="0"/>
              <w:rPr>
                <w:sz w:val="23"/>
                <w:szCs w:val="23"/>
                <w:color w:val="auto"/>
              </w:rPr>
            </w:pPr>
          </w:p>
        </w:tc>
        <w:tc>
          <w:tcPr>
            <w:tcW w:w="5380" w:type="dxa"/>
            <w:vAlign w:val="bottom"/>
            <w:tcBorders>
              <w:bottom w:val="single" w:sz="8" w:color="DDDDDD"/>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3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total fair value of Cash RSUs that vested during the year ended December 31, 2022 was approximately $5 million.</w:t>
      </w:r>
    </w:p>
    <w:p>
      <w:pPr>
        <w:spacing w:after="0" w:line="121" w:lineRule="exact"/>
        <w:rPr>
          <w:sz w:val="20"/>
          <w:szCs w:val="20"/>
          <w:color w:val="auto"/>
        </w:rPr>
      </w:pPr>
    </w:p>
    <w:p>
      <w:pPr>
        <w:jc w:val="both"/>
        <w:ind w:left="40" w:firstLine="328"/>
        <w:spacing w:after="0" w:line="272" w:lineRule="auto"/>
        <w:rPr>
          <w:sz w:val="20"/>
          <w:szCs w:val="20"/>
          <w:color w:val="auto"/>
        </w:rPr>
      </w:pPr>
      <w:r>
        <w:rPr>
          <w:rFonts w:ascii="Times New Roman" w:cs="Times New Roman" w:eastAsia="Times New Roman" w:hAnsi="Times New Roman"/>
          <w:sz w:val="18"/>
          <w:szCs w:val="18"/>
          <w:color w:val="auto"/>
        </w:rPr>
        <w:t>As of December 31, 2022, there was approximately $5 million of total unrecognized compensation cost related to non-vested Cash RSUs granted under the equity incentive plans; such cost is expected to be recognized over a weighted average period of approximately 1.81 years. The aggregate compensation cost will be adjusted based on changes in the Company’s stock price.</w:t>
      </w:r>
    </w:p>
    <w:p>
      <w:pPr>
        <w:spacing w:after="0" w:line="387"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14.</w:t>
        <w:tab/>
        <w:t>SEGMENT INFORMATION</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Company is organized into four reportable operating segments: Nourish, Health &amp; Biosciences, Scent and Pharma Solutions. These segments align with the internal structure to manage these businesses. The Company’s Chief Operating Decision Maker regularly reviews financial information to allocate resources and assess performance utilizing these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880" w:h="15480" w:orient="portrait"/>
          <w:cols w:equalWidth="0" w:num="1">
            <w:col w:w="9400"/>
          </w:cols>
          <w:pgMar w:left="1220" w:top="1255" w:right="1260" w:bottom="254" w:gutter="0" w:footer="0" w:header="0"/>
        </w:sectPr>
      </w:pPr>
    </w:p>
    <w:bookmarkStart w:id="96" w:name="page97"/>
    <w:bookmarkEnd w:id="96"/>
    <w:p>
      <w:pPr>
        <w:jc w:val="both"/>
        <w:ind w:firstLine="329"/>
        <w:spacing w:after="0" w:line="258" w:lineRule="auto"/>
        <w:rPr>
          <w:sz w:val="20"/>
          <w:szCs w:val="20"/>
          <w:color w:val="auto"/>
        </w:rPr>
      </w:pPr>
      <w:r>
        <w:rPr>
          <w:rFonts w:ascii="Times New Roman" w:cs="Times New Roman" w:eastAsia="Times New Roman" w:hAnsi="Times New Roman"/>
          <w:sz w:val="18"/>
          <w:szCs w:val="18"/>
          <w:color w:val="auto"/>
        </w:rPr>
        <w:t>Nourish is comprised of three business units, Ingredients, Flavors and Food Designs, with a diversified portfolio across natural and plant-based specialty food ingredients, flavor compounds, and savory solutions and inclusions, respectively. Ingredients provide texturizing solutions to the food industry, food protection solutions used in food and beverage products, specialty soy and pea protein with value-added formulations, emulsifiers and sweeteners. Flavors provide a range of flavor compounds and natural taste solutions that are ultimately used by IFF’s customers in savory products, beverages, sweets, and dairy products. Flavors also provide value-added spices and seasoning ingredients for meat, food service, convenience, alternative protein and culinary products. Food Designs provide savory solution products such as spices, sauces, marinades and mixtures. Additionally, Food Designs provide inclusion products that help with taste and texture by, among other things, combining flavorings with fruit, vegetables, and other natural ingredients for a wide range of food products, such as health snacks, baked goods, cereals, pastries, ice cream and other dairy products.</w:t>
      </w:r>
    </w:p>
    <w:p>
      <w:pPr>
        <w:spacing w:after="0" w:line="72" w:lineRule="exact"/>
        <w:rPr>
          <w:sz w:val="20"/>
          <w:szCs w:val="20"/>
          <w:color w:val="auto"/>
        </w:rPr>
      </w:pPr>
    </w:p>
    <w:p>
      <w:pPr>
        <w:jc w:val="both"/>
        <w:ind w:firstLine="328"/>
        <w:spacing w:after="0" w:line="257" w:lineRule="auto"/>
        <w:rPr>
          <w:sz w:val="20"/>
          <w:szCs w:val="20"/>
          <w:color w:val="auto"/>
        </w:rPr>
      </w:pPr>
      <w:r>
        <w:rPr>
          <w:rFonts w:ascii="Times New Roman" w:cs="Times New Roman" w:eastAsia="Times New Roman" w:hAnsi="Times New Roman"/>
          <w:sz w:val="18"/>
          <w:szCs w:val="18"/>
          <w:color w:val="auto"/>
        </w:rPr>
        <w:t>Health &amp; Biosciences is comprised of five business units, Health, Cultures &amp; Food Enzymes, Home &amp; Personal Care, Animal Nutrition and Grain Processing, with a biotechnology-driven portfolio of products that serve the health and wellness, food, consumer and industrial markets. Products within this portfolio range from enzymes, food cultures, probiotics and specialty ingredients for non-food applications. Health provides ingredients for dietary supplements, food and beverage, specialized nutrition and pharma. Cultures &amp; Food Enzymes provide products that aim to serve the global demand for healthy, natural, clean label and fermented food for fresh dairy, cheese, bakery and brewing products. This is accomplished by providing IFF’s customers with products that allow for extended shelf life and stability, which help to improve customers’ products and performance. The business unit’s enzyme solution also allows IFF’s customers to provide low sugar, high fiber and lactose-free dairy products. Home &amp; Personal Care produces enzymes for detergents, cleaning and textile processing products in the laundry, dishwashing, textiles and industrials and personal care markets that help to enhance product and process performances. Animal Nutrition produces enzymes that help to improve the product and process performance of animal feed products, which aim to lessen environmental impact by reducing farm waste. Grain Processing produces enzymes for biofuel production and carbohydrate processing.</w:t>
      </w:r>
    </w:p>
    <w:p>
      <w:pPr>
        <w:spacing w:after="0" w:line="72"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Scent is comprised of (1) Fragrance Compounds, which are ultimately used by IFF’s customers in two broad categories: Fine Fragrances, including perfumes and colognes, and Consumer Fragrances, including fragrance compounds for personal care (e.g., soaps), household products (e.g., detergents and cleaning agents) and beauty care, including toiletries; (2) Fragrance Ingredients, consisting of synthetic and natural ingredients that can be combined with other materials to create unique fine fragrance and consumer fragrance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66"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Pharma Solutions is comprised of a vast portfolio including cellulosics and seaweed-based pharmaceutical excipients, used to improve the functionality and delivery of active pharmaceutical ingredients, including controlled or modified drug release formulations, and enabling the development of more effective pharmaceutical finished dosage formats. Pharma Solutions excipients are used in prescription and over-the-counter pharmaceuticals and dietary supplements. Pharma Solutions products also serve a variety of other specialty and industrial end-uses including coatings, inks, electronics, agriculture, and consumer products.</w:t>
      </w:r>
    </w:p>
    <w:p>
      <w:pPr>
        <w:spacing w:after="0" w:line="69"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Beginning the first quarter of 2021, the Company’s Chief Operating Decision Maker evaluates the performance of these reportable operating segments based on Segment Adjusted Operating EBITDA, which is defined as (Loss) Income Before Taxes before depreciation and amortization expense, interest expense, restructuring and other charges and certain non-recurring items. Prior period amounts have been recast to reflect any necessary changes in segment profitability measures.</w:t>
      </w:r>
    </w:p>
    <w:p>
      <w:pPr>
        <w:spacing w:after="0" w:line="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Reportable segment information is as follows: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99"/>
        </w:trPr>
        <w:tc>
          <w:tcPr>
            <w:tcW w:w="4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1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r>
      <w:tr>
        <w:trPr>
          <w:trHeight w:val="48"/>
        </w:trPr>
        <w:tc>
          <w:tcPr>
            <w:tcW w:w="40" w:type="dxa"/>
            <w:vAlign w:val="bottom"/>
            <w:tcBorders>
              <w:bottom w:val="single" w:sz="8" w:color="DDDDDD"/>
            </w:tcBorders>
          </w:tcPr>
          <w:p>
            <w:pPr>
              <w:spacing w:after="0"/>
              <w:rPr>
                <w:sz w:val="3"/>
                <w:szCs w:val="3"/>
                <w:color w:val="auto"/>
              </w:rPr>
            </w:pPr>
          </w:p>
        </w:tc>
        <w:tc>
          <w:tcPr>
            <w:tcW w:w="5740" w:type="dxa"/>
            <w:vAlign w:val="bottom"/>
            <w:tcBorders>
              <w:bottom w:val="single" w:sz="8" w:color="DDDDDD"/>
            </w:tcBorders>
            <w:gridSpan w:val="2"/>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576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Borders>
              <w:top w:val="single" w:sz="8" w:color="DDDDDD"/>
            </w:tcBorders>
            <w:shd w:val="clear" w:color="auto" w:fill="DDDDDD"/>
          </w:tcPr>
          <w:p>
            <w:pPr>
              <w:spacing w:after="0"/>
              <w:rPr>
                <w:sz w:val="19"/>
                <w:szCs w:val="19"/>
                <w:color w:val="auto"/>
              </w:rPr>
            </w:pPr>
          </w:p>
        </w:tc>
        <w:tc>
          <w:tcPr>
            <w:tcW w:w="860" w:type="dxa"/>
            <w:vAlign w:val="bottom"/>
            <w:tcBorders>
              <w:top w:val="single" w:sz="8" w:color="DDDDDD"/>
            </w:tcBorders>
            <w:shd w:val="clear" w:color="auto" w:fill="DDDDDD"/>
          </w:tcPr>
          <w:p>
            <w:pPr>
              <w:spacing w:after="0"/>
              <w:rPr>
                <w:sz w:val="19"/>
                <w:szCs w:val="19"/>
                <w:color w:val="auto"/>
              </w:rPr>
            </w:pPr>
          </w:p>
        </w:tc>
        <w:tc>
          <w:tcPr>
            <w:tcW w:w="80" w:type="dxa"/>
            <w:vAlign w:val="bottom"/>
            <w:tcBorders>
              <w:right w:val="single" w:sz="8" w:color="DDDDDD"/>
            </w:tcBorders>
            <w:shd w:val="clear" w:color="auto" w:fill="DDDDDD"/>
          </w:tcPr>
          <w:p>
            <w:pPr>
              <w:spacing w:after="0"/>
              <w:rPr>
                <w:sz w:val="19"/>
                <w:szCs w:val="19"/>
                <w:color w:val="auto"/>
              </w:rPr>
            </w:pPr>
          </w:p>
        </w:tc>
        <w:tc>
          <w:tcPr>
            <w:tcW w:w="260" w:type="dxa"/>
            <w:vAlign w:val="bottom"/>
            <w:tcBorders>
              <w:top w:val="single" w:sz="8" w:color="DDDDDD"/>
            </w:tcBorders>
            <w:shd w:val="clear" w:color="auto" w:fill="DDDDDD"/>
          </w:tcPr>
          <w:p>
            <w:pPr>
              <w:spacing w:after="0"/>
              <w:rPr>
                <w:sz w:val="19"/>
                <w:szCs w:val="19"/>
                <w:color w:val="auto"/>
              </w:rPr>
            </w:pPr>
          </w:p>
        </w:tc>
        <w:tc>
          <w:tcPr>
            <w:tcW w:w="88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DDDDDD"/>
            </w:tcBorders>
            <w:shd w:val="clear" w:color="auto" w:fill="DDDDDD"/>
          </w:tcPr>
          <w:p>
            <w:pPr>
              <w:spacing w:after="0"/>
              <w:rPr>
                <w:sz w:val="19"/>
                <w:szCs w:val="19"/>
                <w:color w:val="auto"/>
              </w:rPr>
            </w:pPr>
          </w:p>
        </w:tc>
        <w:tc>
          <w:tcPr>
            <w:tcW w:w="880" w:type="dxa"/>
            <w:vAlign w:val="bottom"/>
            <w:tcBorders>
              <w:top w:val="single" w:sz="8" w:color="DDDDDD"/>
            </w:tcBorders>
            <w:shd w:val="clear" w:color="auto" w:fill="DDDDDD"/>
          </w:tcPr>
          <w:p>
            <w:pPr>
              <w:spacing w:after="0"/>
              <w:rPr>
                <w:sz w:val="19"/>
                <w:szCs w:val="19"/>
                <w:color w:val="auto"/>
              </w:rPr>
            </w:pPr>
          </w:p>
        </w:tc>
      </w:tr>
      <w:tr>
        <w:trPr>
          <w:trHeight w:val="271"/>
        </w:trPr>
        <w:tc>
          <w:tcPr>
            <w:tcW w:w="40" w:type="dxa"/>
            <w:vAlign w:val="bottom"/>
          </w:tcPr>
          <w:p>
            <w:pPr>
              <w:spacing w:after="0"/>
              <w:rPr>
                <w:sz w:val="23"/>
                <w:szCs w:val="23"/>
                <w:color w:val="auto"/>
              </w:rPr>
            </w:pPr>
          </w:p>
        </w:tc>
        <w:tc>
          <w:tcPr>
            <w:tcW w:w="5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r>
      <w:tr>
        <w:trPr>
          <w:trHeight w:val="276"/>
        </w:trPr>
        <w:tc>
          <w:tcPr>
            <w:tcW w:w="40" w:type="dxa"/>
            <w:vAlign w:val="bottom"/>
            <w:shd w:val="clear" w:color="auto" w:fill="DDDDDD"/>
          </w:tcPr>
          <w:p>
            <w:pPr>
              <w:spacing w:after="0"/>
              <w:rPr>
                <w:sz w:val="24"/>
                <w:szCs w:val="24"/>
                <w:color w:val="auto"/>
              </w:rPr>
            </w:pPr>
          </w:p>
        </w:tc>
        <w:tc>
          <w:tcPr>
            <w:tcW w:w="574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80" w:type="dxa"/>
            <w:vAlign w:val="bottom"/>
            <w:tcBorders>
              <w:right w:val="single" w:sz="8" w:color="DDDDDD"/>
            </w:tcBorders>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1"/>
        </w:trPr>
        <w:tc>
          <w:tcPr>
            <w:tcW w:w="40" w:type="dxa"/>
            <w:vAlign w:val="bottom"/>
          </w:tcPr>
          <w:p>
            <w:pPr>
              <w:spacing w:after="0"/>
              <w:rPr>
                <w:sz w:val="23"/>
                <w:szCs w:val="23"/>
                <w:color w:val="auto"/>
              </w:rPr>
            </w:pPr>
          </w:p>
        </w:tc>
        <w:tc>
          <w:tcPr>
            <w:tcW w:w="5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r>
      <w:tr>
        <w:trPr>
          <w:trHeight w:val="276"/>
        </w:trPr>
        <w:tc>
          <w:tcPr>
            <w:tcW w:w="40" w:type="dxa"/>
            <w:vAlign w:val="bottom"/>
            <w:shd w:val="clear" w:color="auto" w:fill="DDDDDD"/>
          </w:tcPr>
          <w:p>
            <w:pPr>
              <w:spacing w:after="0"/>
              <w:rPr>
                <w:sz w:val="24"/>
                <w:szCs w:val="24"/>
                <w:color w:val="auto"/>
              </w:rPr>
            </w:pPr>
          </w:p>
        </w:tc>
        <w:tc>
          <w:tcPr>
            <w:tcW w:w="5760" w:type="dxa"/>
            <w:vAlign w:val="bottom"/>
            <w:gridSpan w:val="3"/>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26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Borders>
              <w:right w:val="single" w:sz="8" w:color="DDDDDD"/>
            </w:tcBorders>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3"/>
        </w:trPr>
        <w:tc>
          <w:tcPr>
            <w:tcW w:w="40" w:type="dxa"/>
            <w:vAlign w:val="bottom"/>
          </w:tcPr>
          <w:p>
            <w:pPr>
              <w:spacing w:after="0"/>
              <w:rPr>
                <w:sz w:val="22"/>
                <w:szCs w:val="22"/>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880" w:h="15480" w:orient="portrait"/>
          <w:cols w:equalWidth="0" w:num="1">
            <w:col w:w="9360"/>
          </w:cols>
          <w:pgMar w:left="1260" w:top="1255" w:right="1260" w:bottom="254" w:gutter="0" w:footer="0" w:header="0"/>
        </w:sectPr>
      </w:pPr>
    </w:p>
    <w:bookmarkStart w:id="97" w:name="page98"/>
    <w:bookmarkEnd w:id="97"/>
    <w:p>
      <w:pPr>
        <w:ind w:left="77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199"/>
        </w:trPr>
        <w:tc>
          <w:tcPr>
            <w:tcW w:w="4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360" w:type="dxa"/>
            <w:vAlign w:val="bottom"/>
            <w:gridSpan w:val="3"/>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39"/>
        </w:trPr>
        <w:tc>
          <w:tcPr>
            <w:tcW w:w="40" w:type="dxa"/>
            <w:vAlign w:val="bottom"/>
            <w:tcBorders>
              <w:bottom w:val="single" w:sz="8" w:color="DDDDDD"/>
            </w:tcBorders>
          </w:tcPr>
          <w:p>
            <w:pPr>
              <w:spacing w:after="0"/>
              <w:rPr>
                <w:sz w:val="3"/>
                <w:szCs w:val="3"/>
                <w:color w:val="auto"/>
              </w:rPr>
            </w:pPr>
          </w:p>
        </w:tc>
        <w:tc>
          <w:tcPr>
            <w:tcW w:w="6900" w:type="dxa"/>
            <w:vAlign w:val="bottom"/>
            <w:tcBorders>
              <w:bottom w:val="single" w:sz="8" w:color="DDDDDD"/>
            </w:tcBorders>
            <w:gridSpan w:val="2"/>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9"/>
        </w:trPr>
        <w:tc>
          <w:tcPr>
            <w:tcW w:w="40" w:type="dxa"/>
            <w:vAlign w:val="bottom"/>
            <w:shd w:val="clear" w:color="auto" w:fill="DDDDDD"/>
          </w:tcPr>
          <w:p>
            <w:pPr>
              <w:spacing w:after="0"/>
              <w:rPr>
                <w:sz w:val="19"/>
                <w:szCs w:val="19"/>
                <w:color w:val="auto"/>
              </w:rPr>
            </w:pPr>
          </w:p>
        </w:tc>
        <w:tc>
          <w:tcPr>
            <w:tcW w:w="69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Segment assets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8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80" w:type="dxa"/>
            <w:vAlign w:val="bottom"/>
            <w:shd w:val="clear" w:color="auto" w:fill="DDDDDD"/>
          </w:tcPr>
          <w:p>
            <w:pPr>
              <w:spacing w:after="0"/>
              <w:rPr>
                <w:sz w:val="19"/>
                <w:szCs w:val="19"/>
                <w:color w:val="auto"/>
              </w:rPr>
            </w:pPr>
          </w:p>
        </w:tc>
      </w:tr>
      <w:tr>
        <w:trPr>
          <w:trHeight w:val="273"/>
        </w:trPr>
        <w:tc>
          <w:tcPr>
            <w:tcW w:w="40" w:type="dxa"/>
            <w:vAlign w:val="bottom"/>
          </w:tcPr>
          <w:p>
            <w:pPr>
              <w:spacing w:after="0"/>
              <w:rPr>
                <w:sz w:val="23"/>
                <w:szCs w:val="23"/>
                <w:color w:val="auto"/>
              </w:rPr>
            </w:pPr>
          </w:p>
        </w:tc>
        <w:tc>
          <w:tcPr>
            <w:tcW w:w="69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17,008</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17,449</w:t>
            </w:r>
          </w:p>
        </w:tc>
      </w:tr>
      <w:tr>
        <w:trPr>
          <w:trHeight w:val="274"/>
        </w:trPr>
        <w:tc>
          <w:tcPr>
            <w:tcW w:w="40" w:type="dxa"/>
            <w:vAlign w:val="bottom"/>
            <w:shd w:val="clear" w:color="auto" w:fill="DDDDDD"/>
          </w:tcPr>
          <w:p>
            <w:pPr>
              <w:spacing w:after="0"/>
              <w:rPr>
                <w:sz w:val="23"/>
                <w:szCs w:val="23"/>
                <w:color w:val="auto"/>
              </w:rPr>
            </w:pPr>
          </w:p>
        </w:tc>
        <w:tc>
          <w:tcPr>
            <w:tcW w:w="690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10,877</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14,774</w:t>
            </w:r>
          </w:p>
        </w:tc>
      </w:tr>
      <w:tr>
        <w:trPr>
          <w:trHeight w:val="273"/>
        </w:trPr>
        <w:tc>
          <w:tcPr>
            <w:tcW w:w="40" w:type="dxa"/>
            <w:vAlign w:val="bottom"/>
          </w:tcPr>
          <w:p>
            <w:pPr>
              <w:spacing w:after="0"/>
              <w:rPr>
                <w:sz w:val="23"/>
                <w:szCs w:val="23"/>
                <w:color w:val="auto"/>
              </w:rPr>
            </w:pPr>
          </w:p>
        </w:tc>
        <w:tc>
          <w:tcPr>
            <w:tcW w:w="6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r>
      <w:tr>
        <w:trPr>
          <w:trHeight w:val="274"/>
        </w:trPr>
        <w:tc>
          <w:tcPr>
            <w:tcW w:w="40" w:type="dxa"/>
            <w:vAlign w:val="bottom"/>
            <w:shd w:val="clear" w:color="auto" w:fill="DDDDDD"/>
          </w:tcPr>
          <w:p>
            <w:pPr>
              <w:spacing w:after="0"/>
              <w:rPr>
                <w:sz w:val="23"/>
                <w:szCs w:val="23"/>
                <w:color w:val="auto"/>
              </w:rPr>
            </w:pPr>
          </w:p>
        </w:tc>
        <w:tc>
          <w:tcPr>
            <w:tcW w:w="6960" w:type="dxa"/>
            <w:vAlign w:val="bottom"/>
            <w:gridSpan w:val="4"/>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260" w:type="dxa"/>
            <w:vAlign w:val="bottom"/>
            <w:tcBorders>
              <w:bottom w:val="single" w:sz="8" w:color="auto"/>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3,357</w:t>
            </w:r>
          </w:p>
        </w:tc>
      </w:tr>
      <w:tr>
        <w:trPr>
          <w:trHeight w:val="253"/>
        </w:trPr>
        <w:tc>
          <w:tcPr>
            <w:tcW w:w="40" w:type="dxa"/>
            <w:vAlign w:val="bottom"/>
          </w:tcPr>
          <w:p>
            <w:pPr>
              <w:spacing w:after="0"/>
              <w:rPr>
                <w:sz w:val="22"/>
                <w:szCs w:val="22"/>
                <w:color w:val="auto"/>
              </w:rPr>
            </w:pPr>
          </w:p>
        </w:tc>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35,407</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39,658</w:t>
            </w: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Pr>
          <w:p>
            <w:pPr>
              <w:spacing w:after="0"/>
              <w:rPr>
                <w:sz w:val="17"/>
                <w:szCs w:val="17"/>
                <w:color w:val="auto"/>
              </w:rPr>
            </w:pPr>
          </w:p>
        </w:tc>
        <w:tc>
          <w:tcPr>
            <w:tcW w:w="880" w:type="dxa"/>
            <w:vAlign w:val="bottom"/>
          </w:tcPr>
          <w:p>
            <w:pPr>
              <w:jc w:val="right"/>
              <w:ind w:right="30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410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57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Segment Adjusted Operating EBITDA:</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1,176</w:t>
            </w:r>
          </w:p>
        </w:tc>
        <w:tc>
          <w:tcPr>
            <w:tcW w:w="3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1,172</w:t>
            </w:r>
          </w:p>
        </w:tc>
        <w:tc>
          <w:tcPr>
            <w:tcW w:w="3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0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634</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625</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26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423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60" w:type="dxa"/>
            <w:vAlign w:val="bottom"/>
            <w:gridSpan w:val="4"/>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260" w:type="dxa"/>
            <w:vAlign w:val="bottom"/>
            <w:tcBorders>
              <w:bottom w:val="single" w:sz="8" w:color="auto"/>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222</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22"/>
                <w:szCs w:val="22"/>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2,455</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2,425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(1,179)</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(1,156)</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Related Costs (a)</w:t>
            </w:r>
          </w:p>
        </w:tc>
        <w:tc>
          <w:tcPr>
            <w:tcW w:w="26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Gains (Losses) on Sale of Fixed Assets</w:t>
            </w:r>
          </w:p>
        </w:tc>
        <w:tc>
          <w:tcPr>
            <w:tcW w:w="26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Impairment of Goodwill (b)</w:t>
            </w: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(2,250)</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 of Long-Lived Assets (c)</w:t>
            </w:r>
          </w:p>
        </w:tc>
        <w:tc>
          <w:tcPr>
            <w:tcW w:w="2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Shareholder Activism Related Costs (d)</w:t>
            </w: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Divestiture Costs (e)</w:t>
            </w:r>
          </w:p>
        </w:tc>
        <w:tc>
          <w:tcPr>
            <w:tcW w:w="2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Employee Separation Costs (f)</w:t>
            </w: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Initiative Costs (g)</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Global Shared Services Implementation Costs (h)</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Frutarom Acquisition Related Costs (i)</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Compliance Review &amp; Legal Defense Costs (j)</w:t>
            </w: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N&amp;B Inventory Step-Up Costs</w:t>
            </w:r>
          </w:p>
        </w:tc>
        <w:tc>
          <w:tcPr>
            <w:tcW w:w="260" w:type="dxa"/>
            <w:vAlign w:val="bottom"/>
          </w:tcPr>
          <w:p>
            <w:pPr>
              <w:spacing w:after="0"/>
              <w:rPr>
                <w:sz w:val="23"/>
                <w:szCs w:val="23"/>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N&amp;B Transaction Related Costs (k)</w:t>
            </w: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8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576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Integration Related Costs (l)</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6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(1,625)</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354</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57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40" w:right="400" w:hanging="342"/>
        <w:spacing w:after="0" w:line="238" w:lineRule="auto"/>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related to the acquisition of Health Wright Products, primarily consulting and legal fees, offset in part by earn out adjustments.</w:t>
      </w:r>
    </w:p>
    <w:p>
      <w:pPr>
        <w:spacing w:after="0" w:line="36" w:lineRule="exact"/>
        <w:rPr>
          <w:rFonts w:ascii="Times New Roman" w:cs="Times New Roman" w:eastAsia="Times New Roman" w:hAnsi="Times New Roman"/>
          <w:sz w:val="17"/>
          <w:szCs w:val="17"/>
          <w:color w:val="auto"/>
        </w:rPr>
      </w:pPr>
    </w:p>
    <w:p>
      <w:pPr>
        <w:ind w:left="440" w:hanging="347"/>
        <w:spacing w:after="0"/>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related to the impairment of goodwill in the Health &amp; Biosciences reporting unit.</w:t>
      </w:r>
    </w:p>
    <w:p>
      <w:pPr>
        <w:spacing w:after="0" w:line="62" w:lineRule="exact"/>
        <w:rPr>
          <w:rFonts w:ascii="Times New Roman" w:cs="Times New Roman" w:eastAsia="Times New Roman" w:hAnsi="Times New Roman"/>
          <w:sz w:val="17"/>
          <w:szCs w:val="17"/>
          <w:color w:val="auto"/>
        </w:rPr>
      </w:pPr>
    </w:p>
    <w:p>
      <w:pPr>
        <w:ind w:left="440" w:hanging="342"/>
        <w:spacing w:after="0"/>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related to the impairment of intangible and fixed assets of an asset group that operates primarily in Russia.</w:t>
      </w:r>
    </w:p>
    <w:p>
      <w:pPr>
        <w:spacing w:after="0" w:line="67" w:lineRule="exact"/>
        <w:rPr>
          <w:rFonts w:ascii="Times New Roman" w:cs="Times New Roman" w:eastAsia="Times New Roman" w:hAnsi="Times New Roman"/>
          <w:sz w:val="17"/>
          <w:szCs w:val="17"/>
          <w:color w:val="auto"/>
        </w:rPr>
      </w:pPr>
    </w:p>
    <w:p>
      <w:pPr>
        <w:ind w:left="440" w:hanging="347"/>
        <w:spacing w:after="0"/>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shareholder activist related costs, primarily professional fees.</w:t>
      </w:r>
    </w:p>
    <w:p>
      <w:pPr>
        <w:spacing w:after="0" w:line="62" w:lineRule="exact"/>
        <w:rPr>
          <w:rFonts w:ascii="Times New Roman" w:cs="Times New Roman" w:eastAsia="Times New Roman" w:hAnsi="Times New Roman"/>
          <w:sz w:val="17"/>
          <w:szCs w:val="17"/>
          <w:color w:val="auto"/>
        </w:rPr>
      </w:pPr>
    </w:p>
    <w:p>
      <w:pPr>
        <w:ind w:left="440" w:right="360" w:hanging="342"/>
        <w:spacing w:after="0" w:line="238" w:lineRule="auto"/>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including establishment of deferred tax liabilities, related to the Company's sales and planned sales of businesses, primarily legal and professional fees.</w:t>
      </w:r>
    </w:p>
    <w:p>
      <w:pPr>
        <w:spacing w:after="0" w:line="36" w:lineRule="exact"/>
        <w:rPr>
          <w:rFonts w:ascii="Times New Roman" w:cs="Times New Roman" w:eastAsia="Times New Roman" w:hAnsi="Times New Roman"/>
          <w:sz w:val="17"/>
          <w:szCs w:val="17"/>
          <w:color w:val="auto"/>
        </w:rPr>
      </w:pPr>
    </w:p>
    <w:p>
      <w:pPr>
        <w:ind w:left="440" w:right="300" w:hanging="333"/>
        <w:spacing w:after="0" w:line="238" w:lineRule="auto"/>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related to severance, including accelerated stock compensation expense, for certain employees and executives who have been separated or will separate from the Company.</w:t>
      </w:r>
    </w:p>
    <w:p>
      <w:pPr>
        <w:spacing w:after="0" w:line="36" w:lineRule="exact"/>
        <w:rPr>
          <w:rFonts w:ascii="Times New Roman" w:cs="Times New Roman" w:eastAsia="Times New Roman" w:hAnsi="Times New Roman"/>
          <w:sz w:val="17"/>
          <w:szCs w:val="17"/>
          <w:color w:val="auto"/>
        </w:rPr>
      </w:pPr>
    </w:p>
    <w:p>
      <w:pPr>
        <w:ind w:left="440" w:hanging="347"/>
        <w:spacing w:after="0"/>
        <w:tabs>
          <w:tab w:leader="none" w:pos="4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Company's strategic assessment and business portfolio optimization efforts, primarily consulting fees.</w:t>
      </w:r>
    </w:p>
    <w:p>
      <w:pPr>
        <w:spacing w:after="0" w:line="74" w:lineRule="exact"/>
        <w:rPr>
          <w:rFonts w:ascii="Times New Roman" w:cs="Times New Roman" w:eastAsia="Times New Roman" w:hAnsi="Times New Roman"/>
          <w:sz w:val="16"/>
          <w:szCs w:val="16"/>
          <w:color w:val="auto"/>
        </w:rPr>
      </w:pPr>
    </w:p>
    <w:p>
      <w:pPr>
        <w:ind w:left="440" w:hanging="347"/>
        <w:spacing w:after="0"/>
        <w:tabs>
          <w:tab w:leader="none" w:pos="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costs related to the Company's efforts of restructuring the Global Shared Services Centers, primarily consulting fees.</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ectPr>
          <w:pgSz w:w="11880" w:h="15480" w:orient="portrait"/>
          <w:cols w:equalWidth="0" w:num="1">
            <w:col w:w="9400"/>
          </w:cols>
          <w:pgMar w:left="1220" w:top="1322" w:right="1260" w:bottom="254" w:gutter="0" w:footer="0" w:header="0"/>
        </w:sectPr>
      </w:pPr>
    </w:p>
    <w:bookmarkStart w:id="98" w:name="page99"/>
    <w:bookmarkEnd w:id="98"/>
    <w:p>
      <w:pPr>
        <w:ind w:left="440" w:right="220" w:hanging="328"/>
        <w:spacing w:after="0" w:line="238" w:lineRule="auto"/>
        <w:tabs>
          <w:tab w:leader="none" w:pos="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transaction-related costs and expenses related to the acquisition of Frutarom, primarily includes earn-out payments, net of adjustments.</w:t>
      </w:r>
    </w:p>
    <w:p>
      <w:pPr>
        <w:spacing w:after="0" w:line="36" w:lineRule="exact"/>
        <w:rPr>
          <w:rFonts w:ascii="Times New Roman" w:cs="Times New Roman" w:eastAsia="Times New Roman" w:hAnsi="Times New Roman"/>
          <w:sz w:val="17"/>
          <w:szCs w:val="17"/>
          <w:color w:val="auto"/>
        </w:rPr>
      </w:pPr>
    </w:p>
    <w:p>
      <w:pPr>
        <w:ind w:left="440" w:right="540" w:hanging="328"/>
        <w:spacing w:after="0" w:line="238" w:lineRule="auto"/>
        <w:tabs>
          <w:tab w:leader="none" w:pos="4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reviewing the nature of inappropriate payments and review of compliance in certain other countries. In addition, includes legal costs for related shareholder lawsuits.</w:t>
      </w:r>
    </w:p>
    <w:p>
      <w:pPr>
        <w:spacing w:after="0" w:line="37" w:lineRule="exact"/>
        <w:rPr>
          <w:sz w:val="20"/>
          <w:szCs w:val="20"/>
          <w:color w:val="auto"/>
        </w:rPr>
      </w:pPr>
    </w:p>
    <w:p>
      <w:pPr>
        <w:ind w:left="100"/>
        <w:spacing w:after="0"/>
        <w:tabs>
          <w:tab w:leader="none" w:pos="420" w:val="left"/>
        </w:tabs>
        <w:rPr>
          <w:sz w:val="20"/>
          <w:szCs w:val="20"/>
          <w:color w:val="auto"/>
        </w:rPr>
      </w:pPr>
      <w:r>
        <w:rPr>
          <w:rFonts w:ascii="Times New Roman" w:cs="Times New Roman" w:eastAsia="Times New Roman" w:hAnsi="Times New Roman"/>
          <w:sz w:val="17"/>
          <w:szCs w:val="17"/>
          <w:color w:val="auto"/>
        </w:rPr>
        <w:t>(k)</w:t>
      </w:r>
      <w:r>
        <w:rPr>
          <w:sz w:val="20"/>
          <w:szCs w:val="20"/>
          <w:color w:val="auto"/>
        </w:rPr>
        <w:tab/>
      </w:r>
      <w:r>
        <w:rPr>
          <w:rFonts w:ascii="Times New Roman" w:cs="Times New Roman" w:eastAsia="Times New Roman" w:hAnsi="Times New Roman"/>
          <w:sz w:val="16"/>
          <w:szCs w:val="16"/>
          <w:color w:val="auto"/>
        </w:rPr>
        <w:t>Represents transaction costs and expenses related to the transaction with N&amp;B, primarily legal and professional fees.</w:t>
      </w:r>
    </w:p>
    <w:p>
      <w:pPr>
        <w:spacing w:after="0" w:line="63" w:lineRule="exact"/>
        <w:rPr>
          <w:sz w:val="20"/>
          <w:szCs w:val="20"/>
          <w:color w:val="auto"/>
        </w:rPr>
      </w:pPr>
    </w:p>
    <w:p>
      <w:pPr>
        <w:ind w:left="440" w:right="120" w:hanging="328"/>
        <w:spacing w:after="0" w:line="242" w:lineRule="auto"/>
        <w:tabs>
          <w:tab w:leader="none" w:pos="4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integration activities since 2018, primarily for Frutarom and N&amp;B. For 2022, represents costs primarily related to external consulting fees and internal integration costs, including salaries of individuals who are fully dedicated to integration efforts. For 2021 and 2020, represents costs primarily related to performance stock awards and consulting fees for advisory services.</w:t>
      </w:r>
    </w:p>
    <w:p>
      <w:pPr>
        <w:spacing w:after="0" w:line="73" w:lineRule="exact"/>
        <w:rPr>
          <w:sz w:val="20"/>
          <w:szCs w:val="20"/>
          <w:color w:val="auto"/>
        </w:rPr>
      </w:pPr>
    </w:p>
    <w:p>
      <w:pPr>
        <w:ind w:left="40" w:firstLine="328"/>
        <w:spacing w:after="0" w:line="300" w:lineRule="auto"/>
        <w:rPr>
          <w:sz w:val="20"/>
          <w:szCs w:val="20"/>
          <w:color w:val="auto"/>
        </w:rPr>
      </w:pPr>
      <w:r>
        <w:rPr>
          <w:rFonts w:ascii="Times New Roman" w:cs="Times New Roman" w:eastAsia="Times New Roman" w:hAnsi="Times New Roman"/>
          <w:sz w:val="18"/>
          <w:szCs w:val="18"/>
          <w:color w:val="auto"/>
        </w:rPr>
        <w:t>The Company has not disclosed revenues at a lower level than provided herein, such as revenues from external customers by product, as it is impracticable for it to do so.</w:t>
      </w: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had no customers that accounted for greater than 10% of consolidated net sales in 2022, 2021 and 2020.</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Long-lived assets, net, by country, consisted as follows:</w:t>
      </w:r>
    </w:p>
    <w:p>
      <w:pPr>
        <w:spacing w:after="0" w:line="13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0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86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DDDDDD"/>
            </w:tcBorders>
          </w:tcPr>
          <w:p>
            <w:pPr>
              <w:spacing w:after="0" w:line="20" w:lineRule="exact"/>
              <w:rPr>
                <w:sz w:val="1"/>
                <w:szCs w:val="1"/>
                <w:color w:val="auto"/>
              </w:rPr>
            </w:pPr>
          </w:p>
        </w:tc>
        <w:tc>
          <w:tcPr>
            <w:tcW w:w="80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DDDDDD"/>
            </w:tcBorders>
          </w:tcPr>
          <w:p>
            <w:pPr>
              <w:spacing w:after="0" w:line="20" w:lineRule="exact"/>
              <w:rPr>
                <w:sz w:val="1"/>
                <w:szCs w:val="1"/>
                <w:color w:val="auto"/>
              </w:rPr>
            </w:pPr>
          </w:p>
        </w:tc>
        <w:tc>
          <w:tcPr>
            <w:tcW w:w="80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DDDDDD"/>
            </w:tcBorders>
          </w:tcPr>
          <w:p>
            <w:pPr>
              <w:spacing w:after="0" w:line="20" w:lineRule="exact"/>
              <w:rPr>
                <w:sz w:val="1"/>
                <w:szCs w:val="1"/>
                <w:color w:val="auto"/>
              </w:rPr>
            </w:pPr>
          </w:p>
        </w:tc>
        <w:tc>
          <w:tcPr>
            <w:tcW w:w="7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DDDDDD"/>
            </w:tcBorders>
          </w:tcPr>
          <w:p>
            <w:pPr>
              <w:spacing w:after="0" w:line="20" w:lineRule="exact"/>
              <w:rPr>
                <w:sz w:val="1"/>
                <w:szCs w:val="1"/>
                <w:color w:val="auto"/>
              </w:rPr>
            </w:pPr>
          </w:p>
        </w:tc>
        <w:tc>
          <w:tcPr>
            <w:tcW w:w="68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6"/>
        </w:trPr>
        <w:tc>
          <w:tcPr>
            <w:tcW w:w="40" w:type="dxa"/>
            <w:vAlign w:val="bottom"/>
          </w:tcPr>
          <w:p>
            <w:pPr>
              <w:spacing w:after="0"/>
              <w:rPr>
                <w:sz w:val="21"/>
                <w:szCs w:val="21"/>
                <w:color w:val="auto"/>
              </w:rPr>
            </w:pPr>
          </w:p>
        </w:tc>
        <w:tc>
          <w:tcPr>
            <w:tcW w:w="60" w:type="dxa"/>
            <w:vAlign w:val="bottom"/>
            <w:tcBorders>
              <w:right w:val="single" w:sz="8" w:color="DDDDDD"/>
            </w:tcBorders>
          </w:tcPr>
          <w:p>
            <w:pPr>
              <w:spacing w:after="0"/>
              <w:rPr>
                <w:sz w:val="21"/>
                <w:szCs w:val="21"/>
                <w:color w:val="auto"/>
              </w:rPr>
            </w:pPr>
          </w:p>
        </w:tc>
        <w:tc>
          <w:tcPr>
            <w:tcW w:w="16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8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8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7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20" w:type="dxa"/>
            <w:vAlign w:val="bottom"/>
            <w:gridSpan w:val="4"/>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DDDDD"/>
          </w:tcPr>
          <w:p>
            <w:pPr>
              <w:spacing w:after="0"/>
              <w:rPr>
                <w:sz w:val="21"/>
                <w:szCs w:val="21"/>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60" w:type="dxa"/>
            <w:vAlign w:val="bottom"/>
            <w:gridSpan w:val="2"/>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2,041</w:t>
            </w:r>
          </w:p>
        </w:tc>
        <w:tc>
          <w:tcPr>
            <w:tcW w:w="20" w:type="dxa"/>
            <w:vAlign w:val="bottom"/>
            <w:shd w:val="clear" w:color="auto" w:fill="DDDDDD"/>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60" w:type="dxa"/>
            <w:vAlign w:val="bottom"/>
            <w:tcBorders>
              <w:right w:val="single" w:sz="8" w:color="DDDDDD"/>
            </w:tcBorders>
          </w:tcPr>
          <w:p>
            <w:pPr>
              <w:spacing w:after="0"/>
              <w:rPr>
                <w:sz w:val="24"/>
                <w:szCs w:val="24"/>
                <w:color w:val="auto"/>
              </w:rPr>
            </w:pPr>
          </w:p>
        </w:tc>
        <w:tc>
          <w:tcPr>
            <w:tcW w:w="16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Denmark</w:t>
            </w:r>
          </w:p>
        </w:tc>
        <w:tc>
          <w:tcPr>
            <w:tcW w:w="8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2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251</w:t>
            </w:r>
          </w:p>
        </w:tc>
        <w:tc>
          <w:tcPr>
            <w:tcW w:w="2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Finland</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60" w:type="dxa"/>
            <w:vAlign w:val="bottom"/>
            <w:tcBorders>
              <w:right w:val="single" w:sz="8" w:color="DDDDDD"/>
            </w:tcBorders>
          </w:tcPr>
          <w:p>
            <w:pPr>
              <w:spacing w:after="0"/>
              <w:rPr>
                <w:sz w:val="24"/>
                <w:szCs w:val="24"/>
                <w:color w:val="auto"/>
              </w:rPr>
            </w:pPr>
          </w:p>
        </w:tc>
        <w:tc>
          <w:tcPr>
            <w:tcW w:w="16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France</w:t>
            </w:r>
          </w:p>
        </w:tc>
        <w:tc>
          <w:tcPr>
            <w:tcW w:w="86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2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DDDDDD"/>
            </w:tcBorders>
            <w:shd w:val="clear" w:color="auto" w:fill="DDDDDD"/>
          </w:tcPr>
          <w:p>
            <w:pPr>
              <w:spacing w:after="0"/>
              <w:rPr>
                <w:sz w:val="24"/>
                <w:szCs w:val="24"/>
                <w:color w:val="auto"/>
              </w:rPr>
            </w:pPr>
          </w:p>
        </w:tc>
      </w:tr>
      <w:tr>
        <w:trPr>
          <w:trHeight w:val="251"/>
        </w:trPr>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21"/>
                <w:szCs w:val="21"/>
                <w:color w:val="auto"/>
              </w:rPr>
            </w:pPr>
          </w:p>
        </w:tc>
      </w:tr>
      <w:tr>
        <w:trPr>
          <w:trHeight w:val="294"/>
        </w:trPr>
        <w:tc>
          <w:tcPr>
            <w:tcW w:w="40" w:type="dxa"/>
            <w:vAlign w:val="bottom"/>
          </w:tcPr>
          <w:p>
            <w:pPr>
              <w:spacing w:after="0"/>
              <w:rPr>
                <w:sz w:val="24"/>
                <w:szCs w:val="24"/>
                <w:color w:val="auto"/>
              </w:rPr>
            </w:pPr>
          </w:p>
        </w:tc>
        <w:tc>
          <w:tcPr>
            <w:tcW w:w="60" w:type="dxa"/>
            <w:vAlign w:val="bottom"/>
            <w:tcBorders>
              <w:right w:val="single" w:sz="8" w:color="DDDDDD"/>
            </w:tcBorders>
          </w:tcPr>
          <w:p>
            <w:pPr>
              <w:spacing w:after="0"/>
              <w:rPr>
                <w:sz w:val="24"/>
                <w:szCs w:val="24"/>
                <w:color w:val="auto"/>
              </w:rPr>
            </w:pPr>
          </w:p>
        </w:tc>
        <w:tc>
          <w:tcPr>
            <w:tcW w:w="160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DDDDDD"/>
            </w:tcBorders>
            <w:shd w:val="clear" w:color="auto" w:fill="DDDDDD"/>
          </w:tcPr>
          <w:p>
            <w:pPr>
              <w:spacing w:after="0"/>
              <w:rPr>
                <w:sz w:val="24"/>
                <w:szCs w:val="24"/>
                <w:color w:val="auto"/>
              </w:rPr>
            </w:pPr>
          </w:p>
        </w:tc>
        <w:tc>
          <w:tcPr>
            <w:tcW w:w="7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4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Borders>
              <w:bottom w:val="single" w:sz="8" w:color="auto"/>
            </w:tcBorders>
            <w:shd w:val="clear" w:color="auto" w:fill="DDDDDD"/>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20" w:type="dxa"/>
            <w:vAlign w:val="bottom"/>
          </w:tcPr>
          <w:p>
            <w:pPr>
              <w:spacing w:after="0"/>
              <w:rPr>
                <w:sz w:val="20"/>
                <w:szCs w:val="20"/>
                <w:color w:val="auto"/>
              </w:rPr>
            </w:pPr>
          </w:p>
        </w:tc>
        <w:tc>
          <w:tcPr>
            <w:tcW w:w="32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4,368</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80" w:type="dxa"/>
            <w:vAlign w:val="bottom"/>
            <w:gridSpan w:val="25"/>
          </w:tcPr>
          <w:p>
            <w:pPr>
              <w:ind w:left="280"/>
              <w:spacing w:after="0"/>
              <w:rPr>
                <w:sz w:val="20"/>
                <w:szCs w:val="20"/>
                <w:color w:val="auto"/>
              </w:rPr>
            </w:pPr>
            <w:r>
              <w:rPr>
                <w:rFonts w:ascii="Times New Roman" w:cs="Times New Roman" w:eastAsia="Times New Roman" w:hAnsi="Times New Roman"/>
                <w:sz w:val="18"/>
                <w:szCs w:val="18"/>
                <w:color w:val="auto"/>
              </w:rPr>
              <w:t>Segment capital expenditures and depreciation and amortization consisted as follows: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4"/>
        </w:trPr>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19"/>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r>
      <w:tr>
        <w:trPr>
          <w:trHeight w:val="199"/>
        </w:trPr>
        <w:tc>
          <w:tcPr>
            <w:tcW w:w="40" w:type="dxa"/>
            <w:vAlign w:val="bottom"/>
          </w:tcPr>
          <w:p>
            <w:pPr>
              <w:spacing w:after="0"/>
              <w:rPr>
                <w:sz w:val="17"/>
                <w:szCs w:val="17"/>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4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24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4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2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2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248"/>
              <w:spacing w:after="0" w:line="199" w:lineRule="exact"/>
              <w:rPr>
                <w:sz w:val="20"/>
                <w:szCs w:val="20"/>
                <w:color w:val="auto"/>
              </w:rPr>
            </w:pPr>
            <w:r>
              <w:rPr>
                <w:rFonts w:ascii="Times New Roman" w:cs="Times New Roman" w:eastAsia="Times New Roman" w:hAnsi="Times New Roman"/>
                <w:sz w:val="18"/>
                <w:szCs w:val="18"/>
                <w:b w:val="1"/>
                <w:bCs w:val="1"/>
                <w:color w:val="auto"/>
              </w:rPr>
              <w:t>2020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gridSpan w:val="4"/>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19"/>
        </w:trPr>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60" w:type="dxa"/>
            <w:vAlign w:val="bottom"/>
            <w:tcBorders>
              <w:top w:val="single" w:sz="8" w:color="DDDDDD"/>
              <w:bottom w:val="single" w:sz="8" w:color="DDDDDD"/>
              <w:right w:val="single" w:sz="8" w:color="DDDDDD"/>
            </w:tcBorders>
            <w:shd w:val="clear" w:color="auto" w:fill="DDDDDD"/>
          </w:tcPr>
          <w:p>
            <w:pPr>
              <w:spacing w:after="0"/>
              <w:rPr>
                <w:sz w:val="19"/>
                <w:szCs w:val="19"/>
                <w:color w:val="auto"/>
              </w:rPr>
            </w:pPr>
          </w:p>
        </w:tc>
        <w:tc>
          <w:tcPr>
            <w:tcW w:w="160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Nourish</w:t>
            </w:r>
          </w:p>
        </w:tc>
        <w:tc>
          <w:tcPr>
            <w:tcW w:w="86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4"/>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596</w:t>
            </w:r>
          </w:p>
        </w:tc>
        <w:tc>
          <w:tcPr>
            <w:tcW w:w="4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DDDDDD"/>
            </w:tcBorders>
            <w:shd w:val="clear" w:color="auto" w:fill="DDDDDD"/>
          </w:tcPr>
          <w:p>
            <w:pPr>
              <w:spacing w:after="0"/>
              <w:rPr>
                <w:sz w:val="19"/>
                <w:szCs w:val="19"/>
                <w:color w:val="auto"/>
              </w:rPr>
            </w:pPr>
          </w:p>
        </w:tc>
        <w:tc>
          <w:tcPr>
            <w:tcW w:w="40" w:type="dxa"/>
            <w:vAlign w:val="bottom"/>
            <w:tcBorders>
              <w:top w:val="single" w:sz="8" w:color="DDDDDD"/>
              <w:bottom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DDDDDD"/>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Borders>
              <w:left w:val="single" w:sz="8" w:color="DDDDDD"/>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8"/>
        </w:trPr>
        <w:tc>
          <w:tcPr>
            <w:tcW w:w="4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60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Health &amp; Biosciences</w:t>
            </w:r>
          </w:p>
        </w:tc>
        <w:tc>
          <w:tcPr>
            <w:tcW w:w="86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80" w:type="dxa"/>
            <w:vAlign w:val="bottom"/>
            <w:tcBorders>
              <w:bottom w:val="single" w:sz="8" w:color="DDDDDD"/>
            </w:tcBorders>
          </w:tcPr>
          <w:p>
            <w:pPr>
              <w:spacing w:after="0"/>
              <w:rPr>
                <w:sz w:val="24"/>
                <w:szCs w:val="24"/>
                <w:color w:val="auto"/>
              </w:rPr>
            </w:pPr>
          </w:p>
        </w:tc>
        <w:tc>
          <w:tcPr>
            <w:tcW w:w="7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760" w:type="dxa"/>
            <w:vAlign w:val="bottom"/>
            <w:tcBorders>
              <w:bottom w:val="single" w:sz="8" w:color="DDDDDD"/>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40" w:type="dxa"/>
            <w:vAlign w:val="bottom"/>
            <w:tcBorders>
              <w:bottom w:val="single" w:sz="8" w:color="DDDDDD"/>
            </w:tcBorders>
          </w:tcPr>
          <w:p>
            <w:pPr>
              <w:spacing w:after="0"/>
              <w:rPr>
                <w:sz w:val="24"/>
                <w:szCs w:val="24"/>
                <w:color w:val="auto"/>
              </w:rPr>
            </w:pPr>
          </w:p>
        </w:tc>
        <w:tc>
          <w:tcPr>
            <w:tcW w:w="8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40" w:type="dxa"/>
            <w:vAlign w:val="bottom"/>
            <w:shd w:val="clear" w:color="auto" w:fill="DDDDDD"/>
          </w:tcPr>
          <w:p>
            <w:pPr>
              <w:spacing w:after="0"/>
              <w:rPr>
                <w:sz w:val="19"/>
                <w:szCs w:val="19"/>
                <w:color w:val="auto"/>
              </w:rPr>
            </w:pPr>
          </w:p>
        </w:tc>
        <w:tc>
          <w:tcPr>
            <w:tcW w:w="60" w:type="dxa"/>
            <w:vAlign w:val="bottom"/>
            <w:tcBorders>
              <w:right w:val="single" w:sz="8" w:color="DDDDDD"/>
            </w:tcBorders>
            <w:shd w:val="clear" w:color="auto" w:fill="DDDDDD"/>
          </w:tcPr>
          <w:p>
            <w:pPr>
              <w:spacing w:after="0"/>
              <w:rPr>
                <w:sz w:val="19"/>
                <w:szCs w:val="19"/>
                <w:color w:val="auto"/>
              </w:rPr>
            </w:pPr>
          </w:p>
        </w:tc>
        <w:tc>
          <w:tcPr>
            <w:tcW w:w="16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Scent</w:t>
            </w:r>
          </w:p>
        </w:tc>
        <w:tc>
          <w:tcPr>
            <w:tcW w:w="86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760" w:type="dxa"/>
            <w:vAlign w:val="bottom"/>
            <w:gridSpan w:val="4"/>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Borders>
              <w:left w:val="single" w:sz="8" w:color="DDDDDD"/>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08"/>
        </w:trPr>
        <w:tc>
          <w:tcPr>
            <w:tcW w:w="40" w:type="dxa"/>
            <w:vAlign w:val="bottom"/>
          </w:tcPr>
          <w:p>
            <w:pPr>
              <w:spacing w:after="0"/>
              <w:rPr>
                <w:sz w:val="24"/>
                <w:szCs w:val="24"/>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Pharma Solutions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right w:val="single" w:sz="8" w:color="DDDDDD"/>
            </w:tcBorders>
            <w:shd w:val="clear" w:color="auto" w:fill="DDDDDD"/>
          </w:tcPr>
          <w:p>
            <w:pPr>
              <w:spacing w:after="0"/>
              <w:rPr>
                <w:sz w:val="19"/>
                <w:szCs w:val="19"/>
                <w:color w:val="auto"/>
              </w:rPr>
            </w:pPr>
          </w:p>
        </w:tc>
        <w:tc>
          <w:tcPr>
            <w:tcW w:w="1600" w:type="dxa"/>
            <w:vAlign w:val="bottom"/>
            <w:tcBorders>
              <w:top w:val="single" w:sz="8" w:color="DDDDDD"/>
            </w:tcBorders>
            <w:gridSpan w:val="2"/>
            <w:shd w:val="clear" w:color="auto" w:fill="DDDDDD"/>
          </w:tcPr>
          <w:p>
            <w:pPr>
              <w:ind w:left="280"/>
              <w:spacing w:after="0"/>
              <w:rPr>
                <w:sz w:val="20"/>
                <w:szCs w:val="20"/>
                <w:color w:val="auto"/>
              </w:rPr>
            </w:pPr>
            <w:r>
              <w:rPr>
                <w:rFonts w:ascii="Times New Roman" w:cs="Times New Roman" w:eastAsia="Times New Roman" w:hAnsi="Times New Roman"/>
                <w:sz w:val="18"/>
                <w:szCs w:val="18"/>
                <w:color w:val="auto"/>
              </w:rPr>
              <w:t>Consolidated</w:t>
            </w:r>
          </w:p>
        </w:tc>
        <w:tc>
          <w:tcPr>
            <w:tcW w:w="86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4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4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280" w:type="dxa"/>
            <w:vAlign w:val="bottom"/>
            <w:tcBorders>
              <w:top w:val="single" w:sz="8" w:color="auto"/>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24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4"/>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1,179</w:t>
            </w:r>
          </w:p>
        </w:tc>
        <w:tc>
          <w:tcPr>
            <w:tcW w:w="40" w:type="dxa"/>
            <w:vAlign w:val="bottom"/>
            <w:tcBorders>
              <w:top w:val="single" w:sz="8" w:color="auto"/>
              <w:bottom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4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Borders>
              <w:left w:val="single" w:sz="8" w:color="DDDDDD"/>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31750</wp:posOffset>
                </wp:positionH>
                <wp:positionV relativeFrom="paragraph">
                  <wp:posOffset>-1678305</wp:posOffset>
                </wp:positionV>
                <wp:extent cx="437705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7705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pt,-132.1499pt" to="347.15pt,-132.1499pt" o:allowincell="f" strokecolor="#FFFFFF" strokeweight="0.876pt"/>
            </w:pict>
          </mc:Fallback>
        </mc:AlternateConten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sales are attributed to individual regions based upon the destination of product delivery and are as follows:</w:t>
      </w:r>
    </w:p>
    <w:p>
      <w:pPr>
        <w:spacing w:after="0" w:line="13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9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bottom w:val="single" w:sz="8" w:color="DDDDDD"/>
            </w:tcBorders>
          </w:tcPr>
          <w:p>
            <w:pPr>
              <w:spacing w:after="0" w:line="20" w:lineRule="exact"/>
              <w:rPr>
                <w:sz w:val="1"/>
                <w:szCs w:val="1"/>
                <w:color w:val="auto"/>
              </w:rPr>
            </w:pPr>
          </w:p>
        </w:tc>
        <w:tc>
          <w:tcPr>
            <w:tcW w:w="3980" w:type="dxa"/>
            <w:vAlign w:val="bottom"/>
            <w:tcBorders>
              <w:bottom w:val="single" w:sz="8" w:color="DDDDDD"/>
            </w:tcBorders>
            <w:vMerge w:val="continue"/>
          </w:tcPr>
          <w:p>
            <w:pPr>
              <w:spacing w:after="0" w:line="20" w:lineRule="exact"/>
              <w:rPr>
                <w:sz w:val="1"/>
                <w:szCs w:val="1"/>
                <w:color w:val="auto"/>
              </w:rPr>
            </w:pPr>
          </w:p>
        </w:tc>
        <w:tc>
          <w:tcPr>
            <w:tcW w:w="20" w:type="dxa"/>
            <w:vAlign w:val="bottom"/>
            <w:tcBorders>
              <w:bottom w:val="single" w:sz="8" w:color="DDDDDD"/>
            </w:tcBorders>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0" w:type="dxa"/>
            <w:vAlign w:val="bottom"/>
            <w:shd w:val="clear" w:color="auto" w:fill="DDDDDD"/>
          </w:tcPr>
          <w:p>
            <w:pPr>
              <w:spacing w:after="0"/>
              <w:rPr>
                <w:sz w:val="21"/>
                <w:szCs w:val="21"/>
                <w:color w:val="auto"/>
              </w:rPr>
            </w:pPr>
          </w:p>
        </w:tc>
        <w:tc>
          <w:tcPr>
            <w:tcW w:w="5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Europe, Africa and Middle East</w:t>
            </w:r>
          </w:p>
        </w:tc>
        <w:tc>
          <w:tcPr>
            <w:tcW w:w="26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Asia</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56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6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6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600" w:type="dxa"/>
            <w:vAlign w:val="bottom"/>
            <w:gridSpan w:val="3"/>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12,440</w:t>
            </w: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9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2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2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28"/>
              <w:spacing w:after="0" w:line="182" w:lineRule="exact"/>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5540" w:type="dxa"/>
            <w:vAlign w:val="bottom"/>
            <w:tcBorders>
              <w:bottom w:val="single" w:sz="8" w:color="DDDDDD"/>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shd w:val="clear" w:color="auto" w:fill="DDDDDD"/>
          </w:tcPr>
          <w:p>
            <w:pPr>
              <w:spacing w:after="0"/>
              <w:rPr>
                <w:sz w:val="21"/>
                <w:szCs w:val="21"/>
                <w:color w:val="auto"/>
              </w:rPr>
            </w:pPr>
          </w:p>
        </w:tc>
        <w:tc>
          <w:tcPr>
            <w:tcW w:w="55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sales related to the U.S.</w:t>
            </w:r>
          </w:p>
        </w:tc>
        <w:tc>
          <w:tcPr>
            <w:tcW w:w="28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6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70"/>
        </w:trPr>
        <w:tc>
          <w:tcPr>
            <w:tcW w:w="40" w:type="dxa"/>
            <w:vAlign w:val="bottom"/>
          </w:tcPr>
          <w:p>
            <w:pPr>
              <w:spacing w:after="0"/>
              <w:rPr>
                <w:sz w:val="23"/>
                <w:szCs w:val="23"/>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attributed to all foreign countries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3,991</w:t>
            </w:r>
          </w:p>
        </w:tc>
      </w:tr>
    </w:tbl>
    <w:p>
      <w:pPr>
        <w:spacing w:after="0" w:line="68" w:lineRule="exact"/>
        <w:rPr>
          <w:sz w:val="20"/>
          <w:szCs w:val="20"/>
          <w:color w:val="auto"/>
        </w:rPr>
      </w:pPr>
    </w:p>
    <w:p>
      <w:pPr>
        <w:ind w:left="40" w:right="140" w:firstLine="451"/>
        <w:spacing w:after="0" w:line="300" w:lineRule="auto"/>
        <w:rPr>
          <w:sz w:val="20"/>
          <w:szCs w:val="20"/>
          <w:color w:val="auto"/>
        </w:rPr>
      </w:pPr>
      <w:r>
        <w:rPr>
          <w:rFonts w:ascii="Times New Roman" w:cs="Times New Roman" w:eastAsia="Times New Roman" w:hAnsi="Times New Roman"/>
          <w:sz w:val="18"/>
          <w:szCs w:val="18"/>
          <w:color w:val="auto"/>
        </w:rPr>
        <w:t>No non-U.S. country had net sales greater than 6% of total consolidated net sales for 2022 and net sales greater than 7% and 6% of total consolidated net sales for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92</w:t>
      </w:r>
    </w:p>
    <w:p>
      <w:pPr>
        <w:sectPr>
          <w:pgSz w:w="11880" w:h="15480" w:orient="portrait"/>
          <w:cols w:equalWidth="0" w:num="1">
            <w:col w:w="9400"/>
          </w:cols>
          <w:pgMar w:left="1220" w:top="1326" w:right="1260" w:bottom="254" w:gutter="0" w:footer="0" w:header="0"/>
        </w:sectPr>
      </w:pPr>
    </w:p>
    <w:bookmarkStart w:id="99" w:name="page100"/>
    <w:bookmarkEnd w:id="9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tab/>
        <w:t>EMPLOYEE BENEFITS</w:t>
      </w:r>
    </w:p>
    <w:p>
      <w:pPr>
        <w:spacing w:after="0" w:line="124" w:lineRule="exact"/>
        <w:rPr>
          <w:sz w:val="20"/>
          <w:szCs w:val="20"/>
          <w:color w:val="auto"/>
        </w:rPr>
      </w:pPr>
    </w:p>
    <w:p>
      <w:pPr>
        <w:jc w:val="both"/>
        <w:ind w:firstLine="329"/>
        <w:spacing w:after="0" w:line="261" w:lineRule="auto"/>
        <w:rPr>
          <w:sz w:val="20"/>
          <w:szCs w:val="20"/>
          <w:color w:val="auto"/>
        </w:rPr>
      </w:pPr>
      <w:r>
        <w:rPr>
          <w:rFonts w:ascii="Times New Roman" w:cs="Times New Roman" w:eastAsia="Times New Roman" w:hAnsi="Times New Roman"/>
          <w:sz w:val="18"/>
          <w:szCs w:val="18"/>
          <w:color w:val="auto"/>
        </w:rPr>
        <w:t>The Company has pension and/or other retirement benefit plans covering approximately one-fifth of active employees. In 2007, the Company amended its U.S. qualified and non-qualified pension plans under which accrual of future benefits was suspended for all participants that did not meet the rule of 70 (age plus years of service equal to at least 70 as of December 31, 2007). Pension benefits are generally based on years of service and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general corporate assets.</w:t>
      </w:r>
    </w:p>
    <w:p>
      <w:pPr>
        <w:spacing w:after="0" w:line="65"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In connection with the Merger with N&amp;B, as of the Closing Date, the Company assumed responsibility for approximately 20 additional defined benefit plans and recognized liabilities in the aggregate amount of $221 million.</w:t>
      </w:r>
    </w:p>
    <w:p>
      <w:pPr>
        <w:spacing w:after="0" w:line="30"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The Company sponsors a qualified defined contribution plan covering substantially all U.S. employees. Under this plan, the Company matches 100% of participants’ contributions up to 4% of compensation and 75% of participants’ contributions from over 4% to 8%. Employees that are still eligible to accrue benefits under the pension plans are limited to a 50% match of up to 6% of the participants’ compensation.</w:t>
      </w:r>
    </w:p>
    <w:p>
      <w:pPr>
        <w:spacing w:after="0" w:line="57" w:lineRule="exact"/>
        <w:rPr>
          <w:sz w:val="20"/>
          <w:szCs w:val="20"/>
          <w:color w:val="auto"/>
        </w:rPr>
      </w:pPr>
    </w:p>
    <w:p>
      <w:pPr>
        <w:jc w:val="both"/>
        <w:ind w:firstLine="329"/>
        <w:spacing w:after="0" w:line="269" w:lineRule="auto"/>
        <w:rPr>
          <w:sz w:val="20"/>
          <w:szCs w:val="20"/>
          <w:color w:val="auto"/>
        </w:rPr>
      </w:pPr>
      <w:r>
        <w:rPr>
          <w:rFonts w:ascii="Times New Roman" w:cs="Times New Roman" w:eastAsia="Times New Roman" w:hAnsi="Times New Roman"/>
          <w:sz w:val="18"/>
          <w:szCs w:val="18"/>
          <w:color w:val="auto"/>
        </w:rPr>
        <w:t>In addition to pension benefits, certain health care and life insurance benefits are provided to qualifying U.S. employees upon retirement from IFF. Such coverage is provided through insurance plans with premiums based on benefits paid. The Company does not generally provide health care or life insurance coverage for retired employees of foreign subsidiaries; such benefits are provided in most foreign countries by government-sponsored plans, and the cost of these programs is not material.</w:t>
      </w:r>
    </w:p>
    <w:p>
      <w:pPr>
        <w:spacing w:after="0" w:line="57"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(“DCP”) for certain key employees and non-employee directors. Eligible employees and non-employee directors may elect to defer receipt of salary, incentive payments and Board of Directors’ fees into participant-directed investments which are generally invested by the Company in individual variable life insurance contracts it owns that are designed to informally fund savings plans of this nature. The cash surrender value of life insurance is based on the net asset values of the underlying funds available to plan participants. At December 31, 2022 and December 31, 2021, the Consolidated Balance Sheets reflect liabilities of approximately $53 million and $64 million, respectively, related to the DCP in Other liabilities and approximately $25 million and $26 million, respectively, included in Capital in excess of par value related to the portion of the DCP that will be paid out in IFF shares.</w:t>
      </w:r>
    </w:p>
    <w:p>
      <w:pPr>
        <w:spacing w:after="0" w:line="66"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total cash surrender value of life insurance contracts the Company owns in relation to the DCP and post-retirement life insurance benefits amounted to $45 million and $52 million at December 31, 2022 and 2021, respectively, and are recorded in Other assets in the Consolidated Balance Sheets.</w:t>
      </w:r>
    </w:p>
    <w:p>
      <w:pPr>
        <w:spacing w:after="0" w:line="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plan assets and benefit obligations of the defined benefit pension plans are measured at December 31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93</w:t>
      </w:r>
    </w:p>
    <w:p>
      <w:pPr>
        <w:sectPr>
          <w:pgSz w:w="11880" w:h="15480" w:orient="portrait"/>
          <w:cols w:equalWidth="0" w:num="1">
            <w:col w:w="9360"/>
          </w:cols>
          <w:pgMar w:left="1260" w:top="1252" w:right="1260" w:bottom="254"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68"/>
              <w:spacing w:after="0" w:line="173"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68"/>
              <w:spacing w:after="0" w:line="173"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88"/>
              <w:spacing w:after="0" w:line="173" w:lineRule="exact"/>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68"/>
              <w:spacing w:after="0" w:line="173"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68"/>
              <w:spacing w:after="0" w:line="173"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168"/>
              <w:spacing w:after="0" w:line="173" w:lineRule="exact"/>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Borders>
              <w:bottom w:val="single" w:sz="8" w:color="DDDDDD"/>
            </w:tcBorders>
          </w:tcPr>
          <w:p>
            <w:pPr>
              <w:spacing w:after="0"/>
              <w:rPr>
                <w:sz w:val="2"/>
                <w:szCs w:val="2"/>
                <w:color w:val="auto"/>
              </w:rPr>
            </w:pPr>
          </w:p>
        </w:tc>
        <w:tc>
          <w:tcPr>
            <w:tcW w:w="3420" w:type="dxa"/>
            <w:vAlign w:val="bottom"/>
            <w:tcBorders>
              <w:bottom w:val="single" w:sz="8" w:color="DDDDDD"/>
            </w:tcBorders>
            <w:gridSpan w:val="2"/>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420" w:type="dxa"/>
            <w:vAlign w:val="bottom"/>
            <w:gridSpan w:val="2"/>
            <w:shd w:val="clear" w:color="auto" w:fill="DDDDDD"/>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4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Service cost for benefits earned</w:t>
            </w:r>
            <w:r>
              <w:rPr>
                <w:rFonts w:ascii="Times New Roman" w:cs="Times New Roman" w:eastAsia="Times New Roman" w:hAnsi="Times New Roman"/>
                <w:sz w:val="11"/>
                <w:szCs w:val="11"/>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gridSpan w:val="2"/>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Borders>
              <w:bottom w:val="single" w:sz="8" w:color="DDDDDD"/>
            </w:tcBorders>
            <w:shd w:val="clear" w:color="auto" w:fill="DDDDDD"/>
          </w:tcPr>
          <w:p>
            <w:pPr>
              <w:spacing w:after="0"/>
              <w:rPr>
                <w:sz w:val="16"/>
                <w:szCs w:val="16"/>
                <w:color w:val="auto"/>
              </w:rPr>
            </w:pPr>
          </w:p>
        </w:tc>
        <w:tc>
          <w:tcPr>
            <w:tcW w:w="3420" w:type="dxa"/>
            <w:vAlign w:val="bottom"/>
            <w:tcBorders>
              <w:bottom w:val="single" w:sz="8" w:color="DDDDDD"/>
            </w:tcBorders>
            <w:gridSpan w:val="2"/>
            <w:shd w:val="clear" w:color="auto" w:fill="DDDDDD"/>
          </w:tcPr>
          <w:p>
            <w:pPr>
              <w:ind w:left="120"/>
              <w:spacing w:after="0" w:line="190" w:lineRule="exact"/>
              <w:rPr>
                <w:sz w:val="20"/>
                <w:szCs w:val="20"/>
                <w:color w:val="auto"/>
              </w:rPr>
            </w:pPr>
            <w:r>
              <w:rPr>
                <w:rFonts w:ascii="Times New Roman" w:cs="Times New Roman" w:eastAsia="Times New Roman" w:hAnsi="Times New Roman"/>
                <w:sz w:val="18"/>
                <w:szCs w:val="18"/>
                <w:color w:val="auto"/>
              </w:rPr>
              <w:t>Interest cost on projected benefit</w:t>
            </w:r>
          </w:p>
        </w:tc>
        <w:tc>
          <w:tcPr>
            <w:tcW w:w="4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680" w:type="dxa"/>
            <w:vAlign w:val="bottom"/>
            <w:tcBorders>
              <w:bottom w:val="single" w:sz="8" w:color="DDDDDD"/>
            </w:tcBorders>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680" w:type="dxa"/>
            <w:vAlign w:val="bottom"/>
            <w:tcBorders>
              <w:bottom w:val="single" w:sz="8" w:color="DDDDDD"/>
            </w:tcBorders>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20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680" w:type="dxa"/>
            <w:vAlign w:val="bottom"/>
            <w:tcBorders>
              <w:bottom w:val="single" w:sz="8" w:color="DDDDDD"/>
            </w:tcBorders>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220" w:type="dxa"/>
            <w:vAlign w:val="bottom"/>
            <w:tcBorders>
              <w:bottom w:val="single" w:sz="8" w:color="DDDDDD"/>
            </w:tcBorders>
            <w:shd w:val="clear" w:color="auto" w:fill="DDDDDD"/>
          </w:tcPr>
          <w:p>
            <w:pPr>
              <w:spacing w:after="0"/>
              <w:rPr>
                <w:sz w:val="16"/>
                <w:szCs w:val="16"/>
                <w:color w:val="auto"/>
              </w:rPr>
            </w:pPr>
          </w:p>
        </w:tc>
        <w:tc>
          <w:tcPr>
            <w:tcW w:w="680" w:type="dxa"/>
            <w:vAlign w:val="bottom"/>
            <w:tcBorders>
              <w:bottom w:val="single" w:sz="8" w:color="DDDDDD"/>
            </w:tcBorders>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 w:type="dxa"/>
            <w:vAlign w:val="bottom"/>
            <w:shd w:val="clear" w:color="auto" w:fill="DDDDDD"/>
          </w:tcPr>
          <w:p>
            <w:pPr>
              <w:spacing w:after="0"/>
              <w:rPr>
                <w:sz w:val="20"/>
                <w:szCs w:val="20"/>
                <w:color w:val="auto"/>
              </w:rPr>
            </w:pPr>
          </w:p>
        </w:tc>
        <w:tc>
          <w:tcPr>
            <w:tcW w:w="342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11"/>
                <w:szCs w:val="11"/>
                <w:color w:val="auto"/>
              </w:rPr>
              <w:t>(2)</w:t>
            </w:r>
          </w:p>
        </w:tc>
        <w:tc>
          <w:tcPr>
            <w:tcW w:w="4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68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68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0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70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68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680" w:type="dxa"/>
            <w:vAlign w:val="bottom"/>
            <w:vMerge w:val="continue"/>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r>
              <w:rPr>
                <w:rFonts w:ascii="Times New Roman" w:cs="Times New Roman" w:eastAsia="Times New Roman" w:hAnsi="Times New Roman"/>
                <w:sz w:val="11"/>
                <w:szCs w:val="11"/>
                <w:color w:val="auto"/>
              </w:rPr>
              <w:t>(2)</w:t>
            </w:r>
          </w:p>
        </w:tc>
        <w:tc>
          <w:tcPr>
            <w:tcW w:w="2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34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Net amortization of deferrals</w:t>
            </w:r>
            <w:r>
              <w:rPr>
                <w:rFonts w:ascii="Times New Roman" w:cs="Times New Roman" w:eastAsia="Times New Roman" w:hAnsi="Times New Roman"/>
                <w:sz w:val="11"/>
                <w:szCs w:val="11"/>
                <w:color w:val="auto"/>
              </w:rPr>
              <w:t>(2)</w:t>
            </w: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Borders>
              <w:bottom w:val="single" w:sz="8" w:color="DDDDDD"/>
            </w:tcBorders>
          </w:tcPr>
          <w:p>
            <w:pPr>
              <w:spacing w:after="0"/>
              <w:rPr>
                <w:sz w:val="22"/>
                <w:szCs w:val="22"/>
                <w:color w:val="auto"/>
              </w:rPr>
            </w:pPr>
          </w:p>
        </w:tc>
        <w:tc>
          <w:tcPr>
            <w:tcW w:w="342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Settlements and curtailments</w:t>
            </w:r>
            <w:r>
              <w:rPr>
                <w:rFonts w:ascii="Times New Roman" w:cs="Times New Roman" w:eastAsia="Times New Roman" w:hAnsi="Times New Roman"/>
                <w:sz w:val="11"/>
                <w:szCs w:val="11"/>
                <w:color w:val="auto"/>
              </w:rPr>
              <w:t>(2)</w:t>
            </w:r>
          </w:p>
        </w:tc>
        <w:tc>
          <w:tcPr>
            <w:tcW w:w="4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3460" w:type="dxa"/>
            <w:vAlign w:val="bottom"/>
            <w:gridSpan w:val="3"/>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220" w:type="dxa"/>
            <w:vAlign w:val="bottom"/>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DDDDDD"/>
            </w:tcBorders>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3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Defined contribution and other</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tcPr>
          <w:p>
            <w:pPr>
              <w:spacing w:after="0"/>
              <w:rPr>
                <w:sz w:val="19"/>
                <w:szCs w:val="19"/>
                <w:color w:val="auto"/>
              </w:rPr>
            </w:pPr>
          </w:p>
        </w:tc>
        <w:tc>
          <w:tcPr>
            <w:tcW w:w="342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retirement plans</w:t>
            </w:r>
          </w:p>
        </w:tc>
        <w:tc>
          <w:tcPr>
            <w:tcW w:w="4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DDDDDD"/>
            </w:tcBorders>
            <w:shd w:val="clear" w:color="auto" w:fill="DDDDDD"/>
          </w:tcPr>
          <w:p>
            <w:pPr>
              <w:spacing w:after="0"/>
              <w:rPr>
                <w:sz w:val="23"/>
                <w:szCs w:val="23"/>
                <w:color w:val="auto"/>
              </w:rPr>
            </w:pPr>
          </w:p>
        </w:tc>
        <w:tc>
          <w:tcPr>
            <w:tcW w:w="3460" w:type="dxa"/>
            <w:vAlign w:val="bottom"/>
            <w:tcBorders>
              <w:bottom w:val="single" w:sz="8" w:color="DDDDDD"/>
            </w:tcBorders>
            <w:gridSpan w:val="3"/>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expense</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auto"/>
            </w:tcBorders>
            <w:gridSpan w:val="2"/>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60" w:type="dxa"/>
            <w:vAlign w:val="bottom"/>
            <w:gridSpan w:val="3"/>
            <w:vMerge w:val="restart"/>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Changes in plan assets and benefit</w:t>
            </w: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0" w:type="dxa"/>
            <w:vAlign w:val="bottom"/>
          </w:tcPr>
          <w:p>
            <w:pPr>
              <w:spacing w:after="0"/>
              <w:rPr>
                <w:sz w:val="10"/>
                <w:szCs w:val="10"/>
                <w:color w:val="auto"/>
              </w:rPr>
            </w:pPr>
          </w:p>
        </w:tc>
        <w:tc>
          <w:tcPr>
            <w:tcW w:w="34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obligations recognized in OCI</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3"/>
                <w:szCs w:val="23"/>
                <w:color w:val="auto"/>
              </w:rPr>
            </w:pPr>
          </w:p>
        </w:tc>
        <w:tc>
          <w:tcPr>
            <w:tcW w:w="34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Net actuarial (gain) loss</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2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34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shd w:val="clear" w:color="auto" w:fill="DDDDDD"/>
          </w:tcPr>
          <w:p>
            <w:pPr>
              <w:spacing w:after="0"/>
              <w:rPr>
                <w:sz w:val="24"/>
                <w:szCs w:val="24"/>
                <w:color w:val="auto"/>
              </w:rPr>
            </w:pPr>
          </w:p>
        </w:tc>
        <w:tc>
          <w:tcPr>
            <w:tcW w:w="7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2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3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Recognized prior service (cost) credit</w:t>
            </w:r>
          </w:p>
        </w:tc>
        <w:tc>
          <w:tcPr>
            <w:tcW w:w="22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34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22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460" w:type="dxa"/>
            <w:vAlign w:val="bottom"/>
            <w:gridSpan w:val="3"/>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(gain) loss recognized in OCI (before</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15"/>
                <w:szCs w:val="15"/>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4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tax effects)</w:t>
            </w:r>
          </w:p>
        </w:tc>
        <w:tc>
          <w:tcPr>
            <w:tcW w:w="220" w:type="dxa"/>
            <w:vAlign w:val="bottom"/>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2825750</wp:posOffset>
                </wp:positionH>
                <wp:positionV relativeFrom="paragraph">
                  <wp:posOffset>-1885315</wp:posOffset>
                </wp:positionV>
                <wp:extent cx="0" cy="288925"/>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41681">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5pt,-148.4499pt" to="222.5pt,-125.6999pt" o:allowincell="f" strokecolor="#FFFFFF" strokeweight="3.282pt"/>
            </w:pict>
          </mc:Fallback>
        </mc:AlternateContent>
        <mc:AlternateContent>
          <mc:Choice Requires="wps">
            <w:drawing>
              <wp:anchor simplePos="0" relativeHeight="251657728" behindDoc="1" locked="0" layoutInCell="0" allowOverlap="1">
                <wp:simplePos x="0" y="0"/>
                <wp:positionH relativeFrom="column">
                  <wp:posOffset>3451225</wp:posOffset>
                </wp:positionH>
                <wp:positionV relativeFrom="paragraph">
                  <wp:posOffset>-1885315</wp:posOffset>
                </wp:positionV>
                <wp:extent cx="0" cy="288925"/>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41681">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1.75pt,-148.4499pt" to="271.75pt,-125.6999pt" o:allowincell="f" strokecolor="#FFFFFF" strokeweight="3.282pt"/>
            </w:pict>
          </mc:Fallback>
        </mc:AlternateContent>
        <mc:AlternateContent>
          <mc:Choice Requires="wps">
            <w:drawing>
              <wp:anchor simplePos="0" relativeHeight="251657728" behindDoc="1" locked="0" layoutInCell="0" allowOverlap="1">
                <wp:simplePos x="0" y="0"/>
                <wp:positionH relativeFrom="column">
                  <wp:posOffset>4076700</wp:posOffset>
                </wp:positionH>
                <wp:positionV relativeFrom="paragraph">
                  <wp:posOffset>-1885315</wp:posOffset>
                </wp:positionV>
                <wp:extent cx="0" cy="288925"/>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41681">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pt,-148.4499pt" to="321pt,-125.6999pt" o:allowincell="f" strokecolor="#FFFFFF" strokeweight="3.282pt"/>
            </w:pict>
          </mc:Fallback>
        </mc:AlternateContent>
        <mc:AlternateContent>
          <mc:Choice Requires="wps">
            <w:drawing>
              <wp:anchor simplePos="0" relativeHeight="251657728" behindDoc="1" locked="0" layoutInCell="0" allowOverlap="1">
                <wp:simplePos x="0" y="0"/>
                <wp:positionH relativeFrom="column">
                  <wp:posOffset>4702175</wp:posOffset>
                </wp:positionH>
                <wp:positionV relativeFrom="paragraph">
                  <wp:posOffset>-1885315</wp:posOffset>
                </wp:positionV>
                <wp:extent cx="0" cy="288925"/>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41681">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5pt,-148.4499pt" to="370.25pt,-125.6999pt" o:allowincell="f" strokecolor="#FFFFFF" strokeweight="3.282pt"/>
            </w:pict>
          </mc:Fallback>
        </mc:AlternateContent>
        <mc:AlternateContent>
          <mc:Choice Requires="wps">
            <w:drawing>
              <wp:anchor simplePos="0" relativeHeight="251657728" behindDoc="1" locked="0" layoutInCell="0" allowOverlap="1">
                <wp:simplePos x="0" y="0"/>
                <wp:positionH relativeFrom="column">
                  <wp:posOffset>5327015</wp:posOffset>
                </wp:positionH>
                <wp:positionV relativeFrom="paragraph">
                  <wp:posOffset>-1885315</wp:posOffset>
                </wp:positionV>
                <wp:extent cx="0" cy="288925"/>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88925"/>
                        </a:xfrm>
                        <a:prstGeom prst="line">
                          <a:avLst/>
                        </a:prstGeom>
                        <a:solidFill>
                          <a:srgbClr val="FFFFFF"/>
                        </a:solidFill>
                        <a:ln w="41681">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45pt,-148.4499pt" to="419.45pt,-125.6999pt" o:allowincell="f" strokecolor="#FFFFFF" strokeweight="3.282pt"/>
            </w:pict>
          </mc:Fallback>
        </mc:AlternateContent>
        <mc:AlternateContent>
          <mc:Choice Requires="wps">
            <w:drawing>
              <wp:anchor simplePos="0" relativeHeight="251657728" behindDoc="1" locked="0" layoutInCell="0" allowOverlap="1">
                <wp:simplePos x="0" y="0"/>
                <wp:positionH relativeFrom="column">
                  <wp:posOffset>2212975</wp:posOffset>
                </wp:positionH>
                <wp:positionV relativeFrom="paragraph">
                  <wp:posOffset>6985</wp:posOffset>
                </wp:positionV>
                <wp:extent cx="58928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280"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25pt,0.55pt" to="220.65pt,0.55pt" o:allowincell="f" strokecolor="#000000" strokeweight="0.875pt"/>
            </w:pict>
          </mc:Fallback>
        </mc:AlternateContent>
        <mc:AlternateContent>
          <mc:Choice Requires="wps">
            <w:drawing>
              <wp:anchor simplePos="0" relativeHeight="251657728" behindDoc="1" locked="0" layoutInCell="0" allowOverlap="1">
                <wp:simplePos x="0" y="0"/>
                <wp:positionH relativeFrom="column">
                  <wp:posOffset>2838450</wp:posOffset>
                </wp:positionH>
                <wp:positionV relativeFrom="paragraph">
                  <wp:posOffset>6985</wp:posOffset>
                </wp:positionV>
                <wp:extent cx="58928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280"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5pt,0.55pt" to="269.9pt,0.55pt" o:allowincell="f" strokecolor="#000000" strokeweight="0.875pt"/>
            </w:pict>
          </mc:Fallback>
        </mc:AlternateContent>
        <mc:AlternateContent>
          <mc:Choice Requires="wps">
            <w:drawing>
              <wp:anchor simplePos="0" relativeHeight="251657728" behindDoc="1" locked="0" layoutInCell="0" allowOverlap="1">
                <wp:simplePos x="0" y="0"/>
                <wp:positionH relativeFrom="column">
                  <wp:posOffset>4089400</wp:posOffset>
                </wp:positionH>
                <wp:positionV relativeFrom="paragraph">
                  <wp:posOffset>6985</wp:posOffset>
                </wp:positionV>
                <wp:extent cx="58864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645"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0.55pt" to="368.35pt,0.55pt" o:allowincell="f" strokecolor="#000000" strokeweight="0.875pt"/>
            </w:pict>
          </mc:Fallback>
        </mc:AlternateContent>
        <mc:AlternateContent>
          <mc:Choice Requires="wps">
            <w:drawing>
              <wp:anchor simplePos="0" relativeHeight="251657728" behindDoc="1" locked="0" layoutInCell="0" allowOverlap="1">
                <wp:simplePos x="0" y="0"/>
                <wp:positionH relativeFrom="column">
                  <wp:posOffset>4714240</wp:posOffset>
                </wp:positionH>
                <wp:positionV relativeFrom="paragraph">
                  <wp:posOffset>6985</wp:posOffset>
                </wp:positionV>
                <wp:extent cx="58928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280"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2pt,0.55pt" to="417.6pt,0.55pt" o:allowincell="f" strokecolor="#000000" strokeweight="0.875pt"/>
            </w:pict>
          </mc:Fallback>
        </mc:AlternateContent>
      </w:r>
    </w:p>
    <w:p>
      <w:pPr>
        <w:ind w:left="8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2212975</wp:posOffset>
                </wp:positionH>
                <wp:positionV relativeFrom="paragraph">
                  <wp:posOffset>-106680</wp:posOffset>
                </wp:positionV>
                <wp:extent cx="58928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280" cy="4763"/>
                        </a:xfrm>
                        <a:prstGeom prst="line">
                          <a:avLst/>
                        </a:prstGeom>
                        <a:solidFill>
                          <a:srgbClr val="FFFFFF"/>
                        </a:solidFill>
                        <a:ln w="11124">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25pt,-8.3999pt" to="220.65pt,-8.3999pt" o:allowincell="f" strokecolor="#000000" strokeweight="0.8759pt"/>
            </w:pict>
          </mc:Fallback>
        </mc:AlternateContent>
        <mc:AlternateContent>
          <mc:Choice Requires="wps">
            <w:drawing>
              <wp:anchor simplePos="0" relativeHeight="251657728" behindDoc="1" locked="0" layoutInCell="0" allowOverlap="1">
                <wp:simplePos x="0" y="0"/>
                <wp:positionH relativeFrom="column">
                  <wp:posOffset>2838450</wp:posOffset>
                </wp:positionH>
                <wp:positionV relativeFrom="paragraph">
                  <wp:posOffset>-106680</wp:posOffset>
                </wp:positionV>
                <wp:extent cx="58928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280" cy="4763"/>
                        </a:xfrm>
                        <a:prstGeom prst="line">
                          <a:avLst/>
                        </a:prstGeom>
                        <a:solidFill>
                          <a:srgbClr val="FFFFFF"/>
                        </a:solidFill>
                        <a:ln w="11124">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5pt,-8.3999pt" to="269.9pt,-8.3999pt" o:allowincell="f" strokecolor="#000000" strokeweight="0.8759pt"/>
            </w:pict>
          </mc:Fallback>
        </mc:AlternateContent>
        <mc:AlternateContent>
          <mc:Choice Requires="wps">
            <w:drawing>
              <wp:anchor simplePos="0" relativeHeight="251657728" behindDoc="1" locked="0" layoutInCell="0" allowOverlap="1">
                <wp:simplePos x="0" y="0"/>
                <wp:positionH relativeFrom="column">
                  <wp:posOffset>4089400</wp:posOffset>
                </wp:positionH>
                <wp:positionV relativeFrom="paragraph">
                  <wp:posOffset>-106680</wp:posOffset>
                </wp:positionV>
                <wp:extent cx="58864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8645" cy="4763"/>
                        </a:xfrm>
                        <a:prstGeom prst="line">
                          <a:avLst/>
                        </a:prstGeom>
                        <a:solidFill>
                          <a:srgbClr val="FFFFFF"/>
                        </a:solidFill>
                        <a:ln w="11124">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8.3999pt" to="368.35pt,-8.3999pt" o:allowincell="f" strokecolor="#000000" strokeweight="0.8759pt"/>
            </w:pict>
          </mc:Fallback>
        </mc:AlternateContent>
        <mc:AlternateContent>
          <mc:Choice Requires="wps">
            <w:drawing>
              <wp:anchor simplePos="0" relativeHeight="251657728" behindDoc="1" locked="0" layoutInCell="0" allowOverlap="1">
                <wp:simplePos x="0" y="0"/>
                <wp:positionH relativeFrom="column">
                  <wp:posOffset>4714240</wp:posOffset>
                </wp:positionH>
                <wp:positionV relativeFrom="paragraph">
                  <wp:posOffset>-106680</wp:posOffset>
                </wp:positionV>
                <wp:extent cx="58928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9280" cy="4763"/>
                        </a:xfrm>
                        <a:prstGeom prst="line">
                          <a:avLst/>
                        </a:prstGeom>
                        <a:solidFill>
                          <a:srgbClr val="FFFFFF"/>
                        </a:solidFill>
                        <a:ln w="11124">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2pt,-8.3999pt" to="417.6pt,-8.3999pt" o:allowincell="f" strokecolor="#000000" strokeweight="0.8759pt"/>
            </w:pict>
          </mc:Fallback>
        </mc:AlternateContent>
      </w:r>
    </w:p>
    <w:p>
      <w:pPr>
        <w:spacing w:after="0" w:line="49" w:lineRule="exact"/>
        <w:rPr>
          <w:sz w:val="20"/>
          <w:szCs w:val="20"/>
          <w:color w:val="auto"/>
        </w:rPr>
      </w:pPr>
    </w:p>
    <w:p>
      <w:pPr>
        <w:ind w:left="380" w:hanging="334"/>
        <w:spacing w:after="0"/>
        <w:tabs>
          <w:tab w:leader="none" w:pos="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as a component of Operating Profit.</w:t>
      </w:r>
    </w:p>
    <w:p>
      <w:pPr>
        <w:spacing w:after="0" w:line="1" w:lineRule="exact"/>
        <w:rPr>
          <w:rFonts w:ascii="Times New Roman" w:cs="Times New Roman" w:eastAsia="Times New Roman" w:hAnsi="Times New Roman"/>
          <w:sz w:val="17"/>
          <w:szCs w:val="17"/>
          <w:color w:val="auto"/>
        </w:rPr>
      </w:pPr>
    </w:p>
    <w:p>
      <w:pPr>
        <w:ind w:left="380" w:hanging="334"/>
        <w:spacing w:after="0"/>
        <w:tabs>
          <w:tab w:leader="none" w:pos="3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as a component of Other Income (Expense), net.</w:t>
      </w:r>
    </w:p>
    <w:p>
      <w:pPr>
        <w:spacing w:after="0" w:line="17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Postretirement Benefits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94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82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bottom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Borders>
              <w:top w:val="single" w:sz="8" w:color="DDDDDD"/>
            </w:tcBorders>
            <w:shd w:val="clear" w:color="auto" w:fill="DDDDDD"/>
          </w:tcPr>
          <w:p>
            <w:pPr>
              <w:spacing w:after="0"/>
              <w:rPr>
                <w:sz w:val="19"/>
                <w:szCs w:val="19"/>
                <w:color w:val="auto"/>
              </w:rPr>
            </w:pPr>
          </w:p>
        </w:tc>
        <w:tc>
          <w:tcPr>
            <w:tcW w:w="554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820" w:type="dxa"/>
            <w:vAlign w:val="bottom"/>
            <w:tcBorders>
              <w:top w:val="single" w:sz="8" w:color="auto"/>
            </w:tcBorders>
            <w:shd w:val="clear" w:color="auto" w:fill="DDDDDD"/>
          </w:tcPr>
          <w:p>
            <w:pPr>
              <w:spacing w:after="0"/>
              <w:rPr>
                <w:sz w:val="19"/>
                <w:szCs w:val="19"/>
                <w:color w:val="auto"/>
              </w:rPr>
            </w:pPr>
          </w:p>
        </w:tc>
        <w:tc>
          <w:tcPr>
            <w:tcW w:w="360" w:type="dxa"/>
            <w:vAlign w:val="bottom"/>
            <w:tcBorders>
              <w:top w:val="single" w:sz="8" w:color="auto"/>
            </w:tcBorders>
            <w:shd w:val="clear" w:color="auto" w:fill="DDDDDD"/>
          </w:tcPr>
          <w:p>
            <w:pPr>
              <w:spacing w:after="0"/>
              <w:rPr>
                <w:sz w:val="19"/>
                <w:szCs w:val="19"/>
                <w:color w:val="auto"/>
              </w:rPr>
            </w:pPr>
          </w:p>
        </w:tc>
        <w:tc>
          <w:tcPr>
            <w:tcW w:w="20" w:type="dxa"/>
            <w:vAlign w:val="bottom"/>
            <w:tcBorders>
              <w:top w:val="single" w:sz="8" w:color="auto"/>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820" w:type="dxa"/>
            <w:vAlign w:val="bottom"/>
            <w:tcBorders>
              <w:top w:val="single" w:sz="8" w:color="auto"/>
            </w:tcBorders>
            <w:shd w:val="clear" w:color="auto" w:fill="DDDDDD"/>
          </w:tcPr>
          <w:p>
            <w:pPr>
              <w:spacing w:after="0"/>
              <w:rPr>
                <w:sz w:val="19"/>
                <w:szCs w:val="19"/>
                <w:color w:val="auto"/>
              </w:rPr>
            </w:pPr>
          </w:p>
        </w:tc>
        <w:tc>
          <w:tcPr>
            <w:tcW w:w="360" w:type="dxa"/>
            <w:vAlign w:val="bottom"/>
            <w:tcBorders>
              <w:top w:val="single" w:sz="8" w:color="auto"/>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300" w:type="dxa"/>
            <w:vAlign w:val="bottom"/>
            <w:tcBorders>
              <w:top w:val="single" w:sz="8" w:color="auto"/>
            </w:tcBorders>
            <w:shd w:val="clear" w:color="auto" w:fill="DDDDDD"/>
          </w:tcPr>
          <w:p>
            <w:pPr>
              <w:spacing w:after="0"/>
              <w:rPr>
                <w:sz w:val="19"/>
                <w:szCs w:val="19"/>
                <w:color w:val="auto"/>
              </w:rPr>
            </w:pPr>
          </w:p>
        </w:tc>
        <w:tc>
          <w:tcPr>
            <w:tcW w:w="90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6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820" w:type="dxa"/>
            <w:vAlign w:val="bottom"/>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880" w:type="dxa"/>
            <w:vAlign w:val="bottom"/>
            <w:gridSpan w:val="3"/>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60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820" w:type="dxa"/>
            <w:vAlign w:val="bottom"/>
            <w:shd w:val="clear" w:color="auto" w:fill="DDDDDD"/>
          </w:tcPr>
          <w:p>
            <w:pPr>
              <w:spacing w:after="0"/>
              <w:rPr>
                <w:sz w:val="23"/>
                <w:szCs w:val="23"/>
                <w:color w:val="auto"/>
              </w:rPr>
            </w:pP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820" w:type="dxa"/>
            <w:vAlign w:val="bottom"/>
            <w:shd w:val="clear" w:color="auto" w:fill="DDDDDD"/>
          </w:tcPr>
          <w:p>
            <w:pPr>
              <w:spacing w:after="0"/>
              <w:rPr>
                <w:sz w:val="23"/>
                <w:szCs w:val="23"/>
                <w:color w:val="auto"/>
              </w:rPr>
            </w:pP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5600" w:type="dxa"/>
            <w:vAlign w:val="bottom"/>
            <w:tcBorders>
              <w:bottom w:val="single" w:sz="8" w:color="DDDDDD"/>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Net amortization and deferrals</w:t>
            </w:r>
          </w:p>
        </w:tc>
        <w:tc>
          <w:tcPr>
            <w:tcW w:w="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600" w:type="dxa"/>
            <w:vAlign w:val="bottom"/>
            <w:gridSpan w:val="4"/>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credit</w:t>
            </w:r>
          </w:p>
        </w:tc>
        <w:tc>
          <w:tcPr>
            <w:tcW w:w="820" w:type="dxa"/>
            <w:vAlign w:val="bottom"/>
            <w:tcBorders>
              <w:bottom w:val="single" w:sz="8" w:color="auto"/>
            </w:tcBorders>
            <w:shd w:val="clear" w:color="auto" w:fill="DDDDDD"/>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820" w:type="dxa"/>
            <w:vAlign w:val="bottom"/>
            <w:tcBorders>
              <w:bottom w:val="single" w:sz="8" w:color="auto"/>
            </w:tcBorders>
            <w:shd w:val="clear" w:color="auto" w:fill="DDDDDD"/>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Changes in plan assets and benefit obligations recognized in OCI</w:t>
            </w: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5600" w:type="dxa"/>
            <w:vAlign w:val="bottom"/>
            <w:gridSpan w:val="4"/>
            <w:vMerge w:val="continue"/>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55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Net actuarial loss</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820" w:type="dxa"/>
            <w:vAlign w:val="bottom"/>
            <w:shd w:val="clear" w:color="auto" w:fill="DDDDDD"/>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820" w:type="dxa"/>
            <w:vAlign w:val="bottom"/>
            <w:shd w:val="clear" w:color="auto" w:fill="DDDDDD"/>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90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55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Recognized prior service credit</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820" w:type="dxa"/>
            <w:vAlign w:val="bottom"/>
            <w:tcBorders>
              <w:bottom w:val="single" w:sz="8" w:color="auto"/>
            </w:tcBorders>
            <w:shd w:val="clear" w:color="auto" w:fill="DDDDDD"/>
          </w:tcPr>
          <w:p>
            <w:pPr>
              <w:spacing w:after="0"/>
              <w:rPr>
                <w:sz w:val="23"/>
                <w:szCs w:val="23"/>
                <w:color w:val="auto"/>
              </w:rPr>
            </w:pPr>
          </w:p>
        </w:tc>
        <w:tc>
          <w:tcPr>
            <w:tcW w:w="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820" w:type="dxa"/>
            <w:vAlign w:val="bottom"/>
            <w:tcBorders>
              <w:bottom w:val="single" w:sz="8" w:color="auto"/>
            </w:tcBorders>
            <w:shd w:val="clear" w:color="auto" w:fill="DDDDDD"/>
          </w:tcPr>
          <w:p>
            <w:pPr>
              <w:spacing w:after="0"/>
              <w:rPr>
                <w:sz w:val="23"/>
                <w:szCs w:val="23"/>
                <w:color w:val="auto"/>
              </w:rPr>
            </w:pPr>
          </w:p>
        </w:tc>
        <w:tc>
          <w:tcPr>
            <w:tcW w:w="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90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56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Total recognized in OCI (before tax effects)</w:t>
            </w:r>
          </w:p>
        </w:tc>
        <w:tc>
          <w:tcPr>
            <w:tcW w:w="820" w:type="dxa"/>
            <w:vAlign w:val="bottom"/>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22"/>
                <w:szCs w:val="22"/>
                <w:color w:val="auto"/>
              </w:rPr>
            </w:pPr>
          </w:p>
        </w:tc>
        <w:tc>
          <w:tcPr>
            <w:tcW w:w="880" w:type="dxa"/>
            <w:vAlign w:val="bottom"/>
            <w:gridSpan w:val="3"/>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weighted-average actuarial assumptions used to determine expense at December 31 of each year are:</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Borders>
              <w:bottom w:val="single" w:sz="8" w:color="auto"/>
            </w:tcBorders>
            <w:gridSpan w:val="5"/>
          </w:tcPr>
          <w:p>
            <w:pPr>
              <w:jc w:val="center"/>
              <w:ind w:left="728"/>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980" w:type="dxa"/>
            <w:vAlign w:val="bottom"/>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18"/>
                <w:szCs w:val="18"/>
                <w:color w:val="auto"/>
              </w:rPr>
            </w:pP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56"/>
        </w:trPr>
        <w:tc>
          <w:tcPr>
            <w:tcW w:w="60" w:type="dxa"/>
            <w:vAlign w:val="bottom"/>
            <w:tcBorders>
              <w:top w:val="single" w:sz="8" w:color="DDDDDD"/>
            </w:tcBorders>
            <w:shd w:val="clear" w:color="auto" w:fill="DDDDDD"/>
          </w:tcPr>
          <w:p>
            <w:pPr>
              <w:spacing w:after="0"/>
              <w:rPr>
                <w:sz w:val="22"/>
                <w:szCs w:val="22"/>
                <w:color w:val="auto"/>
              </w:rPr>
            </w:pPr>
          </w:p>
        </w:tc>
        <w:tc>
          <w:tcPr>
            <w:tcW w:w="298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60" w:type="dxa"/>
            <w:vAlign w:val="bottom"/>
            <w:tcBorders>
              <w:top w:val="single" w:sz="8" w:color="DDDDDD"/>
            </w:tcBorders>
            <w:shd w:val="clear" w:color="auto" w:fill="DDDDDD"/>
          </w:tcPr>
          <w:p>
            <w:pPr>
              <w:spacing w:after="0"/>
              <w:rPr>
                <w:sz w:val="22"/>
                <w:szCs w:val="22"/>
                <w:color w:val="auto"/>
              </w:rPr>
            </w:pPr>
          </w:p>
        </w:tc>
        <w:tc>
          <w:tcPr>
            <w:tcW w:w="9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DDDDDD"/>
            </w:tcBorders>
            <w:shd w:val="clear" w:color="auto" w:fill="DDDDDD"/>
          </w:tcPr>
          <w:p>
            <w:pPr>
              <w:spacing w:after="0"/>
              <w:rPr>
                <w:sz w:val="22"/>
                <w:szCs w:val="22"/>
                <w:color w:val="auto"/>
              </w:rPr>
            </w:pPr>
          </w:p>
        </w:tc>
        <w:tc>
          <w:tcPr>
            <w:tcW w:w="10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60" w:type="dxa"/>
            <w:vAlign w:val="bottom"/>
            <w:tcBorders>
              <w:top w:val="single" w:sz="8" w:color="DDDDDD"/>
            </w:tcBorders>
            <w:shd w:val="clear" w:color="auto" w:fill="DDDDDD"/>
          </w:tcPr>
          <w:p>
            <w:pPr>
              <w:spacing w:after="0"/>
              <w:rPr>
                <w:sz w:val="22"/>
                <w:szCs w:val="22"/>
                <w:color w:val="auto"/>
              </w:rPr>
            </w:pPr>
          </w:p>
        </w:tc>
        <w:tc>
          <w:tcPr>
            <w:tcW w:w="9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80" w:type="dxa"/>
            <w:vAlign w:val="bottom"/>
            <w:tcBorders>
              <w:top w:val="single" w:sz="8" w:color="DDDDDD"/>
            </w:tcBorders>
            <w:shd w:val="clear" w:color="auto" w:fill="DDDDDD"/>
          </w:tcPr>
          <w:p>
            <w:pPr>
              <w:spacing w:after="0"/>
              <w:rPr>
                <w:sz w:val="22"/>
                <w:szCs w:val="22"/>
                <w:color w:val="auto"/>
              </w:rPr>
            </w:pPr>
          </w:p>
        </w:tc>
        <w:tc>
          <w:tcPr>
            <w:tcW w:w="980" w:type="dxa"/>
            <w:vAlign w:val="bottom"/>
            <w:tcBorders>
              <w:top w:val="single" w:sz="8" w:color="auto"/>
            </w:tcBorders>
            <w:shd w:val="clear" w:color="auto" w:fill="DDDDDD"/>
          </w:tcPr>
          <w:p>
            <w:pPr>
              <w:ind w:left="440"/>
              <w:spacing w:after="0"/>
              <w:rPr>
                <w:sz w:val="20"/>
                <w:szCs w:val="20"/>
                <w:color w:val="auto"/>
              </w:rPr>
            </w:pPr>
            <w:r>
              <w:rPr>
                <w:rFonts w:ascii="Times New Roman" w:cs="Times New Roman" w:eastAsia="Times New Roman" w:hAnsi="Times New Roman"/>
                <w:sz w:val="18"/>
                <w:szCs w:val="18"/>
                <w:color w:val="auto"/>
              </w:rPr>
              <w:t>0.85 %</w:t>
            </w:r>
          </w:p>
        </w:tc>
        <w:tc>
          <w:tcPr>
            <w:tcW w:w="60" w:type="dxa"/>
            <w:vAlign w:val="bottom"/>
            <w:tcBorders>
              <w:top w:val="single" w:sz="8" w:color="DDDDDD"/>
            </w:tcBorders>
            <w:shd w:val="clear" w:color="auto" w:fill="DDDDDD"/>
          </w:tcPr>
          <w:p>
            <w:pPr>
              <w:spacing w:after="0"/>
              <w:rPr>
                <w:sz w:val="22"/>
                <w:szCs w:val="22"/>
                <w:color w:val="auto"/>
              </w:rPr>
            </w:pPr>
          </w:p>
        </w:tc>
        <w:tc>
          <w:tcPr>
            <w:tcW w:w="180" w:type="dxa"/>
            <w:vAlign w:val="bottom"/>
            <w:tcBorders>
              <w:top w:val="single" w:sz="8" w:color="auto"/>
            </w:tcBorders>
            <w:shd w:val="clear" w:color="auto" w:fill="DDDDDD"/>
          </w:tcPr>
          <w:p>
            <w:pPr>
              <w:spacing w:after="0"/>
              <w:rPr>
                <w:sz w:val="22"/>
                <w:szCs w:val="22"/>
                <w:color w:val="auto"/>
              </w:rPr>
            </w:pPr>
          </w:p>
        </w:tc>
        <w:tc>
          <w:tcPr>
            <w:tcW w:w="8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53"/>
        </w:trPr>
        <w:tc>
          <w:tcPr>
            <w:tcW w:w="60" w:type="dxa"/>
            <w:vAlign w:val="bottom"/>
          </w:tcPr>
          <w:p>
            <w:pPr>
              <w:spacing w:after="0"/>
              <w:rPr>
                <w:sz w:val="4"/>
                <w:szCs w:val="4"/>
                <w:color w:val="auto"/>
              </w:rPr>
            </w:pPr>
          </w:p>
        </w:tc>
        <w:tc>
          <w:tcPr>
            <w:tcW w:w="2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6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8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6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80" w:type="dxa"/>
            <w:vAlign w:val="bottom"/>
          </w:tcPr>
          <w:p>
            <w:pPr>
              <w:spacing w:after="0"/>
              <w:rPr>
                <w:sz w:val="4"/>
                <w:szCs w:val="4"/>
                <w:color w:val="auto"/>
              </w:rPr>
            </w:pP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4.21 %</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29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DDDDDD"/>
          </w:tcPr>
          <w:p>
            <w:pPr>
              <w:spacing w:after="0"/>
              <w:rPr>
                <w:sz w:val="24"/>
                <w:szCs w:val="24"/>
                <w:color w:val="auto"/>
              </w:rPr>
            </w:pPr>
          </w:p>
        </w:tc>
        <w:tc>
          <w:tcPr>
            <w:tcW w:w="29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6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6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80" w:type="dxa"/>
            <w:vAlign w:val="bottom"/>
            <w:shd w:val="clear" w:color="auto" w:fill="DDDDDD"/>
          </w:tcPr>
          <w:p>
            <w:pPr>
              <w:spacing w:after="0"/>
              <w:rPr>
                <w:sz w:val="24"/>
                <w:szCs w:val="24"/>
                <w:color w:val="auto"/>
              </w:rPr>
            </w:pPr>
          </w:p>
        </w:tc>
        <w:tc>
          <w:tcPr>
            <w:tcW w:w="980" w:type="dxa"/>
            <w:vAlign w:val="bottom"/>
            <w:shd w:val="clear" w:color="auto" w:fill="DDDDDD"/>
          </w:tcPr>
          <w:p>
            <w:pPr>
              <w:ind w:left="440"/>
              <w:spacing w:after="0"/>
              <w:rPr>
                <w:sz w:val="20"/>
                <w:szCs w:val="20"/>
                <w:color w:val="auto"/>
              </w:rPr>
            </w:pPr>
            <w:r>
              <w:rPr>
                <w:rFonts w:ascii="Times New Roman" w:cs="Times New Roman" w:eastAsia="Times New Roman" w:hAnsi="Times New Roman"/>
                <w:sz w:val="18"/>
                <w:szCs w:val="18"/>
                <w:color w:val="auto"/>
              </w:rPr>
              <w:t>2.56 %</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880" w:h="15480" w:orient="portrait"/>
          <w:cols w:equalWidth="0" w:num="1">
            <w:col w:w="9340"/>
          </w:cols>
          <w:pgMar w:left="1220" w:top="1322" w:right="1320" w:bottom="254" w:gutter="0" w:footer="0" w:header="0"/>
        </w:sectPr>
      </w:pPr>
    </w:p>
    <w:bookmarkStart w:id="101" w:name="page102"/>
    <w:bookmarkEnd w:id="101"/>
    <w:p>
      <w:pPr>
        <w:ind w:left="380"/>
        <w:spacing w:after="0"/>
        <w:rPr>
          <w:sz w:val="20"/>
          <w:szCs w:val="20"/>
          <w:color w:val="auto"/>
        </w:rPr>
      </w:pPr>
      <w:r>
        <w:rPr>
          <w:rFonts w:ascii="Times New Roman" w:cs="Times New Roman" w:eastAsia="Times New Roman" w:hAnsi="Times New Roman"/>
          <w:sz w:val="18"/>
          <w:szCs w:val="18"/>
          <w:color w:val="auto"/>
        </w:rPr>
        <w:t>Changes in the postretirement benefit obligation and plan assets, as applicable, are detailed in the following table: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8"/>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7"/>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4"/>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8"/>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7"/>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6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6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16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6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8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6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48"/>
        </w:trPr>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360" w:type="dxa"/>
            <w:vAlign w:val="bottom"/>
            <w:tcBorders>
              <w:bottom w:val="single" w:sz="8" w:color="DDDDDD"/>
            </w:tcBorders>
            <w:gridSpan w:val="2"/>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3420" w:type="dxa"/>
            <w:vAlign w:val="bottom"/>
            <w:tcBorders>
              <w:top w:val="single" w:sz="8" w:color="DDDDDD"/>
            </w:tcBorders>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22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42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3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Plan amendments</w:t>
            </w: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DDDDDD"/>
            </w:tcBorders>
            <w:shd w:val="clear" w:color="auto" w:fill="DDDDDD"/>
          </w:tcPr>
          <w:p>
            <w:pPr>
              <w:spacing w:after="0"/>
              <w:rPr>
                <w:sz w:val="19"/>
                <w:szCs w:val="19"/>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tcBorders>
              <w:bottom w:val="single" w:sz="8" w:color="DDDDDD"/>
            </w:tcBorders>
            <w:shd w:val="clear" w:color="auto" w:fill="DDDDDD"/>
          </w:tcPr>
          <w:p>
            <w:pPr>
              <w:spacing w:after="0"/>
              <w:rPr>
                <w:sz w:val="19"/>
                <w:szCs w:val="19"/>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0" w:type="dxa"/>
            <w:vAlign w:val="bottom"/>
            <w:tcBorders>
              <w:bottom w:val="single" w:sz="8" w:color="DDDDDD"/>
            </w:tcBorders>
            <w:shd w:val="clear" w:color="auto" w:fill="DDDDDD"/>
          </w:tcPr>
          <w:p>
            <w:pPr>
              <w:spacing w:after="0"/>
              <w:rPr>
                <w:sz w:val="19"/>
                <w:szCs w:val="19"/>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spacing w:after="0"/>
              <w:rPr>
                <w:sz w:val="19"/>
                <w:szCs w:val="19"/>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spacing w:after="0"/>
              <w:rPr>
                <w:sz w:val="19"/>
                <w:szCs w:val="19"/>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6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Adjustments for expense/tax contained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36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in service cost</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vMerge w:val="continue"/>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vMerge w:val="continue"/>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vMerge w:val="continue"/>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vMerge w:val="continue"/>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vMerge w:val="continue"/>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42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Curtailments/settlements</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Acquisitions/Transferred Liabilities</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3"/>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3360" w:type="dxa"/>
            <w:vAlign w:val="bottom"/>
            <w:tcBorders>
              <w:top w:val="single" w:sz="8" w:color="DDDDDD"/>
              <w:bottom w:val="single" w:sz="8" w:color="DDDDDD"/>
            </w:tcBorders>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2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1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18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tcBorders>
            <w:shd w:val="clear" w:color="auto" w:fill="DDDDDD"/>
          </w:tcPr>
          <w:p>
            <w:pPr>
              <w:spacing w:after="0"/>
              <w:rPr>
                <w:sz w:val="20"/>
                <w:szCs w:val="20"/>
                <w:color w:val="auto"/>
              </w:rPr>
            </w:pPr>
          </w:p>
        </w:tc>
        <w:tc>
          <w:tcPr>
            <w:tcW w:w="2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6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top w:val="single" w:sz="8" w:color="DDDDDD"/>
            </w:tcBorders>
            <w:shd w:val="clear" w:color="auto" w:fill="DDDDDD"/>
          </w:tcPr>
          <w:p>
            <w:pPr>
              <w:spacing w:after="0"/>
              <w:rPr>
                <w:sz w:val="20"/>
                <w:szCs w:val="20"/>
                <w:color w:val="auto"/>
              </w:rPr>
            </w:pPr>
          </w:p>
        </w:tc>
        <w:tc>
          <w:tcPr>
            <w:tcW w:w="2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 w:type="dxa"/>
            <w:vAlign w:val="bottom"/>
            <w:tcBorders>
              <w:bottom w:val="single" w:sz="8" w:color="DDDDDD"/>
            </w:tcBorders>
          </w:tcPr>
          <w:p>
            <w:pPr>
              <w:spacing w:after="0"/>
              <w:rPr>
                <w:sz w:val="20"/>
                <w:szCs w:val="20"/>
                <w:color w:val="auto"/>
              </w:rPr>
            </w:pPr>
          </w:p>
        </w:tc>
        <w:tc>
          <w:tcPr>
            <w:tcW w:w="3400" w:type="dxa"/>
            <w:vAlign w:val="bottom"/>
            <w:tcBorders>
              <w:bottom w:val="single" w:sz="8" w:color="DDDDDD"/>
            </w:tcBorders>
            <w:gridSpan w:val="4"/>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220" w:type="dxa"/>
            <w:vAlign w:val="bottom"/>
            <w:tcBorders>
              <w:bottom w:val="single" w:sz="8" w:color="DDDDDD"/>
            </w:tcBorders>
            <w:gridSpan w:val="2"/>
          </w:tcPr>
          <w:p>
            <w:pPr>
              <w:spacing w:after="0"/>
              <w:rPr>
                <w:sz w:val="20"/>
                <w:szCs w:val="20"/>
                <w:color w:val="auto"/>
              </w:rPr>
            </w:pPr>
          </w:p>
        </w:tc>
        <w:tc>
          <w:tcPr>
            <w:tcW w:w="6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20" w:type="dxa"/>
            <w:vAlign w:val="bottom"/>
            <w:tcBorders>
              <w:bottom w:val="single" w:sz="8" w:color="DDDDDD"/>
            </w:tcBorders>
            <w:gridSpan w:val="3"/>
          </w:tcPr>
          <w:p>
            <w:pPr>
              <w:spacing w:after="0"/>
              <w:rPr>
                <w:sz w:val="20"/>
                <w:szCs w:val="20"/>
                <w:color w:val="auto"/>
              </w:rPr>
            </w:pPr>
          </w:p>
        </w:tc>
        <w:tc>
          <w:tcPr>
            <w:tcW w:w="68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20" w:type="dxa"/>
            <w:vAlign w:val="bottom"/>
            <w:tcBorders>
              <w:bottom w:val="single" w:sz="8" w:color="DDDDDD"/>
            </w:tcBorders>
            <w:gridSpan w:val="3"/>
          </w:tcPr>
          <w:p>
            <w:pPr>
              <w:spacing w:after="0"/>
              <w:rPr>
                <w:sz w:val="20"/>
                <w:szCs w:val="20"/>
                <w:color w:val="auto"/>
              </w:rPr>
            </w:pPr>
          </w:p>
        </w:tc>
        <w:tc>
          <w:tcPr>
            <w:tcW w:w="7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20" w:type="dxa"/>
            <w:vAlign w:val="bottom"/>
            <w:tcBorders>
              <w:bottom w:val="single" w:sz="8" w:color="DDDDDD"/>
            </w:tcBorders>
            <w:gridSpan w:val="2"/>
          </w:tcPr>
          <w:p>
            <w:pPr>
              <w:spacing w:after="0"/>
              <w:rPr>
                <w:sz w:val="20"/>
                <w:szCs w:val="20"/>
                <w:color w:val="auto"/>
              </w:rPr>
            </w:pPr>
          </w:p>
        </w:tc>
        <w:tc>
          <w:tcPr>
            <w:tcW w:w="700" w:type="dxa"/>
            <w:vAlign w:val="bottom"/>
            <w:tcBorders>
              <w:bottom w:val="single" w:sz="8" w:color="DDDDDD"/>
            </w:tcBorders>
          </w:tcPr>
          <w:p>
            <w:pPr>
              <w:spacing w:after="0"/>
              <w:rPr>
                <w:sz w:val="20"/>
                <w:szCs w:val="20"/>
                <w:color w:val="auto"/>
              </w:rPr>
            </w:pPr>
          </w:p>
        </w:tc>
        <w:tc>
          <w:tcPr>
            <w:tcW w:w="2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20" w:type="dxa"/>
            <w:vAlign w:val="bottom"/>
            <w:tcBorders>
              <w:bottom w:val="single" w:sz="8" w:color="DDDDDD"/>
            </w:tcBorders>
          </w:tcPr>
          <w:p>
            <w:pPr>
              <w:spacing w:after="0"/>
              <w:rPr>
                <w:sz w:val="20"/>
                <w:szCs w:val="20"/>
                <w:color w:val="auto"/>
              </w:rPr>
            </w:pPr>
          </w:p>
        </w:tc>
        <w:tc>
          <w:tcPr>
            <w:tcW w:w="700" w:type="dxa"/>
            <w:vAlign w:val="bottom"/>
            <w:tcBorders>
              <w:bottom w:val="single" w:sz="8" w:color="DDDDDD"/>
            </w:tcBorders>
          </w:tcPr>
          <w:p>
            <w:pPr>
              <w:spacing w:after="0"/>
              <w:rPr>
                <w:sz w:val="20"/>
                <w:szCs w:val="20"/>
                <w:color w:val="auto"/>
              </w:rPr>
            </w:pPr>
          </w:p>
        </w:tc>
        <w:tc>
          <w:tcPr>
            <w:tcW w:w="60" w:type="dxa"/>
            <w:vAlign w:val="bottom"/>
            <w:tcBorders>
              <w:bottom w:val="single" w:sz="8" w:color="DDDDDD"/>
            </w:tcBorders>
          </w:tcPr>
          <w:p>
            <w:pPr>
              <w:spacing w:after="0"/>
              <w:rPr>
                <w:sz w:val="20"/>
                <w:szCs w:val="20"/>
                <w:color w:val="auto"/>
              </w:rPr>
            </w:pPr>
          </w:p>
        </w:tc>
        <w:tc>
          <w:tcPr>
            <w:tcW w:w="220" w:type="dxa"/>
            <w:vAlign w:val="bottom"/>
            <w:tcBorders>
              <w:bottom w:val="single" w:sz="8" w:color="DDDDDD"/>
            </w:tcBorders>
          </w:tcPr>
          <w:p>
            <w:pPr>
              <w:spacing w:after="0"/>
              <w:rPr>
                <w:sz w:val="20"/>
                <w:szCs w:val="20"/>
                <w:color w:val="auto"/>
              </w:rPr>
            </w:pPr>
          </w:p>
        </w:tc>
        <w:tc>
          <w:tcPr>
            <w:tcW w:w="700" w:type="dxa"/>
            <w:vAlign w:val="bottom"/>
            <w:tcBorders>
              <w:bottom w:val="single" w:sz="8" w:color="DDDDDD"/>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42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42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342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0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3420" w:type="dxa"/>
            <w:vAlign w:val="bottom"/>
            <w:tcBorders>
              <w:bottom w:val="single" w:sz="8" w:color="DDDDDD"/>
            </w:tcBorders>
            <w:gridSpan w:val="5"/>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20" w:type="dxa"/>
            <w:vAlign w:val="bottom"/>
            <w:tcBorders>
              <w:bottom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33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spacing w:after="0"/>
              <w:rPr>
                <w:sz w:val="19"/>
                <w:szCs w:val="19"/>
                <w:color w:val="auto"/>
              </w:rPr>
            </w:pPr>
          </w:p>
        </w:tc>
        <w:tc>
          <w:tcPr>
            <w:tcW w:w="70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20" w:type="dxa"/>
            <w:vAlign w:val="bottom"/>
            <w:tcBorders>
              <w:bottom w:val="single" w:sz="8" w:color="DDDDDD"/>
            </w:tcBorders>
            <w:shd w:val="clear" w:color="auto" w:fill="DDDDDD"/>
          </w:tcPr>
          <w:p>
            <w:pPr>
              <w:spacing w:after="0"/>
              <w:rPr>
                <w:sz w:val="19"/>
                <w:szCs w:val="19"/>
                <w:color w:val="auto"/>
              </w:rPr>
            </w:pPr>
          </w:p>
        </w:tc>
        <w:tc>
          <w:tcPr>
            <w:tcW w:w="700" w:type="dxa"/>
            <w:vAlign w:val="bottom"/>
            <w:tcBorders>
              <w:bottom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36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color w:val="auto"/>
              </w:rPr>
              <w:t>Acquisitions/Transferred Assets</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18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70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bottom w:val="single" w:sz="8" w:color="DDDDDD"/>
            </w:tcBorders>
            <w:shd w:val="clear" w:color="auto" w:fill="DDDDDD"/>
          </w:tcPr>
          <w:p>
            <w:pPr>
              <w:spacing w:after="0"/>
              <w:rPr>
                <w:sz w:val="20"/>
                <w:szCs w:val="20"/>
                <w:color w:val="auto"/>
              </w:rPr>
            </w:pPr>
          </w:p>
        </w:tc>
        <w:tc>
          <w:tcPr>
            <w:tcW w:w="3420" w:type="dxa"/>
            <w:vAlign w:val="bottom"/>
            <w:tcBorders>
              <w:bottom w:val="single" w:sz="8" w:color="DDDDDD"/>
            </w:tcBorders>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 w:type="dxa"/>
            <w:vAlign w:val="bottom"/>
            <w:tcBorders>
              <w:bottom w:val="single" w:sz="8" w:color="auto"/>
            </w:tcBorders>
            <w:shd w:val="clear" w:color="auto" w:fill="DDDDDD"/>
          </w:tcPr>
          <w:p>
            <w:pPr>
              <w:spacing w:after="0"/>
              <w:rPr>
                <w:sz w:val="20"/>
                <w:szCs w:val="20"/>
                <w:color w:val="auto"/>
              </w:rPr>
            </w:pPr>
          </w:p>
        </w:tc>
        <w:tc>
          <w:tcPr>
            <w:tcW w:w="180" w:type="dxa"/>
            <w:vAlign w:val="bottom"/>
            <w:tcBorders>
              <w:bottom w:val="single" w:sz="8" w:color="auto"/>
            </w:tcBorders>
            <w:shd w:val="clear" w:color="auto" w:fill="DDDDDD"/>
          </w:tcPr>
          <w:p>
            <w:pPr>
              <w:spacing w:after="0"/>
              <w:rPr>
                <w:sz w:val="20"/>
                <w:szCs w:val="20"/>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spacing w:after="0"/>
              <w:rPr>
                <w:sz w:val="20"/>
                <w:szCs w:val="20"/>
                <w:color w:val="auto"/>
              </w:rPr>
            </w:pPr>
          </w:p>
        </w:tc>
        <w:tc>
          <w:tcPr>
            <w:tcW w:w="72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DDDDDD"/>
            </w:tcBorders>
            <w:shd w:val="clear" w:color="auto" w:fill="DDDDDD"/>
          </w:tcPr>
          <w:p>
            <w:pPr>
              <w:spacing w:after="0"/>
              <w:rPr>
                <w:sz w:val="20"/>
                <w:szCs w:val="20"/>
                <w:color w:val="auto"/>
              </w:rPr>
            </w:pPr>
          </w:p>
        </w:tc>
        <w:tc>
          <w:tcPr>
            <w:tcW w:w="700" w:type="dxa"/>
            <w:vAlign w:val="bottom"/>
            <w:tcBorders>
              <w:bottom w:val="single" w:sz="8" w:color="DDDDDD"/>
            </w:tcBorders>
            <w:shd w:val="clear" w:color="auto" w:fill="DDDDDD"/>
          </w:tcPr>
          <w:p>
            <w:pPr>
              <w:spacing w:after="0"/>
              <w:rPr>
                <w:sz w:val="20"/>
                <w:szCs w:val="20"/>
                <w:color w:val="auto"/>
              </w:rPr>
            </w:pPr>
          </w:p>
        </w:tc>
        <w:tc>
          <w:tcPr>
            <w:tcW w:w="6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DDDDDD"/>
            </w:tcBorders>
            <w:shd w:val="clear" w:color="auto" w:fill="DDDDDD"/>
          </w:tcPr>
          <w:p>
            <w:pPr>
              <w:spacing w:after="0"/>
              <w:rPr>
                <w:sz w:val="20"/>
                <w:szCs w:val="20"/>
                <w:color w:val="auto"/>
              </w:rPr>
            </w:pPr>
          </w:p>
        </w:tc>
        <w:tc>
          <w:tcPr>
            <w:tcW w:w="700" w:type="dxa"/>
            <w:vAlign w:val="bottom"/>
            <w:tcBorders>
              <w:bottom w:val="single" w:sz="8" w:color="DDDDDD"/>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23"/>
                <w:szCs w:val="23"/>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Pr>
          <w:p>
            <w:pPr>
              <w:spacing w:after="0"/>
              <w:rPr>
                <w:sz w:val="23"/>
                <w:szCs w:val="23"/>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3400" w:type="dxa"/>
            <w:vAlign w:val="bottom"/>
            <w:tcBorders>
              <w:top w:val="single" w:sz="8" w:color="DDDDDD"/>
            </w:tcBorders>
            <w:gridSpan w:val="4"/>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20" w:type="dxa"/>
            <w:vAlign w:val="bottom"/>
            <w:tcBorders>
              <w:top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spacing w:after="0"/>
              <w:rPr>
                <w:sz w:val="19"/>
                <w:szCs w:val="19"/>
                <w:color w:val="auto"/>
              </w:rPr>
            </w:pPr>
          </w:p>
        </w:tc>
        <w:tc>
          <w:tcPr>
            <w:tcW w:w="70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spacing w:after="0"/>
              <w:rPr>
                <w:sz w:val="19"/>
                <w:szCs w:val="19"/>
                <w:color w:val="auto"/>
              </w:rPr>
            </w:pPr>
          </w:p>
        </w:tc>
        <w:tc>
          <w:tcPr>
            <w:tcW w:w="700" w:type="dxa"/>
            <w:vAlign w:val="bottom"/>
            <w:tcBorders>
              <w:top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-2099310</wp:posOffset>
                </wp:positionV>
                <wp:extent cx="219773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7735" cy="4763"/>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5.2999pt" to="172.95pt,-165.2999pt" o:allowincell="f" strokecolor="#FFFFFF" strokeweight="2.84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-374650</wp:posOffset>
                </wp:positionV>
                <wp:extent cx="219773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7735"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9.4999pt" to="172.95pt,-29.49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4669790</wp:posOffset>
                </wp:positionH>
                <wp:positionV relativeFrom="paragraph">
                  <wp:posOffset>-374650</wp:posOffset>
                </wp:positionV>
                <wp:extent cx="125095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5095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7.7pt,-29.4999pt" to="466.2pt,-29.4999pt" o:allowincell="f" strokecolor="#FFFFFF" strokeweight="0.876pt"/>
            </w:pict>
          </mc:Fallback>
        </mc:AlternateConten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amounts recognized in the balance sheet are detailed in the following table:</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7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5"/>
          </w:tcPr>
          <w:p>
            <w:pPr>
              <w:jc w:val="right"/>
              <w:ind w:right="528"/>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182"/>
        </w:trPr>
        <w:tc>
          <w:tcPr>
            <w:tcW w:w="6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2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60" w:type="dxa"/>
            <w:vAlign w:val="bottom"/>
            <w:tcBorders>
              <w:bottom w:val="single" w:sz="8" w:color="DDDDDD"/>
            </w:tcBorders>
          </w:tcPr>
          <w:p>
            <w:pPr>
              <w:spacing w:after="0" w:line="20" w:lineRule="exact"/>
              <w:rPr>
                <w:sz w:val="1"/>
                <w:szCs w:val="1"/>
                <w:color w:val="auto"/>
              </w:rPr>
            </w:pPr>
          </w:p>
        </w:tc>
        <w:tc>
          <w:tcPr>
            <w:tcW w:w="4300" w:type="dxa"/>
            <w:vAlign w:val="bottom"/>
            <w:tcBorders>
              <w:bottom w:val="single" w:sz="8" w:color="DDDDDD"/>
            </w:tcBorders>
            <w:gridSpan w:val="2"/>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6"/>
        </w:trPr>
        <w:tc>
          <w:tcPr>
            <w:tcW w:w="60" w:type="dxa"/>
            <w:vAlign w:val="bottom"/>
            <w:shd w:val="clear" w:color="auto" w:fill="DDDDDD"/>
          </w:tcPr>
          <w:p>
            <w:pPr>
              <w:spacing w:after="0"/>
              <w:rPr>
                <w:sz w:val="21"/>
                <w:szCs w:val="21"/>
                <w:color w:val="auto"/>
              </w:rPr>
            </w:pPr>
          </w:p>
        </w:tc>
        <w:tc>
          <w:tcPr>
            <w:tcW w:w="432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400" w:type="dxa"/>
            <w:vAlign w:val="bottom"/>
            <w:shd w:val="clear" w:color="auto" w:fill="DDDDDD"/>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1"/>
        </w:trPr>
        <w:tc>
          <w:tcPr>
            <w:tcW w:w="60" w:type="dxa"/>
            <w:vAlign w:val="bottom"/>
          </w:tcPr>
          <w:p>
            <w:pPr>
              <w:spacing w:after="0"/>
              <w:rPr>
                <w:sz w:val="23"/>
                <w:szCs w:val="23"/>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94"/>
        </w:trPr>
        <w:tc>
          <w:tcPr>
            <w:tcW w:w="60" w:type="dxa"/>
            <w:vAlign w:val="bottom"/>
            <w:tcBorders>
              <w:bottom w:val="single" w:sz="8" w:color="DDDDDD"/>
            </w:tcBorders>
            <w:shd w:val="clear" w:color="auto" w:fill="DDDDDD"/>
          </w:tcPr>
          <w:p>
            <w:pPr>
              <w:spacing w:after="0"/>
              <w:rPr>
                <w:sz w:val="24"/>
                <w:szCs w:val="24"/>
                <w:color w:val="auto"/>
              </w:rPr>
            </w:pPr>
          </w:p>
        </w:tc>
        <w:tc>
          <w:tcPr>
            <w:tcW w:w="430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Retirement liabilities</w:t>
            </w:r>
          </w:p>
        </w:tc>
        <w:tc>
          <w:tcPr>
            <w:tcW w:w="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00" w:type="dxa"/>
            <w:vAlign w:val="bottom"/>
            <w:tcBorders>
              <w:bottom w:val="single" w:sz="8" w:color="auto"/>
            </w:tcBorders>
            <w:shd w:val="clear" w:color="auto" w:fill="DDDDDD"/>
          </w:tcPr>
          <w:p>
            <w:pPr>
              <w:spacing w:after="0"/>
              <w:rPr>
                <w:sz w:val="24"/>
                <w:szCs w:val="24"/>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6"/>
        </w:trPr>
        <w:tc>
          <w:tcPr>
            <w:tcW w:w="60" w:type="dxa"/>
            <w:vAlign w:val="bottom"/>
          </w:tcPr>
          <w:p>
            <w:pPr>
              <w:spacing w:after="0"/>
              <w:rPr>
                <w:sz w:val="20"/>
                <w:szCs w:val="20"/>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Net amount recognized</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gridSpan w:val="4"/>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wp:posOffset>
                </wp:positionH>
                <wp:positionV relativeFrom="paragraph">
                  <wp:posOffset>-202565</wp:posOffset>
                </wp:positionV>
                <wp:extent cx="277876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876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15.9499pt" to="221.1pt,-15.9499pt" o:allowincell="f" strokecolor="#FFFFFF" strokeweight="0.876pt"/>
            </w:pict>
          </mc:Fallback>
        </mc:AlternateContent>
      </w:r>
    </w:p>
    <w:p>
      <w:pPr>
        <w:spacing w:after="0" w:line="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amounts recognized in AOCI are detailed in the following table:</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5"/>
            <w:vMerge w:val="restart"/>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5"/>
            <w:vMerge w:val="restart"/>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5"/>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5"/>
          </w:tcPr>
          <w:p>
            <w:pPr>
              <w:jc w:val="right"/>
              <w:ind w:right="528"/>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48"/>
        </w:trPr>
        <w:tc>
          <w:tcPr>
            <w:tcW w:w="60" w:type="dxa"/>
            <w:vAlign w:val="bottom"/>
            <w:tcBorders>
              <w:bottom w:val="single" w:sz="8" w:color="DDDDDD"/>
            </w:tcBorders>
          </w:tcPr>
          <w:p>
            <w:pPr>
              <w:spacing w:after="0"/>
              <w:rPr>
                <w:sz w:val="4"/>
                <w:szCs w:val="4"/>
                <w:color w:val="auto"/>
              </w:rPr>
            </w:pPr>
          </w:p>
        </w:tc>
        <w:tc>
          <w:tcPr>
            <w:tcW w:w="1600" w:type="dxa"/>
            <w:vAlign w:val="bottom"/>
            <w:tcBorders>
              <w:bottom w:val="single" w:sz="8" w:color="DDDDDD"/>
            </w:tcBorders>
          </w:tcPr>
          <w:p>
            <w:pPr>
              <w:spacing w:after="0"/>
              <w:rPr>
                <w:sz w:val="4"/>
                <w:szCs w:val="4"/>
                <w:color w:val="auto"/>
              </w:rPr>
            </w:pPr>
          </w:p>
        </w:tc>
        <w:tc>
          <w:tcPr>
            <w:tcW w:w="1800" w:type="dxa"/>
            <w:vAlign w:val="bottom"/>
            <w:tcBorders>
              <w:bottom w:val="single" w:sz="8" w:color="DDDDDD"/>
            </w:tcBorders>
            <w:vMerge w:val="continue"/>
          </w:tcPr>
          <w:p>
            <w:pPr>
              <w:spacing w:after="0"/>
              <w:rPr>
                <w:sz w:val="4"/>
                <w:szCs w:val="4"/>
                <w:color w:val="auto"/>
              </w:rPr>
            </w:pPr>
          </w:p>
        </w:tc>
        <w:tc>
          <w:tcPr>
            <w:tcW w:w="40" w:type="dxa"/>
            <w:vAlign w:val="bottom"/>
            <w:tcBorders>
              <w:bottom w:val="single" w:sz="8" w:color="DDDDDD"/>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20" w:type="dxa"/>
            <w:vAlign w:val="bottom"/>
            <w:tcBorders>
              <w:bottom w:val="single" w:sz="8" w:color="DDDDDD"/>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60" w:type="dxa"/>
            <w:vAlign w:val="bottom"/>
            <w:tcBorders>
              <w:top w:val="single" w:sz="8" w:color="DDDDDD"/>
            </w:tcBorders>
            <w:shd w:val="clear" w:color="auto" w:fill="DDDDDD"/>
          </w:tcPr>
          <w:p>
            <w:pPr>
              <w:spacing w:after="0"/>
              <w:rPr>
                <w:sz w:val="19"/>
                <w:szCs w:val="19"/>
                <w:color w:val="auto"/>
              </w:rPr>
            </w:pPr>
          </w:p>
        </w:tc>
        <w:tc>
          <w:tcPr>
            <w:tcW w:w="3400" w:type="dxa"/>
            <w:vAlign w:val="bottom"/>
            <w:tcBorders>
              <w:top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Net actuarial (gain) loss</w:t>
            </w:r>
          </w:p>
        </w:tc>
        <w:tc>
          <w:tcPr>
            <w:tcW w:w="4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13"/>
        </w:trPr>
        <w:tc>
          <w:tcPr>
            <w:tcW w:w="60" w:type="dxa"/>
            <w:vAlign w:val="bottom"/>
            <w:tcBorders>
              <w:bottom w:val="single" w:sz="8" w:color="DDDDDD"/>
            </w:tcBorders>
          </w:tcPr>
          <w:p>
            <w:pPr>
              <w:spacing w:after="0"/>
              <w:rPr>
                <w:sz w:val="24"/>
                <w:szCs w:val="24"/>
                <w:color w:val="auto"/>
              </w:rPr>
            </w:pPr>
          </w:p>
        </w:tc>
        <w:tc>
          <w:tcPr>
            <w:tcW w:w="344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9"/>
        </w:trPr>
        <w:tc>
          <w:tcPr>
            <w:tcW w:w="60" w:type="dxa"/>
            <w:vAlign w:val="bottom"/>
            <w:tcBorders>
              <w:top w:val="single" w:sz="8" w:color="DDDDDD"/>
            </w:tcBorders>
            <w:shd w:val="clear" w:color="auto" w:fill="DDDDDD"/>
          </w:tcPr>
          <w:p>
            <w:pPr>
              <w:spacing w:after="0"/>
              <w:rPr>
                <w:sz w:val="19"/>
                <w:szCs w:val="19"/>
                <w:color w:val="auto"/>
              </w:rPr>
            </w:pPr>
          </w:p>
        </w:tc>
        <w:tc>
          <w:tcPr>
            <w:tcW w:w="3400" w:type="dxa"/>
            <w:vAlign w:val="bottom"/>
            <w:tcBorders>
              <w:top w:val="single" w:sz="8" w:color="DDDDDD"/>
            </w:tcBorders>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color w:val="auto"/>
              </w:rPr>
              <w:t>Total AOCI (before tax effects)</w:t>
            </w:r>
          </w:p>
        </w:tc>
        <w:tc>
          <w:tcPr>
            <w:tcW w:w="4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880" w:h="15480" w:orient="portrait"/>
          <w:cols w:equalWidth="0" w:num="1">
            <w:col w:w="9380"/>
          </w:cols>
          <w:pgMar w:left="1220" w:top="1255" w:right="1280" w:bottom="254"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7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7"/>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0" w:type="dxa"/>
            <w:vAlign w:val="bottom"/>
          </w:tcPr>
          <w:p>
            <w:pPr>
              <w:spacing w:after="0"/>
              <w:rPr>
                <w:sz w:val="1"/>
                <w:szCs w:val="1"/>
                <w:color w:val="auto"/>
              </w:rPr>
            </w:pPr>
          </w:p>
        </w:tc>
      </w:tr>
      <w:tr>
        <w:trPr>
          <w:trHeight w:val="196"/>
        </w:trPr>
        <w:tc>
          <w:tcPr>
            <w:tcW w:w="40" w:type="dxa"/>
            <w:vAlign w:val="bottom"/>
            <w:tcBorders>
              <w:bottom w:val="single" w:sz="8" w:color="DDDDDD"/>
            </w:tcBorders>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740" w:type="dxa"/>
            <w:vAlign w:val="bottom"/>
            <w:tcBorders>
              <w:bottom w:val="single" w:sz="8" w:color="DDDDDD"/>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DDDDDD"/>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DDDDD"/>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DDDDDD"/>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 w:type="dxa"/>
            <w:vAlign w:val="bottom"/>
            <w:shd w:val="clear" w:color="auto" w:fill="DDDDDD"/>
          </w:tcPr>
          <w:p>
            <w:pPr>
              <w:spacing w:after="0"/>
              <w:rPr>
                <w:sz w:val="21"/>
                <w:szCs w:val="21"/>
                <w:color w:val="auto"/>
              </w:rPr>
            </w:pPr>
          </w:p>
        </w:tc>
        <w:tc>
          <w:tcPr>
            <w:tcW w:w="43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Accumulated Benefit Obligation — end of year</w:t>
            </w:r>
          </w:p>
        </w:tc>
        <w:tc>
          <w:tcPr>
            <w:tcW w:w="280" w:type="dxa"/>
            <w:vAlign w:val="bottom"/>
            <w:tcBorders>
              <w:bottom w:val="single" w:sz="8" w:color="auto"/>
            </w:tcBorders>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DDDDDD"/>
          </w:tcPr>
          <w:p>
            <w:pPr>
              <w:spacing w:after="0"/>
              <w:rPr>
                <w:sz w:val="21"/>
                <w:szCs w:val="21"/>
                <w:color w:val="auto"/>
              </w:rPr>
            </w:pPr>
          </w:p>
        </w:tc>
        <w:tc>
          <w:tcPr>
            <w:tcW w:w="380" w:type="dxa"/>
            <w:vAlign w:val="bottom"/>
            <w:tcBorders>
              <w:bottom w:val="single" w:sz="8" w:color="auto"/>
            </w:tcBorders>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654</w:t>
            </w:r>
          </w:p>
        </w:tc>
        <w:tc>
          <w:tcPr>
            <w:tcW w:w="20" w:type="dxa"/>
            <w:vAlign w:val="bottom"/>
            <w:tcBorders>
              <w:bottom w:val="single" w:sz="8" w:color="auto"/>
            </w:tcBorders>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870</w:t>
            </w:r>
          </w:p>
        </w:tc>
        <w:tc>
          <w:tcPr>
            <w:tcW w:w="20" w:type="dxa"/>
            <w:vAlign w:val="bottom"/>
            <w:tcBorders>
              <w:bottom w:val="single" w:sz="8" w:color="auto"/>
            </w:tcBorders>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0" w:type="dxa"/>
            <w:vAlign w:val="bottom"/>
            <w:tcBorders>
              <w:bottom w:val="single" w:sz="8" w:color="auto"/>
            </w:tcBorders>
            <w:shd w:val="clear" w:color="auto" w:fill="DDDDDD"/>
          </w:tcPr>
          <w:p>
            <w:pPr>
              <w:spacing w:after="0"/>
              <w:rPr>
                <w:sz w:val="21"/>
                <w:szCs w:val="21"/>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40" w:type="dxa"/>
            <w:vAlign w:val="bottom"/>
            <w:gridSpan w:val="2"/>
            <w:vMerge w:val="restart"/>
          </w:tcPr>
          <w:p>
            <w:pPr>
              <w:ind w:left="120"/>
              <w:spacing w:after="0" w:line="190" w:lineRule="exact"/>
              <w:rPr>
                <w:sz w:val="20"/>
                <w:szCs w:val="20"/>
                <w:color w:val="auto"/>
              </w:rPr>
            </w:pPr>
            <w:r>
              <w:rPr>
                <w:rFonts w:ascii="Times New Roman" w:cs="Times New Roman" w:eastAsia="Times New Roman" w:hAnsi="Times New Roman"/>
                <w:sz w:val="18"/>
                <w:szCs w:val="18"/>
                <w:color w:val="auto"/>
              </w:rPr>
              <w:t>Information for Pension Plans with an ABO</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43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excess of Plan Assets: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43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DDDDDD"/>
          </w:tcPr>
          <w:p>
            <w:pPr>
              <w:spacing w:after="0"/>
              <w:rPr>
                <w:sz w:val="22"/>
                <w:szCs w:val="22"/>
                <w:color w:val="auto"/>
              </w:rPr>
            </w:pPr>
          </w:p>
        </w:tc>
        <w:tc>
          <w:tcPr>
            <w:tcW w:w="380" w:type="dxa"/>
            <w:vAlign w:val="bottom"/>
            <w:shd w:val="clear" w:color="auto" w:fill="DDDDDD"/>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944</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22"/>
                <w:szCs w:val="22"/>
                <w:color w:val="auto"/>
              </w:rPr>
            </w:pP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43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78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0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0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840</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assumptions used to determine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at December 31</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shd w:val="clear" w:color="auto" w:fill="DDDDDD"/>
          </w:tcPr>
          <w:p>
            <w:pPr>
              <w:spacing w:after="0"/>
              <w:rPr>
                <w:sz w:val="22"/>
                <w:szCs w:val="22"/>
                <w:color w:val="auto"/>
              </w:rPr>
            </w:pPr>
          </w:p>
        </w:tc>
        <w:tc>
          <w:tcPr>
            <w:tcW w:w="43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8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80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4.02 %</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3.00 %</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2.72 %</w:t>
            </w:r>
          </w:p>
        </w:tc>
        <w:tc>
          <w:tcPr>
            <w:tcW w:w="0" w:type="dxa"/>
            <w:vAlign w:val="bottom"/>
          </w:tcPr>
          <w:p>
            <w:pPr>
              <w:spacing w:after="0"/>
              <w:rPr>
                <w:sz w:val="1"/>
                <w:szCs w:val="1"/>
                <w:color w:val="auto"/>
              </w:rPr>
            </w:pPr>
          </w:p>
        </w:tc>
      </w:tr>
    </w:tbl>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Non-</w:t>
            </w:r>
          </w:p>
        </w:tc>
        <w:tc>
          <w:tcPr>
            <w:tcW w:w="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48"/>
              <w:spacing w:after="0" w:line="184" w:lineRule="exact"/>
              <w:rPr>
                <w:sz w:val="20"/>
                <w:szCs w:val="20"/>
                <w:color w:val="auto"/>
              </w:rPr>
            </w:pPr>
            <w:r>
              <w:rPr>
                <w:rFonts w:ascii="Times New Roman" w:cs="Times New Roman" w:eastAsia="Times New Roman" w:hAnsi="Times New Roman"/>
                <w:sz w:val="18"/>
                <w:szCs w:val="18"/>
                <w:b w:val="1"/>
                <w:bCs w:val="1"/>
                <w:color w:val="auto"/>
              </w:rPr>
              <w:t>U.S. Plans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28"/>
              <w:spacing w:after="0" w:line="184" w:lineRule="exact"/>
              <w:rPr>
                <w:sz w:val="20"/>
                <w:szCs w:val="20"/>
                <w:color w:val="auto"/>
              </w:rPr>
            </w:pPr>
            <w:r>
              <w:rPr>
                <w:rFonts w:ascii="Times New Roman" w:cs="Times New Roman" w:eastAsia="Times New Roman" w:hAnsi="Times New Roman"/>
                <w:sz w:val="18"/>
                <w:szCs w:val="18"/>
                <w:b w:val="1"/>
                <w:bCs w:val="1"/>
                <w:color w:val="auto"/>
              </w:rPr>
              <w:t>Benefits</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1600" w:type="dxa"/>
            <w:vAlign w:val="bottom"/>
            <w:tcBorders>
              <w:top w:val="single" w:sz="8" w:color="auto"/>
              <w:bottom w:val="single" w:sz="8" w:color="DDDDDD"/>
            </w:tcBorders>
          </w:tcPr>
          <w:p>
            <w:pPr>
              <w:spacing w:after="0"/>
              <w:rPr>
                <w:sz w:val="2"/>
                <w:szCs w:val="2"/>
                <w:color w:val="auto"/>
              </w:rPr>
            </w:pPr>
          </w:p>
        </w:tc>
        <w:tc>
          <w:tcPr>
            <w:tcW w:w="372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53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Estimated Future Benefit Payments</w:t>
            </w:r>
          </w:p>
        </w:tc>
        <w:tc>
          <w:tcPr>
            <w:tcW w:w="1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37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16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37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3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16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37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3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160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2028 - 2032</w:t>
            </w:r>
          </w:p>
        </w:tc>
        <w:tc>
          <w:tcPr>
            <w:tcW w:w="372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532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Required Company Contributions in the Following Year (2023)</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DDDDDD"/>
          </w:tcPr>
          <w:p>
            <w:pPr>
              <w:spacing w:after="0"/>
              <w:rPr>
                <w:sz w:val="23"/>
                <w:szCs w:val="23"/>
                <w:color w:val="auto"/>
              </w:rPr>
            </w:pPr>
          </w:p>
        </w:tc>
        <w:tc>
          <w:tcPr>
            <w:tcW w:w="24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The Company considers a number of factors in determining and selecting assumptions for the overall expected long-term rate of return on plan assets. The Company considers the historical long-term return experience of its assets, the current and expected allocation of its plan assets and expected long-term rates of return. The Company derives these expected long-term rates of return with the assistance of its investment advisors. The Company bases its expected allocation of plan assets on a diversified portfolio consisting of domestic and international equity securities, fixed income, property and alternative asset classes. The asset allocation is monitored on an ongoing basis.</w:t>
      </w:r>
    </w:p>
    <w:p>
      <w:pPr>
        <w:spacing w:after="0" w:line="66" w:lineRule="exact"/>
        <w:rPr>
          <w:sz w:val="20"/>
          <w:szCs w:val="20"/>
          <w:color w:val="auto"/>
        </w:rPr>
      </w:pPr>
    </w:p>
    <w:p>
      <w:pPr>
        <w:jc w:val="both"/>
        <w:ind w:left="40" w:firstLine="328"/>
        <w:spacing w:after="0" w:line="261" w:lineRule="auto"/>
        <w:rPr>
          <w:sz w:val="20"/>
          <w:szCs w:val="20"/>
          <w:color w:val="auto"/>
        </w:rPr>
      </w:pPr>
      <w:r>
        <w:rPr>
          <w:rFonts w:ascii="Times New Roman" w:cs="Times New Roman" w:eastAsia="Times New Roman" w:hAnsi="Times New Roman"/>
          <w:sz w:val="18"/>
          <w:szCs w:val="18"/>
          <w:color w:val="auto"/>
        </w:rPr>
        <w:t>The Company considers a variety of factors in determining and selecting its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percentage of assets in the Company’s pension plans, by type,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8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Borders>
              <w:bottom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Non-U.S. Plans</w:t>
            </w:r>
          </w:p>
        </w:tc>
      </w:tr>
      <w:tr>
        <w:trPr>
          <w:trHeight w:val="212"/>
        </w:trPr>
        <w:tc>
          <w:tcPr>
            <w:tcW w:w="4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1180" w:type="dxa"/>
            <w:vAlign w:val="bottom"/>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6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6"/>
        </w:trPr>
        <w:tc>
          <w:tcPr>
            <w:tcW w:w="4380" w:type="dxa"/>
            <w:vAlign w:val="bottom"/>
            <w:tcBorders>
              <w:top w:val="single" w:sz="8" w:color="DDDDDD"/>
            </w:tcBorders>
            <w:shd w:val="clear" w:color="auto" w:fill="DDDDDD"/>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Borders>
              <w:top w:val="single" w:sz="8" w:color="auto"/>
            </w:tcBorders>
            <w:shd w:val="clear" w:color="auto" w:fill="DDDDDD"/>
          </w:tcPr>
          <w:p>
            <w:pPr>
              <w:spacing w:after="0"/>
              <w:rPr>
                <w:sz w:val="22"/>
                <w:szCs w:val="22"/>
                <w:color w:val="auto"/>
              </w:rPr>
            </w:pPr>
          </w:p>
        </w:tc>
        <w:tc>
          <w:tcPr>
            <w:tcW w:w="4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top w:val="single" w:sz="8" w:color="DDDDDD"/>
            </w:tcBorders>
            <w:shd w:val="clear" w:color="auto" w:fill="DDDDDD"/>
          </w:tcPr>
          <w:p>
            <w:pPr>
              <w:spacing w:after="0"/>
              <w:rPr>
                <w:sz w:val="22"/>
                <w:szCs w:val="22"/>
                <w:color w:val="auto"/>
              </w:rPr>
            </w:pPr>
          </w:p>
        </w:tc>
        <w:tc>
          <w:tcPr>
            <w:tcW w:w="380" w:type="dxa"/>
            <w:vAlign w:val="bottom"/>
            <w:tcBorders>
              <w:top w:val="single" w:sz="8" w:color="auto"/>
            </w:tcBorders>
            <w:shd w:val="clear" w:color="auto" w:fill="DDDDDD"/>
          </w:tcPr>
          <w:p>
            <w:pPr>
              <w:spacing w:after="0"/>
              <w:rPr>
                <w:sz w:val="22"/>
                <w:szCs w:val="22"/>
                <w:color w:val="auto"/>
              </w:rPr>
            </w:pPr>
          </w:p>
        </w:tc>
        <w:tc>
          <w:tcPr>
            <w:tcW w:w="8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Borders>
              <w:top w:val="single" w:sz="8" w:color="DDDDDD"/>
            </w:tcBorders>
            <w:shd w:val="clear" w:color="auto" w:fill="DDDDDD"/>
          </w:tcPr>
          <w:p>
            <w:pPr>
              <w:spacing w:after="0"/>
              <w:rPr>
                <w:sz w:val="22"/>
                <w:szCs w:val="22"/>
                <w:color w:val="auto"/>
              </w:rPr>
            </w:pPr>
          </w:p>
        </w:tc>
        <w:tc>
          <w:tcPr>
            <w:tcW w:w="11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Borders>
              <w:top w:val="single" w:sz="8" w:color="DDDDDD"/>
            </w:tcBorders>
            <w:shd w:val="clear" w:color="auto" w:fill="DDDDDD"/>
          </w:tcPr>
          <w:p>
            <w:pPr>
              <w:spacing w:after="0"/>
              <w:rPr>
                <w:sz w:val="22"/>
                <w:szCs w:val="22"/>
                <w:color w:val="auto"/>
              </w:rPr>
            </w:pPr>
          </w:p>
        </w:tc>
        <w:tc>
          <w:tcPr>
            <w:tcW w:w="12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1"/>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Equities</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6"/>
        </w:trPr>
        <w:tc>
          <w:tcPr>
            <w:tcW w:w="43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8"/>
                <w:szCs w:val="18"/>
                <w:color w:val="auto"/>
              </w:rPr>
              <w:t>Fixed income</w:t>
            </w:r>
          </w:p>
        </w:tc>
        <w:tc>
          <w:tcPr>
            <w:tcW w:w="780" w:type="dxa"/>
            <w:vAlign w:val="bottom"/>
            <w:shd w:val="clear" w:color="auto" w:fill="DDDDDD"/>
          </w:tcPr>
          <w:p>
            <w:pPr>
              <w:spacing w:after="0"/>
              <w:rPr>
                <w:sz w:val="23"/>
                <w:szCs w:val="23"/>
                <w:color w:val="auto"/>
              </w:rPr>
            </w:pPr>
          </w:p>
        </w:tc>
        <w:tc>
          <w:tcPr>
            <w:tcW w:w="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shd w:val="clear" w:color="auto" w:fill="DDDDDD"/>
          </w:tcPr>
          <w:p>
            <w:pPr>
              <w:spacing w:after="0"/>
              <w:rPr>
                <w:sz w:val="23"/>
                <w:szCs w:val="23"/>
                <w:color w:val="auto"/>
              </w:rPr>
            </w:pPr>
          </w:p>
        </w:tc>
        <w:tc>
          <w:tcPr>
            <w:tcW w:w="380" w:type="dxa"/>
            <w:vAlign w:val="bottom"/>
            <w:shd w:val="clear" w:color="auto" w:fill="DDDDDD"/>
          </w:tcPr>
          <w:p>
            <w:pPr>
              <w:spacing w:after="0"/>
              <w:rPr>
                <w:sz w:val="23"/>
                <w:szCs w:val="23"/>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shd w:val="clear" w:color="auto" w:fill="DDDDDD"/>
          </w:tcPr>
          <w:p>
            <w:pPr>
              <w:spacing w:after="0"/>
              <w:rPr>
                <w:sz w:val="23"/>
                <w:szCs w:val="23"/>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60" w:type="dxa"/>
            <w:vAlign w:val="bottom"/>
            <w:shd w:val="clear" w:color="auto" w:fill="DDDDDD"/>
          </w:tcPr>
          <w:p>
            <w:pPr>
              <w:spacing w:after="0"/>
              <w:rPr>
                <w:sz w:val="23"/>
                <w:szCs w:val="23"/>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71"/>
        </w:trPr>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w:t>
            </w:r>
          </w:p>
        </w:tc>
        <w:tc>
          <w:tcPr>
            <w:tcW w:w="7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6"/>
        </w:trPr>
        <w:tc>
          <w:tcPr>
            <w:tcW w:w="438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18"/>
                <w:szCs w:val="18"/>
                <w:color w:val="auto"/>
              </w:rPr>
              <w:t>Alternative and other investments</w:t>
            </w:r>
          </w:p>
        </w:tc>
        <w:tc>
          <w:tcPr>
            <w:tcW w:w="780" w:type="dxa"/>
            <w:vAlign w:val="bottom"/>
            <w:shd w:val="clear" w:color="auto" w:fill="DDDDDD"/>
          </w:tcPr>
          <w:p>
            <w:pPr>
              <w:spacing w:after="0"/>
              <w:rPr>
                <w:sz w:val="24"/>
                <w:szCs w:val="24"/>
                <w:color w:val="auto"/>
              </w:rPr>
            </w:pPr>
          </w:p>
        </w:tc>
        <w:tc>
          <w:tcPr>
            <w:tcW w:w="4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DDDDDD"/>
          </w:tcPr>
          <w:p>
            <w:pPr>
              <w:spacing w:after="0"/>
              <w:rPr>
                <w:sz w:val="24"/>
                <w:szCs w:val="24"/>
                <w:color w:val="auto"/>
              </w:rPr>
            </w:pPr>
          </w:p>
        </w:tc>
        <w:tc>
          <w:tcPr>
            <w:tcW w:w="38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shd w:val="clear" w:color="auto" w:fill="DDDDDD"/>
          </w:tcPr>
          <w:p>
            <w:pPr>
              <w:spacing w:after="0"/>
              <w:rPr>
                <w:sz w:val="24"/>
                <w:szCs w:val="24"/>
                <w:color w:val="auto"/>
              </w:rPr>
            </w:pP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36 %</w:t>
            </w:r>
          </w:p>
        </w:tc>
      </w:tr>
    </w:tbl>
    <w:p>
      <w:pPr>
        <w:spacing w:after="0" w:line="63"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10% equity securities and 90% fixed income securities.</w:t>
      </w:r>
    </w:p>
    <w:p>
      <w:pPr>
        <w:spacing w:after="0" w:line="52"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The expected annual rate of return for the non-U.S. plans employs a similar set of criteria adapted for local investments, inflation rates and in certain cases specific government requirements. The target asset allocation, for the non-U.S. plans, consists of approximately: 35% in fixed income securities; 35% in alternative investments; 15% in equity securities; and 15% in properties.</w:t>
      </w: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880" w:h="15480" w:orient="portrait"/>
          <w:cols w:equalWidth="0" w:num="1">
            <w:col w:w="9400"/>
          </w:cols>
          <w:pgMar w:left="1220" w:top="1314" w:right="1260" w:bottom="254" w:gutter="0" w:footer="0" w:header="0"/>
        </w:sectPr>
      </w:pPr>
    </w:p>
    <w:bookmarkStart w:id="103" w:name="page104"/>
    <w:bookmarkEnd w:id="103"/>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The following tables present the Company’s plan assets for the U.S. and non-U.S. plans using the fair value hierarchy as of December 31, 2022 and 2021. The plans’ assets were accounted for at fair value and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U.S. Plans for the Year Ended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288"/>
              <w:spacing w:after="0" w:line="186"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DDDDDD"/>
            </w:tcBorders>
          </w:tcPr>
          <w:p>
            <w:pPr>
              <w:spacing w:after="0" w:line="20" w:lineRule="exact"/>
              <w:rPr>
                <w:sz w:val="1"/>
                <w:szCs w:val="1"/>
                <w:color w:val="auto"/>
              </w:rPr>
            </w:pPr>
          </w:p>
        </w:tc>
        <w:tc>
          <w:tcPr>
            <w:tcW w:w="4280" w:type="dxa"/>
            <w:vAlign w:val="bottom"/>
            <w:tcBorders>
              <w:bottom w:val="single" w:sz="8" w:color="DDDDDD"/>
            </w:tcBorders>
            <w:gridSpan w:val="2"/>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0" w:type="dxa"/>
            <w:vAlign w:val="bottom"/>
            <w:shd w:val="clear" w:color="auto" w:fill="DDDDDD"/>
          </w:tcPr>
          <w:p>
            <w:pPr>
              <w:spacing w:after="0"/>
              <w:rPr>
                <w:sz w:val="21"/>
                <w:szCs w:val="21"/>
                <w:color w:val="auto"/>
              </w:rPr>
            </w:pPr>
          </w:p>
        </w:tc>
        <w:tc>
          <w:tcPr>
            <w:tcW w:w="432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1"/>
                <w:szCs w:val="21"/>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DDDDDD"/>
          </w:tcPr>
          <w:p>
            <w:pPr>
              <w:spacing w:after="0"/>
              <w:rPr>
                <w:sz w:val="23"/>
                <w:szCs w:val="23"/>
                <w:color w:val="auto"/>
              </w:rPr>
            </w:pPr>
          </w:p>
        </w:tc>
        <w:tc>
          <w:tcPr>
            <w:tcW w:w="432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Government &amp; Government Agency Bonds</w:t>
            </w:r>
          </w:p>
        </w:tc>
        <w:tc>
          <w:tcPr>
            <w:tcW w:w="220" w:type="dxa"/>
            <w:vAlign w:val="bottom"/>
            <w:shd w:val="clear" w:color="auto" w:fill="DDDDDD"/>
          </w:tcPr>
          <w:p>
            <w:pPr>
              <w:spacing w:after="0"/>
              <w:rPr>
                <w:sz w:val="23"/>
                <w:szCs w:val="23"/>
                <w:color w:val="auto"/>
              </w:rPr>
            </w:pPr>
          </w:p>
        </w:tc>
        <w:tc>
          <w:tcPr>
            <w:tcW w:w="980" w:type="dxa"/>
            <w:vAlign w:val="bottom"/>
            <w:gridSpan w:val="2"/>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0" w:type="dxa"/>
            <w:vAlign w:val="bottom"/>
            <w:tcBorders>
              <w:top w:val="single" w:sz="8" w:color="DDDDDD"/>
            </w:tcBorders>
          </w:tcPr>
          <w:p>
            <w:pPr>
              <w:spacing w:after="0"/>
              <w:rPr>
                <w:sz w:val="21"/>
                <w:szCs w:val="21"/>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Borders>
              <w:top w:val="single" w:sz="8" w:color="DDDDDD"/>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1"/>
                <w:szCs w:val="21"/>
                <w:color w:val="auto"/>
              </w:rPr>
            </w:pP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top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DDDDDD"/>
          </w:tcPr>
          <w:p>
            <w:pPr>
              <w:spacing w:after="0"/>
              <w:rPr>
                <w:sz w:val="23"/>
                <w:szCs w:val="23"/>
                <w:color w:val="auto"/>
              </w:rPr>
            </w:pPr>
          </w:p>
        </w:tc>
        <w:tc>
          <w:tcPr>
            <w:tcW w:w="432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220" w:type="dxa"/>
            <w:vAlign w:val="bottom"/>
            <w:shd w:val="clear" w:color="auto" w:fill="DDDDDD"/>
          </w:tcPr>
          <w:p>
            <w:pPr>
              <w:spacing w:after="0"/>
              <w:rPr>
                <w:sz w:val="23"/>
                <w:szCs w:val="23"/>
                <w:color w:val="auto"/>
              </w:rPr>
            </w:pPr>
          </w:p>
        </w:tc>
        <w:tc>
          <w:tcPr>
            <w:tcW w:w="980" w:type="dxa"/>
            <w:vAlign w:val="bottom"/>
            <w:gridSpan w:val="2"/>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60" w:type="dxa"/>
            <w:vAlign w:val="bottom"/>
            <w:tcBorders>
              <w:top w:val="single" w:sz="8" w:color="DDDDDD"/>
              <w:bottom w:val="single" w:sz="8" w:color="DDDDDD"/>
            </w:tcBorders>
          </w:tcPr>
          <w:p>
            <w:pPr>
              <w:spacing w:after="0"/>
              <w:rPr>
                <w:sz w:val="22"/>
                <w:szCs w:val="22"/>
                <w:color w:val="auto"/>
              </w:rPr>
            </w:pPr>
          </w:p>
        </w:tc>
        <w:tc>
          <w:tcPr>
            <w:tcW w:w="428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net asset value</w:t>
            </w:r>
            <w:r>
              <w:rPr>
                <w:rFonts w:ascii="Times New Roman" w:cs="Times New Roman" w:eastAsia="Times New Roman" w:hAnsi="Times New Roman"/>
                <w:sz w:val="11"/>
                <w:szCs w:val="11"/>
                <w:b w:val="1"/>
                <w:bCs w:val="1"/>
                <w:i w:val="1"/>
                <w:iCs w:val="1"/>
                <w:color w:val="auto"/>
              </w:rPr>
              <w:t>(1)</w:t>
            </w:r>
          </w:p>
        </w:tc>
        <w:tc>
          <w:tcPr>
            <w:tcW w:w="40" w:type="dxa"/>
            <w:vAlign w:val="bottom"/>
            <w:tcBorders>
              <w:top w:val="single" w:sz="8" w:color="DDDDDD"/>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top w:val="single" w:sz="8" w:color="DDDDDD"/>
              <w:bottom w:val="single" w:sz="8" w:color="auto"/>
            </w:tcBorders>
          </w:tcPr>
          <w:p>
            <w:pPr>
              <w:spacing w:after="0"/>
              <w:rPr>
                <w:sz w:val="22"/>
                <w:szCs w:val="22"/>
                <w:color w:val="auto"/>
              </w:rPr>
            </w:pPr>
          </w:p>
        </w:tc>
        <w:tc>
          <w:tcPr>
            <w:tcW w:w="60" w:type="dxa"/>
            <w:vAlign w:val="bottom"/>
            <w:tcBorders>
              <w:top w:val="single" w:sz="8" w:color="DDDDDD"/>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top w:val="single" w:sz="8" w:color="DDDDDD"/>
              <w:bottom w:val="single" w:sz="8" w:color="auto"/>
            </w:tcBorders>
          </w:tcPr>
          <w:p>
            <w:pPr>
              <w:spacing w:after="0"/>
              <w:rPr>
                <w:sz w:val="22"/>
                <w:szCs w:val="22"/>
                <w:color w:val="auto"/>
              </w:rPr>
            </w:pPr>
          </w:p>
        </w:tc>
        <w:tc>
          <w:tcPr>
            <w:tcW w:w="60" w:type="dxa"/>
            <w:vAlign w:val="bottom"/>
            <w:tcBorders>
              <w:top w:val="single" w:sz="8" w:color="DDDDDD"/>
              <w:bottom w:val="single" w:sz="8" w:color="DDDDD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0" w:type="dxa"/>
            <w:vAlign w:val="bottom"/>
            <w:tcBorders>
              <w:top w:val="single" w:sz="8" w:color="DDDDDD"/>
              <w:bottom w:val="single" w:sz="8" w:color="auto"/>
            </w:tcBorders>
          </w:tcPr>
          <w:p>
            <w:pPr>
              <w:spacing w:after="0"/>
              <w:rPr>
                <w:sz w:val="22"/>
                <w:szCs w:val="22"/>
                <w:color w:val="auto"/>
              </w:rPr>
            </w:pPr>
          </w:p>
        </w:tc>
        <w:tc>
          <w:tcPr>
            <w:tcW w:w="40" w:type="dxa"/>
            <w:vAlign w:val="bottom"/>
            <w:tcBorders>
              <w:top w:val="single" w:sz="8" w:color="DDDDDD"/>
              <w:bottom w:val="single" w:sz="8" w:color="DDDDDD"/>
            </w:tcBorders>
          </w:tcPr>
          <w:p>
            <w:pPr>
              <w:spacing w:after="0"/>
              <w:rPr>
                <w:sz w:val="22"/>
                <w:szCs w:val="22"/>
                <w:color w:val="auto"/>
              </w:rPr>
            </w:pPr>
          </w:p>
        </w:tc>
        <w:tc>
          <w:tcPr>
            <w:tcW w:w="20" w:type="dxa"/>
            <w:vAlign w:val="bottom"/>
            <w:tcBorders>
              <w:top w:val="single" w:sz="8" w:color="DDDDDD"/>
              <w:bottom w:val="single" w:sz="8" w:color="DDDDD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Borders>
              <w:top w:val="single" w:sz="8" w:color="DDDDDD"/>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0" w:type="dxa"/>
            <w:vAlign w:val="bottom"/>
            <w:tcBorders>
              <w:bottom w:val="single" w:sz="8" w:color="DDDDDD"/>
            </w:tcBorders>
            <w:shd w:val="clear" w:color="auto" w:fill="DDDDDD"/>
          </w:tcPr>
          <w:p>
            <w:pPr>
              <w:spacing w:after="0"/>
              <w:rPr>
                <w:sz w:val="23"/>
                <w:szCs w:val="23"/>
                <w:color w:val="auto"/>
              </w:rPr>
            </w:pPr>
          </w:p>
        </w:tc>
        <w:tc>
          <w:tcPr>
            <w:tcW w:w="4280" w:type="dxa"/>
            <w:vAlign w:val="bottom"/>
            <w:tcBorders>
              <w:bottom w:val="single" w:sz="8" w:color="DDDDDD"/>
            </w:tcBorders>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Borders>
              <w:bottom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 w:type="dxa"/>
            <w:vAlign w:val="bottom"/>
            <w:tcBorders>
              <w:bottom w:val="single" w:sz="8" w:color="DDDDDD"/>
            </w:tcBorders>
          </w:tcPr>
          <w:p>
            <w:pPr>
              <w:spacing w:after="0"/>
              <w:rPr>
                <w:sz w:val="19"/>
                <w:szCs w:val="19"/>
                <w:color w:val="auto"/>
              </w:rPr>
            </w:pPr>
          </w:p>
        </w:tc>
        <w:tc>
          <w:tcPr>
            <w:tcW w:w="4320" w:type="dxa"/>
            <w:vAlign w:val="bottom"/>
            <w:tcBorders>
              <w:bottom w:val="single" w:sz="8" w:color="DDDDDD"/>
            </w:tcBorders>
            <w:gridSpan w:val="3"/>
            <w:vMerge w:val="continue"/>
          </w:tcPr>
          <w:p>
            <w:pPr>
              <w:spacing w:after="0"/>
              <w:rPr>
                <w:sz w:val="19"/>
                <w:szCs w:val="19"/>
                <w:color w:val="auto"/>
              </w:rPr>
            </w:pPr>
          </w:p>
        </w:tc>
        <w:tc>
          <w:tcPr>
            <w:tcW w:w="220" w:type="dxa"/>
            <w:vAlign w:val="bottom"/>
            <w:tcBorders>
              <w:bottom w:val="single" w:sz="8" w:color="DDDDDD"/>
            </w:tcBorders>
          </w:tcPr>
          <w:p>
            <w:pPr>
              <w:spacing w:after="0"/>
              <w:rPr>
                <w:sz w:val="19"/>
                <w:szCs w:val="19"/>
                <w:color w:val="auto"/>
              </w:rPr>
            </w:pPr>
          </w:p>
        </w:tc>
        <w:tc>
          <w:tcPr>
            <w:tcW w:w="9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20" w:type="dxa"/>
            <w:vAlign w:val="bottom"/>
            <w:tcBorders>
              <w:bottom w:val="single" w:sz="8" w:color="DDDDDD"/>
            </w:tcBorders>
          </w:tcPr>
          <w:p>
            <w:pPr>
              <w:spacing w:after="0"/>
              <w:rPr>
                <w:sz w:val="19"/>
                <w:szCs w:val="19"/>
                <w:color w:val="auto"/>
              </w:rPr>
            </w:pPr>
          </w:p>
        </w:tc>
        <w:tc>
          <w:tcPr>
            <w:tcW w:w="9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00" w:type="dxa"/>
            <w:vAlign w:val="bottom"/>
            <w:tcBorders>
              <w:bottom w:val="single" w:sz="8" w:color="DDDDDD"/>
            </w:tcBorders>
          </w:tcPr>
          <w:p>
            <w:pPr>
              <w:spacing w:after="0"/>
              <w:rPr>
                <w:sz w:val="19"/>
                <w:szCs w:val="19"/>
                <w:color w:val="auto"/>
              </w:rPr>
            </w:pPr>
          </w:p>
        </w:tc>
        <w:tc>
          <w:tcPr>
            <w:tcW w:w="9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4280" w:type="dxa"/>
            <w:vAlign w:val="bottom"/>
            <w:tcBorders>
              <w:top w:val="single" w:sz="8" w:color="DDDDDD"/>
              <w:bottom w:val="single" w:sz="8" w:color="DDDDDD"/>
            </w:tcBorders>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DDDDDD"/>
              <w:bottom w:val="single" w:sz="8" w:color="DDDDDD"/>
            </w:tcBorders>
            <w:shd w:val="clear" w:color="auto" w:fill="DDDDDD"/>
          </w:tcPr>
          <w:p>
            <w:pPr>
              <w:spacing w:after="0"/>
              <w:rPr>
                <w:sz w:val="20"/>
                <w:szCs w:val="20"/>
                <w:color w:val="auto"/>
              </w:rPr>
            </w:pPr>
          </w:p>
        </w:tc>
        <w:tc>
          <w:tcPr>
            <w:tcW w:w="220" w:type="dxa"/>
            <w:vAlign w:val="bottom"/>
            <w:tcBorders>
              <w:top w:val="single" w:sz="8" w:color="DDDDDD"/>
              <w:bottom w:val="single" w:sz="8" w:color="DDDDDD"/>
            </w:tcBorders>
            <w:shd w:val="clear" w:color="auto" w:fill="DDDDDD"/>
          </w:tcPr>
          <w:p>
            <w:pPr>
              <w:spacing w:after="0"/>
              <w:rPr>
                <w:sz w:val="20"/>
                <w:szCs w:val="20"/>
                <w:color w:val="auto"/>
              </w:rPr>
            </w:pPr>
          </w:p>
        </w:tc>
        <w:tc>
          <w:tcPr>
            <w:tcW w:w="9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DDDDDD"/>
            </w:tcBorders>
            <w:shd w:val="clear" w:color="auto" w:fill="DDDDDD"/>
          </w:tcPr>
          <w:p>
            <w:pPr>
              <w:spacing w:after="0"/>
              <w:rPr>
                <w:sz w:val="20"/>
                <w:szCs w:val="20"/>
                <w:color w:val="auto"/>
              </w:rPr>
            </w:pP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20" w:type="dxa"/>
            <w:vAlign w:val="bottom"/>
            <w:tcBorders>
              <w:top w:val="single" w:sz="8" w:color="DDDDDD"/>
              <w:bottom w:val="single" w:sz="8" w:color="DDDDDD"/>
            </w:tcBorders>
            <w:shd w:val="clear" w:color="auto" w:fill="DDDDDD"/>
          </w:tcPr>
          <w:p>
            <w:pPr>
              <w:spacing w:after="0"/>
              <w:rPr>
                <w:sz w:val="20"/>
                <w:szCs w:val="20"/>
                <w:color w:val="auto"/>
              </w:rPr>
            </w:pPr>
          </w:p>
        </w:tc>
        <w:tc>
          <w:tcPr>
            <w:tcW w:w="9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DDDDDD"/>
            </w:tcBorders>
            <w:shd w:val="clear" w:color="auto" w:fill="DDDDDD"/>
          </w:tcPr>
          <w:p>
            <w:pPr>
              <w:spacing w:after="0"/>
              <w:rPr>
                <w:sz w:val="20"/>
                <w:szCs w:val="20"/>
                <w:color w:val="auto"/>
              </w:rPr>
            </w:pP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tcBorders>
              <w:top w:val="single" w:sz="8" w:color="DDDDDD"/>
              <w:bottom w:val="single" w:sz="8" w:color="DDDDDD"/>
            </w:tcBorders>
            <w:shd w:val="clear" w:color="auto" w:fill="DDDDDD"/>
          </w:tcPr>
          <w:p>
            <w:pPr>
              <w:spacing w:after="0"/>
              <w:rPr>
                <w:sz w:val="20"/>
                <w:szCs w:val="20"/>
                <w:color w:val="auto"/>
              </w:rPr>
            </w:pPr>
          </w:p>
        </w:tc>
        <w:tc>
          <w:tcPr>
            <w:tcW w:w="9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DDDDDD"/>
            </w:tcBorders>
            <w:shd w:val="clear" w:color="auto" w:fill="DDDDDD"/>
          </w:tcPr>
          <w:p>
            <w:pPr>
              <w:spacing w:after="0"/>
              <w:rPr>
                <w:sz w:val="20"/>
                <w:szCs w:val="20"/>
                <w:color w:val="auto"/>
              </w:rPr>
            </w:pPr>
          </w:p>
        </w:tc>
        <w:tc>
          <w:tcPr>
            <w:tcW w:w="4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60" w:type="dxa"/>
            <w:vAlign w:val="bottom"/>
            <w:tcBorders>
              <w:top w:val="single" w:sz="8" w:color="DDDDDD"/>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DDDDDD"/>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-362585</wp:posOffset>
                </wp:positionV>
                <wp:extent cx="2778760"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78760" cy="4763"/>
                        </a:xfrm>
                        <a:prstGeom prst="line">
                          <a:avLst/>
                        </a:prstGeom>
                        <a:solidFill>
                          <a:srgbClr val="FFFFFF"/>
                        </a:solidFill>
                        <a:ln w="36131">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28.5499pt" to="219.1pt,-28.5499pt" o:allowincell="f" strokecolor="#FFFFFF" strokeweight="2.845pt"/>
            </w:pict>
          </mc:Fallback>
        </mc:AlternateContent>
        <mc:AlternateContent>
          <mc:Choice Requires="wps">
            <w:drawing>
              <wp:anchor simplePos="0" relativeHeight="251657728" behindDoc="1" locked="0" layoutInCell="0" allowOverlap="1">
                <wp:simplePos x="0" y="0"/>
                <wp:positionH relativeFrom="column">
                  <wp:posOffset>2782570</wp:posOffset>
                </wp:positionH>
                <wp:positionV relativeFrom="paragraph">
                  <wp:posOffset>-345440</wp:posOffset>
                </wp:positionV>
                <wp:extent cx="75565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5650" cy="4763"/>
                        </a:xfrm>
                        <a:prstGeom prst="line">
                          <a:avLst/>
                        </a:prstGeom>
                        <a:solidFill>
                          <a:srgbClr val="FFFFFF"/>
                        </a:solidFill>
                        <a:ln w="2781">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1pt,-27.1999pt" to="278.6pt,-27.1999pt" o:allowincell="f" strokecolor="#FFFFFF" strokeweight="0.219pt"/>
            </w:pict>
          </mc:Fallback>
        </mc:AlternateContent>
        <mc:AlternateContent>
          <mc:Choice Requires="wps">
            <w:drawing>
              <wp:anchor simplePos="0" relativeHeight="251657728" behindDoc="1" locked="0" layoutInCell="0" allowOverlap="1">
                <wp:simplePos x="0" y="0"/>
                <wp:positionH relativeFrom="column">
                  <wp:posOffset>3582670</wp:posOffset>
                </wp:positionH>
                <wp:positionV relativeFrom="paragraph">
                  <wp:posOffset>-345440</wp:posOffset>
                </wp:positionV>
                <wp:extent cx="75311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3110" cy="4763"/>
                        </a:xfrm>
                        <a:prstGeom prst="line">
                          <a:avLst/>
                        </a:prstGeom>
                        <a:solidFill>
                          <a:srgbClr val="FFFFFF"/>
                        </a:solidFill>
                        <a:ln w="2781">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1pt,-27.1999pt" to="341.4pt,-27.1999pt" o:allowincell="f" strokecolor="#FFFFFF" strokeweight="0.219pt"/>
            </w:pict>
          </mc:Fallback>
        </mc:AlternateContent>
        <mc:AlternateContent>
          <mc:Choice Requires="wps">
            <w:drawing>
              <wp:anchor simplePos="0" relativeHeight="251657728" behindDoc="1" locked="0" layoutInCell="0" allowOverlap="1">
                <wp:simplePos x="0" y="0"/>
                <wp:positionH relativeFrom="column">
                  <wp:posOffset>4380230</wp:posOffset>
                </wp:positionH>
                <wp:positionV relativeFrom="paragraph">
                  <wp:posOffset>-345440</wp:posOffset>
                </wp:positionV>
                <wp:extent cx="75628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6285" cy="4763"/>
                        </a:xfrm>
                        <a:prstGeom prst="line">
                          <a:avLst/>
                        </a:prstGeom>
                        <a:solidFill>
                          <a:srgbClr val="FFFFFF"/>
                        </a:solidFill>
                        <a:ln w="2781">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4.9pt,-27.1999pt" to="404.45pt,-27.1999pt" o:allowincell="f" strokecolor="#FFFFFF" strokeweight="0.219pt"/>
            </w:pict>
          </mc:Fallback>
        </mc:AlternateConten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60" w:type="dxa"/>
            <w:vAlign w:val="bottom"/>
            <w:gridSpan w:val="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U.S. Plans for the Year Ended</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8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DDDDDD"/>
            </w:tcBorders>
          </w:tcPr>
          <w:p>
            <w:pPr>
              <w:spacing w:after="0" w:line="20" w:lineRule="exact"/>
              <w:rPr>
                <w:sz w:val="1"/>
                <w:szCs w:val="1"/>
                <w:color w:val="auto"/>
              </w:rPr>
            </w:pPr>
          </w:p>
        </w:tc>
        <w:tc>
          <w:tcPr>
            <w:tcW w:w="1600" w:type="dxa"/>
            <w:vAlign w:val="bottom"/>
            <w:tcBorders>
              <w:bottom w:val="single" w:sz="8" w:color="DDDDDD"/>
            </w:tcBorders>
          </w:tcPr>
          <w:p>
            <w:pPr>
              <w:spacing w:after="0" w:line="20" w:lineRule="exact"/>
              <w:rPr>
                <w:sz w:val="1"/>
                <w:szCs w:val="1"/>
                <w:color w:val="auto"/>
              </w:rPr>
            </w:pPr>
          </w:p>
        </w:tc>
        <w:tc>
          <w:tcPr>
            <w:tcW w:w="2680" w:type="dxa"/>
            <w:vAlign w:val="bottom"/>
            <w:tcBorders>
              <w:bottom w:val="single" w:sz="8" w:color="DDDDDD"/>
            </w:tcBorders>
            <w:vMerge w:val="continue"/>
          </w:tcPr>
          <w:p>
            <w:pPr>
              <w:spacing w:after="0" w:line="20" w:lineRule="exact"/>
              <w:rPr>
                <w:sz w:val="1"/>
                <w:szCs w:val="1"/>
                <w:color w:val="auto"/>
              </w:rPr>
            </w:pPr>
          </w:p>
        </w:tc>
        <w:tc>
          <w:tcPr>
            <w:tcW w:w="40" w:type="dxa"/>
            <w:vAlign w:val="bottom"/>
            <w:tcBorders>
              <w:bottom w:val="single" w:sz="8" w:color="DDDDDD"/>
            </w:tcBorders>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vMerge w:val="continue"/>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vMerge w:val="continue"/>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vMerge w:val="continue"/>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tc>
        <w:tc>
          <w:tcPr>
            <w:tcW w:w="40" w:type="dxa"/>
            <w:vAlign w:val="bottom"/>
            <w:shd w:val="clear" w:color="auto" w:fill="DDDDDD"/>
          </w:tcPr>
          <w:p>
            <w:pPr>
              <w:spacing w:after="0"/>
              <w:rPr>
                <w:sz w:val="22"/>
                <w:szCs w:val="22"/>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0" w:type="dxa"/>
            <w:vAlign w:val="bottom"/>
            <w:tcBorders>
              <w:bottom w:val="single" w:sz="8" w:color="DDDDDD"/>
            </w:tcBorders>
            <w:shd w:val="clear" w:color="auto" w:fill="DDDDDD"/>
          </w:tcPr>
          <w:p>
            <w:pPr>
              <w:spacing w:after="0"/>
              <w:rPr>
                <w:sz w:val="23"/>
                <w:szCs w:val="23"/>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Government &amp; Government Agency Bonds</w:t>
            </w:r>
          </w:p>
        </w:tc>
        <w:tc>
          <w:tcPr>
            <w:tcW w:w="40" w:type="dxa"/>
            <w:vAlign w:val="bottom"/>
            <w:tcBorders>
              <w:bottom w:val="single" w:sz="8" w:color="DDDDDD"/>
            </w:tcBorders>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shd w:val="clear" w:color="auto" w:fill="DDDDDD"/>
          </w:tcPr>
          <w:p>
            <w:pPr>
              <w:spacing w:after="0"/>
              <w:rPr>
                <w:sz w:val="23"/>
                <w:szCs w:val="23"/>
                <w:color w:val="auto"/>
              </w:rPr>
            </w:pP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DDDDDD"/>
          </w:tcPr>
          <w:p>
            <w:pPr>
              <w:spacing w:after="0"/>
              <w:rPr>
                <w:sz w:val="24"/>
                <w:szCs w:val="24"/>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Municipal Bonds</w:t>
            </w:r>
          </w:p>
        </w:tc>
        <w:tc>
          <w:tcPr>
            <w:tcW w:w="4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0" w:type="dxa"/>
            <w:vAlign w:val="bottom"/>
            <w:tcBorders>
              <w:bottom w:val="single" w:sz="8" w:color="DDDDDD"/>
            </w:tcBorders>
          </w:tcPr>
          <w:p>
            <w:pPr>
              <w:spacing w:after="0"/>
              <w:rPr>
                <w:sz w:val="23"/>
                <w:szCs w:val="23"/>
                <w:color w:val="auto"/>
              </w:rPr>
            </w:pPr>
          </w:p>
        </w:tc>
        <w:tc>
          <w:tcPr>
            <w:tcW w:w="432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net asset value</w:t>
            </w:r>
            <w:r>
              <w:rPr>
                <w:rFonts w:ascii="Times New Roman" w:cs="Times New Roman" w:eastAsia="Times New Roman" w:hAnsi="Times New Roman"/>
                <w:sz w:val="11"/>
                <w:szCs w:val="11"/>
                <w:b w:val="1"/>
                <w:bCs w:val="1"/>
                <w:i w:val="1"/>
                <w:iCs w:val="1"/>
                <w:color w:val="auto"/>
              </w:rPr>
              <w:t>(1)</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Borders>
              <w:bottom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 w:type="dxa"/>
            <w:vAlign w:val="bottom"/>
          </w:tcPr>
          <w:p>
            <w:pPr>
              <w:spacing w:after="0"/>
              <w:rPr>
                <w:sz w:val="21"/>
                <w:szCs w:val="21"/>
                <w:color w:val="auto"/>
              </w:rPr>
            </w:pPr>
          </w:p>
        </w:tc>
        <w:tc>
          <w:tcPr>
            <w:tcW w:w="4320" w:type="dxa"/>
            <w:vAlign w:val="bottom"/>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0" w:type="dxa"/>
            <w:vAlign w:val="bottom"/>
            <w:tcBorders>
              <w:top w:val="single" w:sz="8" w:color="DDDDDD"/>
            </w:tcBorders>
            <w:shd w:val="clear" w:color="auto" w:fill="DDDDDD"/>
          </w:tcPr>
          <w:p>
            <w:pPr>
              <w:spacing w:after="0"/>
              <w:rPr>
                <w:sz w:val="19"/>
                <w:szCs w:val="19"/>
                <w:color w:val="auto"/>
              </w:rPr>
            </w:pPr>
          </w:p>
        </w:tc>
        <w:tc>
          <w:tcPr>
            <w:tcW w:w="4280" w:type="dxa"/>
            <w:vAlign w:val="bottom"/>
            <w:tcBorders>
              <w:top w:val="single" w:sz="8" w:color="DDDDDD"/>
            </w:tcBorders>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spacing w:after="0"/>
              <w:rPr>
                <w:sz w:val="19"/>
                <w:szCs w:val="19"/>
                <w:color w:val="auto"/>
              </w:rPr>
            </w:pPr>
          </w:p>
        </w:tc>
        <w:tc>
          <w:tcPr>
            <w:tcW w:w="9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spacing w:after="0"/>
              <w:rPr>
                <w:sz w:val="19"/>
                <w:szCs w:val="19"/>
                <w:color w:val="auto"/>
              </w:rPr>
            </w:pPr>
          </w:p>
        </w:tc>
        <w:tc>
          <w:tcPr>
            <w:tcW w:w="9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200" w:type="dxa"/>
            <w:vAlign w:val="bottom"/>
            <w:tcBorders>
              <w:top w:val="single" w:sz="8" w:color="DDDDDD"/>
            </w:tcBorders>
            <w:shd w:val="clear" w:color="auto" w:fill="DDDDDD"/>
          </w:tcPr>
          <w:p>
            <w:pPr>
              <w:spacing w:after="0"/>
              <w:rPr>
                <w:sz w:val="19"/>
                <w:szCs w:val="19"/>
                <w:color w:val="auto"/>
              </w:rPr>
            </w:pPr>
          </w:p>
        </w:tc>
        <w:tc>
          <w:tcPr>
            <w:tcW w:w="96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tcBorders>
            <w:shd w:val="clear" w:color="auto" w:fill="DDDDDD"/>
          </w:tcPr>
          <w:p>
            <w:pPr>
              <w:spacing w:after="0"/>
              <w:rPr>
                <w:sz w:val="19"/>
                <w:szCs w:val="19"/>
                <w:color w:val="auto"/>
              </w:rPr>
            </w:pPr>
          </w:p>
        </w:tc>
        <w:tc>
          <w:tcPr>
            <w:tcW w:w="40" w:type="dxa"/>
            <w:vAlign w:val="bottom"/>
            <w:tcBorders>
              <w:top w:val="single" w:sz="8" w:color="DDDDDD"/>
            </w:tcBorders>
            <w:shd w:val="clear" w:color="auto" w:fill="DDDDDD"/>
          </w:tcPr>
          <w:p>
            <w:pPr>
              <w:spacing w:after="0"/>
              <w:rPr>
                <w:sz w:val="19"/>
                <w:szCs w:val="19"/>
                <w:color w:val="auto"/>
              </w:rPr>
            </w:pPr>
          </w:p>
        </w:tc>
        <w:tc>
          <w:tcPr>
            <w:tcW w:w="20" w:type="dxa"/>
            <w:vAlign w:val="bottom"/>
            <w:tcBorders>
              <w:top w:val="single" w:sz="8" w:color="DDDDDD"/>
              <w:bottom w:val="single" w:sz="8" w:color="auto"/>
            </w:tcBorders>
            <w:shd w:val="clear" w:color="auto" w:fill="DDDDDD"/>
          </w:tcPr>
          <w:p>
            <w:pPr>
              <w:spacing w:after="0"/>
              <w:rPr>
                <w:sz w:val="19"/>
                <w:szCs w:val="19"/>
                <w:color w:val="auto"/>
              </w:rPr>
            </w:pPr>
          </w:p>
        </w:tc>
        <w:tc>
          <w:tcPr>
            <w:tcW w:w="260" w:type="dxa"/>
            <w:vAlign w:val="bottom"/>
            <w:tcBorders>
              <w:top w:val="single" w:sz="8" w:color="auto"/>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 w:type="dxa"/>
            <w:vAlign w:val="bottom"/>
            <w:tcBorders>
              <w:top w:val="single" w:sz="8" w:color="auto"/>
              <w:bottom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gridSpan w:val="3"/>
            <w:vMerge w:val="restart"/>
          </w:tcPr>
          <w:p>
            <w:pPr>
              <w:jc w:val="right"/>
              <w:ind w:right="2240"/>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3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340" w:hanging="334"/>
        <w:spacing w:after="0" w:line="250" w:lineRule="auto"/>
        <w:tabs>
          <w:tab w:leader="none" w:pos="3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that are measured at fair value using the net asset value per share (or its equivalent) practical expedient have not been classified in the fair value hierarchy. The fair value amounts presented in the table above are intended to permit reconciliation of the fair value hierarchy to the amounts presented in the Consolidated Balance Sheets. The total amount measured at net asset value includes approximately $234 million and $294 million in pooled equity funds and $170 million and $253 million in fixed income mutual funds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880" w:h="15480" w:orient="portrait"/>
          <w:cols w:equalWidth="0" w:num="1">
            <w:col w:w="9360"/>
          </w:cols>
          <w:pgMar w:left="1260" w:top="1255" w:right="1260" w:bottom="254"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2"/>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20" w:type="dxa"/>
            <w:vAlign w:val="bottom"/>
            <w:gridSpan w:val="16"/>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Non-U.S. Plans for the Year Ended</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DDDDDD"/>
            </w:tcBorders>
          </w:tcPr>
          <w:p>
            <w:pPr>
              <w:spacing w:after="0" w:line="20" w:lineRule="exact"/>
              <w:rPr>
                <w:sz w:val="1"/>
                <w:szCs w:val="1"/>
                <w:color w:val="auto"/>
              </w:rPr>
            </w:pPr>
          </w:p>
        </w:tc>
        <w:tc>
          <w:tcPr>
            <w:tcW w:w="1600" w:type="dxa"/>
            <w:vAlign w:val="bottom"/>
            <w:tcBorders>
              <w:bottom w:val="single" w:sz="8" w:color="DDDDDD"/>
            </w:tcBorders>
          </w:tcPr>
          <w:p>
            <w:pPr>
              <w:spacing w:after="0" w:line="20" w:lineRule="exact"/>
              <w:rPr>
                <w:sz w:val="1"/>
                <w:szCs w:val="1"/>
                <w:color w:val="auto"/>
              </w:rPr>
            </w:pPr>
          </w:p>
        </w:tc>
        <w:tc>
          <w:tcPr>
            <w:tcW w:w="2680" w:type="dxa"/>
            <w:vAlign w:val="bottom"/>
            <w:tcBorders>
              <w:bottom w:val="single" w:sz="8" w:color="DDDDDD"/>
            </w:tcBorders>
            <w:vMerge w:val="continue"/>
          </w:tcPr>
          <w:p>
            <w:pPr>
              <w:spacing w:after="0" w:line="20" w:lineRule="exact"/>
              <w:rPr>
                <w:sz w:val="1"/>
                <w:szCs w:val="1"/>
                <w:color w:val="auto"/>
              </w:rPr>
            </w:pPr>
          </w:p>
        </w:tc>
        <w:tc>
          <w:tcPr>
            <w:tcW w:w="20" w:type="dxa"/>
            <w:vAlign w:val="bottom"/>
            <w:tcBorders>
              <w:bottom w:val="single" w:sz="8" w:color="DDDDDD"/>
            </w:tcBorders>
            <w:vMerge w:val="continue"/>
          </w:tcPr>
          <w:p>
            <w:pPr>
              <w:spacing w:after="0" w:line="20" w:lineRule="exact"/>
              <w:rPr>
                <w:sz w:val="1"/>
                <w:szCs w:val="1"/>
                <w:color w:val="auto"/>
              </w:rPr>
            </w:pPr>
          </w:p>
        </w:tc>
        <w:tc>
          <w:tcPr>
            <w:tcW w:w="20" w:type="dxa"/>
            <w:vAlign w:val="bottom"/>
            <w:tcBorders>
              <w:bottom w:val="single" w:sz="8" w:color="DDDDDD"/>
            </w:tcBorders>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vMerge w:val="continue"/>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vMerge w:val="continue"/>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shd w:val="clear" w:color="auto" w:fill="DDDDDD"/>
          </w:tcPr>
          <w:p>
            <w:pPr>
              <w:spacing w:after="0"/>
              <w:rPr>
                <w:sz w:val="19"/>
                <w:szCs w:val="19"/>
                <w:color w:val="auto"/>
              </w:rPr>
            </w:pPr>
          </w:p>
        </w:tc>
        <w:tc>
          <w:tcPr>
            <w:tcW w:w="42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DDDDDD"/>
          </w:tcPr>
          <w:p>
            <w:pPr>
              <w:spacing w:after="0"/>
              <w:rPr>
                <w:sz w:val="22"/>
                <w:szCs w:val="22"/>
                <w:color w:val="auto"/>
              </w:rPr>
            </w:pPr>
          </w:p>
        </w:tc>
        <w:tc>
          <w:tcPr>
            <w:tcW w:w="432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U.S. Large Cap</w:t>
            </w:r>
          </w:p>
        </w:tc>
        <w:tc>
          <w:tcPr>
            <w:tcW w:w="22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U.S. Mid Cap</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DDDDD"/>
          </w:tcPr>
          <w:p>
            <w:pPr>
              <w:spacing w:after="0"/>
              <w:rPr>
                <w:sz w:val="22"/>
                <w:szCs w:val="22"/>
                <w:color w:val="auto"/>
              </w:rPr>
            </w:pPr>
          </w:p>
        </w:tc>
        <w:tc>
          <w:tcPr>
            <w:tcW w:w="432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Large Cap</w:t>
            </w:r>
          </w:p>
        </w:tc>
        <w:tc>
          <w:tcPr>
            <w:tcW w:w="22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Non-U.S. Mid Cap</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0" w:type="dxa"/>
            <w:vAlign w:val="bottom"/>
            <w:shd w:val="clear" w:color="auto" w:fill="DDDDDD"/>
          </w:tcPr>
          <w:p>
            <w:pPr>
              <w:spacing w:after="0"/>
              <w:rPr>
                <w:sz w:val="22"/>
                <w:szCs w:val="22"/>
                <w:color w:val="auto"/>
              </w:rPr>
            </w:pPr>
          </w:p>
        </w:tc>
        <w:tc>
          <w:tcPr>
            <w:tcW w:w="432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Small Cap</w:t>
            </w:r>
          </w:p>
        </w:tc>
        <w:tc>
          <w:tcPr>
            <w:tcW w:w="22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0" w:type="dxa"/>
            <w:vAlign w:val="bottom"/>
            <w:tcBorders>
              <w:bottom w:val="single" w:sz="8" w:color="DDDDDD"/>
            </w:tcBorders>
          </w:tcPr>
          <w:p>
            <w:pPr>
              <w:spacing w:after="0"/>
              <w:rPr>
                <w:sz w:val="24"/>
                <w:szCs w:val="24"/>
                <w:color w:val="auto"/>
              </w:rPr>
            </w:pPr>
          </w:p>
        </w:tc>
        <w:tc>
          <w:tcPr>
            <w:tcW w:w="428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Emerging Markets</w:t>
            </w: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9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DDDDD"/>
            </w:tcBorders>
          </w:tcPr>
          <w:p>
            <w:pPr>
              <w:spacing w:after="0"/>
              <w:rPr>
                <w:sz w:val="24"/>
                <w:szCs w:val="24"/>
                <w:color w:val="auto"/>
              </w:rPr>
            </w:pP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9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DDDDDD"/>
          </w:tcPr>
          <w:p>
            <w:pPr>
              <w:spacing w:after="0"/>
              <w:rPr>
                <w:sz w:val="19"/>
                <w:szCs w:val="19"/>
                <w:color w:val="auto"/>
              </w:rPr>
            </w:pPr>
          </w:p>
        </w:tc>
        <w:tc>
          <w:tcPr>
            <w:tcW w:w="432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2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Treasuries/Government Bonds</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Non-U.S. Corporate Bonds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60" w:type="dxa"/>
            <w:vAlign w:val="bottom"/>
            <w:tcBorders>
              <w:bottom w:val="single" w:sz="8" w:color="DDDDDD"/>
            </w:tcBorders>
          </w:tcPr>
          <w:p>
            <w:pPr>
              <w:spacing w:after="0"/>
              <w:rPr>
                <w:sz w:val="24"/>
                <w:szCs w:val="24"/>
                <w:color w:val="auto"/>
              </w:rPr>
            </w:pPr>
          </w:p>
        </w:tc>
        <w:tc>
          <w:tcPr>
            <w:tcW w:w="4320" w:type="dxa"/>
            <w:vAlign w:val="bottom"/>
            <w:tcBorders>
              <w:bottom w:val="single" w:sz="8" w:color="DDDDDD"/>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Non-U.S. Other Fixed Income</w:t>
            </w:r>
          </w:p>
        </w:tc>
        <w:tc>
          <w:tcPr>
            <w:tcW w:w="220" w:type="dxa"/>
            <w:vAlign w:val="bottom"/>
            <w:tcBorders>
              <w:bottom w:val="single" w:sz="8" w:color="DDDDDD"/>
            </w:tcBorders>
          </w:tcPr>
          <w:p>
            <w:pPr>
              <w:spacing w:after="0"/>
              <w:rPr>
                <w:sz w:val="24"/>
                <w:szCs w:val="24"/>
                <w:color w:val="auto"/>
              </w:rPr>
            </w:pPr>
          </w:p>
        </w:tc>
        <w:tc>
          <w:tcPr>
            <w:tcW w:w="9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980" w:type="dxa"/>
            <w:vAlign w:val="bottom"/>
            <w:tcBorders>
              <w:bottom w:val="single" w:sz="8" w:color="DDDDDD"/>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980" w:type="dxa"/>
            <w:vAlign w:val="bottom"/>
            <w:tcBorders>
              <w:bottom w:val="single" w:sz="8" w:color="DDDDDD"/>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60" w:type="dxa"/>
            <w:vAlign w:val="bottom"/>
            <w:tcBorders>
              <w:bottom w:val="single" w:sz="8" w:color="DDDDDD"/>
            </w:tcBorders>
          </w:tcPr>
          <w:p>
            <w:pPr>
              <w:spacing w:after="0"/>
              <w:rPr>
                <w:sz w:val="24"/>
                <w:szCs w:val="24"/>
                <w:color w:val="auto"/>
              </w:rPr>
            </w:pPr>
          </w:p>
        </w:tc>
        <w:tc>
          <w:tcPr>
            <w:tcW w:w="9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DDDDDD"/>
          </w:tcPr>
          <w:p>
            <w:pPr>
              <w:spacing w:after="0"/>
              <w:rPr>
                <w:sz w:val="19"/>
                <w:szCs w:val="19"/>
                <w:color w:val="auto"/>
              </w:rPr>
            </w:pPr>
          </w:p>
        </w:tc>
        <w:tc>
          <w:tcPr>
            <w:tcW w:w="42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Types of Investments</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0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DDDDD"/>
          </w:tcPr>
          <w:p>
            <w:pPr>
              <w:spacing w:after="0"/>
              <w:rPr>
                <w:sz w:val="22"/>
                <w:szCs w:val="22"/>
                <w:color w:val="auto"/>
              </w:rPr>
            </w:pPr>
          </w:p>
        </w:tc>
        <w:tc>
          <w:tcPr>
            <w:tcW w:w="432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2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 w:type="dxa"/>
            <w:vAlign w:val="bottom"/>
            <w:tcBorders>
              <w:top w:val="single" w:sz="8" w:color="DDDDDD"/>
            </w:tcBorders>
          </w:tcPr>
          <w:p>
            <w:pPr>
              <w:spacing w:after="0"/>
              <w:rPr>
                <w:sz w:val="20"/>
                <w:szCs w:val="20"/>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Absolute Return Funds</w:t>
            </w:r>
          </w:p>
        </w:tc>
        <w:tc>
          <w:tcPr>
            <w:tcW w:w="20" w:type="dxa"/>
            <w:vAlign w:val="bottom"/>
            <w:tcBorders>
              <w:top w:val="single" w:sz="8" w:color="DDDDDD"/>
            </w:tcBorders>
          </w:tcPr>
          <w:p>
            <w:pPr>
              <w:spacing w:after="0"/>
              <w:rPr>
                <w:sz w:val="20"/>
                <w:szCs w:val="20"/>
                <w:color w:val="auto"/>
              </w:rPr>
            </w:pPr>
          </w:p>
        </w:tc>
        <w:tc>
          <w:tcPr>
            <w:tcW w:w="20" w:type="dxa"/>
            <w:vAlign w:val="bottom"/>
            <w:tcBorders>
              <w:top w:val="single" w:sz="8" w:color="DDDDDD"/>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p>
        </w:tc>
        <w:tc>
          <w:tcPr>
            <w:tcW w:w="20" w:type="dxa"/>
            <w:vAlign w:val="bottom"/>
            <w:tcBorders>
              <w:top w:val="single" w:sz="8" w:color="DDDDDD"/>
            </w:tcBorders>
          </w:tcPr>
          <w:p>
            <w:pPr>
              <w:spacing w:after="0"/>
              <w:rPr>
                <w:sz w:val="20"/>
                <w:szCs w:val="20"/>
                <w:color w:val="auto"/>
              </w:rPr>
            </w:pPr>
          </w:p>
        </w:tc>
        <w:tc>
          <w:tcPr>
            <w:tcW w:w="20" w:type="dxa"/>
            <w:vAlign w:val="bottom"/>
            <w:tcBorders>
              <w:top w:val="single" w:sz="8" w:color="DDDDDD"/>
            </w:tcBorders>
          </w:tcPr>
          <w:p>
            <w:pPr>
              <w:spacing w:after="0"/>
              <w:rPr>
                <w:sz w:val="20"/>
                <w:szCs w:val="20"/>
                <w:color w:val="auto"/>
              </w:rPr>
            </w:pPr>
          </w:p>
        </w:tc>
        <w:tc>
          <w:tcPr>
            <w:tcW w:w="20" w:type="dxa"/>
            <w:vAlign w:val="bottom"/>
            <w:tcBorders>
              <w:top w:val="single" w:sz="8" w:color="DDDDDD"/>
            </w:tcBorders>
          </w:tcPr>
          <w:p>
            <w:pPr>
              <w:spacing w:after="0"/>
              <w:rPr>
                <w:sz w:val="20"/>
                <w:szCs w:val="20"/>
                <w:color w:val="auto"/>
              </w:rPr>
            </w:pPr>
          </w:p>
        </w:tc>
        <w:tc>
          <w:tcPr>
            <w:tcW w:w="20" w:type="dxa"/>
            <w:vAlign w:val="bottom"/>
            <w:tcBorders>
              <w:top w:val="single" w:sz="8" w:color="DDDDDD"/>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DDDDDD"/>
            </w:tcBorders>
          </w:tcPr>
          <w:p>
            <w:pPr>
              <w:spacing w:after="0"/>
              <w:rPr>
                <w:sz w:val="20"/>
                <w:szCs w:val="20"/>
                <w:color w:val="auto"/>
              </w:rPr>
            </w:pPr>
          </w:p>
        </w:tc>
        <w:tc>
          <w:tcPr>
            <w:tcW w:w="40" w:type="dxa"/>
            <w:vAlign w:val="bottom"/>
            <w:tcBorders>
              <w:top w:val="single" w:sz="8" w:color="DDDDDD"/>
            </w:tcBorders>
          </w:tcPr>
          <w:p>
            <w:pPr>
              <w:spacing w:after="0"/>
              <w:rPr>
                <w:sz w:val="20"/>
                <w:szCs w:val="20"/>
                <w:color w:val="auto"/>
              </w:rPr>
            </w:pPr>
          </w:p>
        </w:tc>
        <w:tc>
          <w:tcPr>
            <w:tcW w:w="20" w:type="dxa"/>
            <w:vAlign w:val="bottom"/>
            <w:tcBorders>
              <w:top w:val="single" w:sz="8" w:color="DDDDDD"/>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0"/>
                <w:szCs w:val="20"/>
                <w:color w:val="auto"/>
              </w:rPr>
            </w:pPr>
          </w:p>
        </w:tc>
        <w:tc>
          <w:tcPr>
            <w:tcW w:w="40" w:type="dxa"/>
            <w:vAlign w:val="bottom"/>
            <w:tcBorders>
              <w:top w:val="single" w:sz="8" w:color="DDDDDD"/>
            </w:tcBorders>
          </w:tcPr>
          <w:p>
            <w:pPr>
              <w:spacing w:after="0"/>
              <w:rPr>
                <w:sz w:val="20"/>
                <w:szCs w:val="20"/>
                <w:color w:val="auto"/>
              </w:rPr>
            </w:pPr>
          </w:p>
        </w:tc>
        <w:tc>
          <w:tcPr>
            <w:tcW w:w="20" w:type="dxa"/>
            <w:vAlign w:val="bottom"/>
            <w:tcBorders>
              <w:top w:val="single" w:sz="8" w:color="DDDDDD"/>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DDDDDD"/>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Property</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auto"/>
            </w:tcBorders>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bottom w:val="single" w:sz="8" w:color="auto"/>
            </w:tcBorders>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21"/>
                <w:szCs w:val="21"/>
                <w:color w:val="auto"/>
              </w:rPr>
            </w:pPr>
          </w:p>
        </w:tc>
        <w:tc>
          <w:tcPr>
            <w:tcW w:w="32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920" w:type="dxa"/>
            <w:vAlign w:val="bottom"/>
            <w:gridSpan w:val="15"/>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Non-U.S. Plans for the Year Ended</w:t>
            </w:r>
          </w:p>
        </w:tc>
        <w:tc>
          <w:tcPr>
            <w:tcW w:w="920" w:type="dxa"/>
            <w:vAlign w:val="bottom"/>
          </w:tcPr>
          <w:p>
            <w:pPr>
              <w:spacing w:after="0"/>
              <w:rPr>
                <w:sz w:val="22"/>
                <w:szCs w:val="22"/>
                <w:color w:val="auto"/>
              </w:rPr>
            </w:pPr>
          </w:p>
        </w:tc>
      </w:tr>
      <w:tr>
        <w:trPr>
          <w:trHeight w:val="246"/>
        </w:trPr>
        <w:tc>
          <w:tcPr>
            <w:tcW w:w="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jc w:val="center"/>
              <w:ind w:right="128"/>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199"/>
        </w:trPr>
        <w:tc>
          <w:tcPr>
            <w:tcW w:w="6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7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48"/>
              <w:spacing w:after="0" w:line="199" w:lineRule="exact"/>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ind w:left="100"/>
              <w:spacing w:after="0" w:line="199" w:lineRule="exact"/>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ind w:left="100"/>
              <w:spacing w:after="0" w:line="199" w:lineRule="exact"/>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88"/>
              <w:spacing w:after="0" w:line="199"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1"/>
        </w:trPr>
        <w:tc>
          <w:tcPr>
            <w:tcW w:w="60" w:type="dxa"/>
            <w:vAlign w:val="bottom"/>
            <w:tcBorders>
              <w:bottom w:val="single" w:sz="8" w:color="DDDDDD"/>
            </w:tcBorders>
          </w:tcPr>
          <w:p>
            <w:pPr>
              <w:spacing w:after="0" w:line="20" w:lineRule="exact"/>
              <w:rPr>
                <w:sz w:val="1"/>
                <w:szCs w:val="1"/>
                <w:color w:val="auto"/>
              </w:rPr>
            </w:pPr>
          </w:p>
        </w:tc>
        <w:tc>
          <w:tcPr>
            <w:tcW w:w="4280" w:type="dxa"/>
            <w:vAlign w:val="bottom"/>
            <w:tcBorders>
              <w:bottom w:val="single" w:sz="8" w:color="DDDDDD"/>
            </w:tcBorders>
            <w:gridSpan w:val="2"/>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1"/>
        </w:trPr>
        <w:tc>
          <w:tcPr>
            <w:tcW w:w="60" w:type="dxa"/>
            <w:vAlign w:val="bottom"/>
            <w:shd w:val="clear" w:color="auto" w:fill="DDDDDD"/>
          </w:tcPr>
          <w:p>
            <w:pPr>
              <w:spacing w:after="0"/>
              <w:rPr>
                <w:sz w:val="20"/>
                <w:szCs w:val="20"/>
                <w:color w:val="auto"/>
              </w:rPr>
            </w:pPr>
          </w:p>
        </w:tc>
        <w:tc>
          <w:tcPr>
            <w:tcW w:w="42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tc>
        <w:tc>
          <w:tcPr>
            <w:tcW w:w="2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8"/>
        </w:trPr>
        <w:tc>
          <w:tcPr>
            <w:tcW w:w="60" w:type="dxa"/>
            <w:vAlign w:val="bottom"/>
          </w:tcPr>
          <w:p>
            <w:pPr>
              <w:spacing w:after="0"/>
              <w:rPr>
                <w:sz w:val="22"/>
                <w:szCs w:val="22"/>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3"/>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U.S. Large Cap</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8"/>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Non-U.S. Large Cap</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8"/>
        </w:trPr>
        <w:tc>
          <w:tcPr>
            <w:tcW w:w="60" w:type="dxa"/>
            <w:vAlign w:val="bottom"/>
            <w:shd w:val="clear" w:color="auto" w:fill="DDDDDD"/>
          </w:tcPr>
          <w:p>
            <w:pPr>
              <w:spacing w:after="0"/>
              <w:rPr>
                <w:sz w:val="22"/>
                <w:szCs w:val="22"/>
                <w:color w:val="auto"/>
              </w:rPr>
            </w:pPr>
          </w:p>
        </w:tc>
        <w:tc>
          <w:tcPr>
            <w:tcW w:w="432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Mid Cap</w:t>
            </w: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Non-U.S. Small Cap</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8"/>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Emerging Markets</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8"/>
        </w:trPr>
        <w:tc>
          <w:tcPr>
            <w:tcW w:w="60" w:type="dxa"/>
            <w:vAlign w:val="bottom"/>
          </w:tcPr>
          <w:p>
            <w:pPr>
              <w:spacing w:after="0"/>
              <w:rPr>
                <w:sz w:val="22"/>
                <w:szCs w:val="22"/>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Fixed Income Securities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3"/>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8"/>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Non-U.S. Treasuries/Government Bonds</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63"/>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Corporate Bonds</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58"/>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Non-U.S. Asset-Backed Securities</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8"/>
        </w:trPr>
        <w:tc>
          <w:tcPr>
            <w:tcW w:w="60" w:type="dxa"/>
            <w:vAlign w:val="bottom"/>
            <w:shd w:val="clear" w:color="auto" w:fill="DDDDDD"/>
          </w:tcPr>
          <w:p>
            <w:pPr>
              <w:spacing w:after="0"/>
              <w:rPr>
                <w:sz w:val="22"/>
                <w:szCs w:val="22"/>
                <w:color w:val="auto"/>
              </w:rPr>
            </w:pPr>
          </w:p>
        </w:tc>
        <w:tc>
          <w:tcPr>
            <w:tcW w:w="432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Non-U.S. Other Fixed Income</w:t>
            </w: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0" w:type="dxa"/>
            <w:vAlign w:val="bottom"/>
          </w:tcPr>
          <w:p>
            <w:pPr>
              <w:spacing w:after="0"/>
              <w:rPr>
                <w:sz w:val="22"/>
                <w:szCs w:val="22"/>
                <w:color w:val="auto"/>
              </w:rPr>
            </w:pPr>
          </w:p>
        </w:tc>
        <w:tc>
          <w:tcPr>
            <w:tcW w:w="4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Alternative Types of Investments</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58"/>
        </w:trPr>
        <w:tc>
          <w:tcPr>
            <w:tcW w:w="60" w:type="dxa"/>
            <w:vAlign w:val="bottom"/>
            <w:shd w:val="clear" w:color="auto" w:fill="DDDDDD"/>
          </w:tcPr>
          <w:p>
            <w:pPr>
              <w:spacing w:after="0"/>
              <w:rPr>
                <w:sz w:val="22"/>
                <w:szCs w:val="22"/>
                <w:color w:val="auto"/>
              </w:rPr>
            </w:pPr>
          </w:p>
        </w:tc>
        <w:tc>
          <w:tcPr>
            <w:tcW w:w="4320" w:type="dxa"/>
            <w:vAlign w:val="bottom"/>
            <w:gridSpan w:val="4"/>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Insurance Contracts</w:t>
            </w: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58"/>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63"/>
        </w:trPr>
        <w:tc>
          <w:tcPr>
            <w:tcW w:w="60" w:type="dxa"/>
            <w:vAlign w:val="bottom"/>
            <w:shd w:val="clear" w:color="auto" w:fill="DDDDDD"/>
          </w:tcPr>
          <w:p>
            <w:pPr>
              <w:spacing w:after="0"/>
              <w:rPr>
                <w:sz w:val="22"/>
                <w:szCs w:val="22"/>
                <w:color w:val="auto"/>
              </w:rPr>
            </w:pPr>
          </w:p>
        </w:tc>
        <w:tc>
          <w:tcPr>
            <w:tcW w:w="428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Absolute Return Funds</w:t>
            </w: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DDDDDD"/>
          </w:tcPr>
          <w:p>
            <w:pPr>
              <w:spacing w:after="0"/>
              <w:rPr>
                <w:sz w:val="22"/>
                <w:szCs w:val="22"/>
                <w:color w:val="auto"/>
              </w:rPr>
            </w:pPr>
          </w:p>
        </w:tc>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2"/>
                <w:szCs w:val="22"/>
                <w:color w:val="auto"/>
              </w:rPr>
            </w:pPr>
          </w:p>
        </w:tc>
        <w:tc>
          <w:tcPr>
            <w:tcW w:w="4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DDDDDD"/>
            </w:tcBorders>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62"/>
        </w:trPr>
        <w:tc>
          <w:tcPr>
            <w:tcW w:w="60" w:type="dxa"/>
            <w:vAlign w:val="bottom"/>
            <w:tcBorders>
              <w:bottom w:val="single" w:sz="8" w:color="DDDDDD"/>
            </w:tcBorders>
          </w:tcPr>
          <w:p>
            <w:pPr>
              <w:spacing w:after="0"/>
              <w:rPr>
                <w:sz w:val="22"/>
                <w:szCs w:val="22"/>
                <w:color w:val="auto"/>
              </w:rPr>
            </w:pPr>
          </w:p>
        </w:tc>
        <w:tc>
          <w:tcPr>
            <w:tcW w:w="428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DDDDDD"/>
            </w:tcBorders>
          </w:tcPr>
          <w:p>
            <w:pPr>
              <w:spacing w:after="0"/>
              <w:rPr>
                <w:sz w:val="22"/>
                <w:szCs w:val="22"/>
                <w:color w:val="auto"/>
              </w:rPr>
            </w:pPr>
          </w:p>
        </w:tc>
        <w:tc>
          <w:tcPr>
            <w:tcW w:w="9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20" w:type="dxa"/>
            <w:vAlign w:val="bottom"/>
            <w:tcBorders>
              <w:bottom w:val="single" w:sz="8" w:color="DDDDDD"/>
            </w:tcBorders>
          </w:tcPr>
          <w:p>
            <w:pPr>
              <w:spacing w:after="0"/>
              <w:rPr>
                <w:sz w:val="22"/>
                <w:szCs w:val="22"/>
                <w:color w:val="auto"/>
              </w:rPr>
            </w:pPr>
          </w:p>
        </w:tc>
        <w:tc>
          <w:tcPr>
            <w:tcW w:w="9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20" w:type="dxa"/>
            <w:vAlign w:val="bottom"/>
            <w:tcBorders>
              <w:bottom w:val="single" w:sz="8" w:color="DDDDDD"/>
            </w:tcBorders>
          </w:tcPr>
          <w:p>
            <w:pPr>
              <w:spacing w:after="0"/>
              <w:rPr>
                <w:sz w:val="22"/>
                <w:szCs w:val="22"/>
                <w:color w:val="auto"/>
              </w:rPr>
            </w:pPr>
          </w:p>
        </w:tc>
        <w:tc>
          <w:tcPr>
            <w:tcW w:w="960" w:type="dxa"/>
            <w:vAlign w:val="bottom"/>
            <w:tcBorders>
              <w:bottom w:val="single" w:sz="8" w:color="DDDDDD"/>
            </w:tcBorders>
          </w:tcPr>
          <w:p>
            <w:pPr>
              <w:ind w:left="72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DDDDDD"/>
            </w:tcBorders>
          </w:tcPr>
          <w:p>
            <w:pPr>
              <w:spacing w:after="0"/>
              <w:rPr>
                <w:sz w:val="22"/>
                <w:szCs w:val="22"/>
                <w:color w:val="auto"/>
              </w:rPr>
            </w:pPr>
          </w:p>
        </w:tc>
        <w:tc>
          <w:tcPr>
            <w:tcW w:w="4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60" w:type="dxa"/>
            <w:vAlign w:val="bottom"/>
            <w:tcBorders>
              <w:bottom w:val="single" w:sz="8" w:color="DDDDDD"/>
            </w:tcBorders>
          </w:tcPr>
          <w:p>
            <w:pPr>
              <w:spacing w:after="0"/>
              <w:rPr>
                <w:sz w:val="22"/>
                <w:szCs w:val="22"/>
                <w:color w:val="auto"/>
              </w:rPr>
            </w:pPr>
          </w:p>
        </w:tc>
        <w:tc>
          <w:tcPr>
            <w:tcW w:w="9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9"/>
        </w:trPr>
        <w:tc>
          <w:tcPr>
            <w:tcW w:w="60" w:type="dxa"/>
            <w:vAlign w:val="bottom"/>
            <w:shd w:val="clear" w:color="auto" w:fill="DDDDDD"/>
          </w:tcPr>
          <w:p>
            <w:pPr>
              <w:spacing w:after="0"/>
              <w:rPr>
                <w:sz w:val="19"/>
                <w:szCs w:val="19"/>
                <w:color w:val="auto"/>
              </w:rPr>
            </w:pPr>
          </w:p>
        </w:tc>
        <w:tc>
          <w:tcPr>
            <w:tcW w:w="42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w:t>
            </w:r>
          </w:p>
        </w:tc>
        <w:tc>
          <w:tcPr>
            <w:tcW w:w="2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94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9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920" w:type="dxa"/>
            <w:vAlign w:val="bottom"/>
            <w:shd w:val="clear" w:color="auto" w:fill="DDDDDD"/>
          </w:tcPr>
          <w:p>
            <w:pPr>
              <w:spacing w:after="0"/>
              <w:rPr>
                <w:sz w:val="19"/>
                <w:szCs w:val="19"/>
                <w:color w:val="auto"/>
              </w:rPr>
            </w:pPr>
          </w:p>
        </w:tc>
      </w:tr>
      <w:tr>
        <w:trPr>
          <w:trHeight w:val="258"/>
        </w:trPr>
        <w:tc>
          <w:tcPr>
            <w:tcW w:w="60" w:type="dxa"/>
            <w:vAlign w:val="bottom"/>
          </w:tcPr>
          <w:p>
            <w:pPr>
              <w:spacing w:after="0"/>
              <w:rPr>
                <w:sz w:val="22"/>
                <w:szCs w:val="22"/>
                <w:color w:val="auto"/>
              </w:rPr>
            </w:pPr>
          </w:p>
        </w:tc>
        <w:tc>
          <w:tcPr>
            <w:tcW w:w="43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Non-U.S. Property</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0"/>
        </w:trPr>
        <w:tc>
          <w:tcPr>
            <w:tcW w:w="60" w:type="dxa"/>
            <w:vAlign w:val="bottom"/>
            <w:tcBorders>
              <w:top w:val="single" w:sz="8" w:color="DDDDDD"/>
            </w:tcBorders>
            <w:shd w:val="clear" w:color="auto" w:fill="DDDDDD"/>
          </w:tcPr>
          <w:p>
            <w:pPr>
              <w:spacing w:after="0"/>
              <w:rPr>
                <w:sz w:val="20"/>
                <w:szCs w:val="20"/>
                <w:color w:val="auto"/>
              </w:rPr>
            </w:pPr>
          </w:p>
        </w:tc>
        <w:tc>
          <w:tcPr>
            <w:tcW w:w="4280" w:type="dxa"/>
            <w:vAlign w:val="bottom"/>
            <w:tcBorders>
              <w:top w:val="single" w:sz="8" w:color="DDDDDD"/>
            </w:tcBorders>
            <w:gridSpan w:val="2"/>
            <w:shd w:val="clear" w:color="auto" w:fill="DDDDDD"/>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Borders>
              <w:top w:val="single" w:sz="8" w:color="auto"/>
              <w:bottom w:val="single" w:sz="8" w:color="auto"/>
            </w:tcBorders>
            <w:shd w:val="clear" w:color="auto" w:fill="DDDDDD"/>
          </w:tcPr>
          <w:p>
            <w:pPr>
              <w:spacing w:after="0"/>
              <w:rPr>
                <w:sz w:val="20"/>
                <w:szCs w:val="20"/>
                <w:color w:val="auto"/>
              </w:rPr>
            </w:pPr>
          </w:p>
        </w:tc>
        <w:tc>
          <w:tcPr>
            <w:tcW w:w="20" w:type="dxa"/>
            <w:vAlign w:val="bottom"/>
            <w:tcBorders>
              <w:top w:val="single" w:sz="8" w:color="auto"/>
              <w:bottom w:val="single" w:sz="8" w:color="auto"/>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DDDDDD"/>
          </w:tcPr>
          <w:p>
            <w:pPr>
              <w:ind w:left="72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DDDDDD"/>
            </w:tcBorders>
            <w:shd w:val="clear" w:color="auto" w:fill="DDDDDD"/>
          </w:tcPr>
          <w:p>
            <w:pPr>
              <w:spacing w:after="0"/>
              <w:rPr>
                <w:sz w:val="20"/>
                <w:szCs w:val="20"/>
                <w:color w:val="auto"/>
              </w:rPr>
            </w:pPr>
          </w:p>
        </w:tc>
        <w:tc>
          <w:tcPr>
            <w:tcW w:w="40" w:type="dxa"/>
            <w:vAlign w:val="bottom"/>
            <w:tcBorders>
              <w:top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auto"/>
            </w:tcBorders>
            <w:shd w:val="clear" w:color="auto" w:fill="DDDDDD"/>
          </w:tcPr>
          <w:p>
            <w:pPr>
              <w:spacing w:after="0"/>
              <w:rPr>
                <w:sz w:val="20"/>
                <w:szCs w:val="20"/>
                <w:color w:val="auto"/>
              </w:rPr>
            </w:pPr>
          </w:p>
        </w:tc>
        <w:tc>
          <w:tcPr>
            <w:tcW w:w="260" w:type="dxa"/>
            <w:vAlign w:val="bottom"/>
            <w:tcBorders>
              <w:top w:val="single" w:sz="8" w:color="auto"/>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0"/>
        </w:trPr>
        <w:tc>
          <w:tcPr>
            <w:tcW w:w="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23"/>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608"/>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880" w:h="15480" w:orient="portrait"/>
          <w:cols w:equalWidth="0" w:num="1">
            <w:col w:w="9340"/>
          </w:cols>
          <w:pgMar w:left="1260" w:top="1322" w:right="1280" w:bottom="213" w:gutter="0" w:footer="0" w:header="0"/>
        </w:sectPr>
      </w:pPr>
    </w:p>
    <w:bookmarkStart w:id="105" w:name="page106"/>
    <w:bookmarkEnd w:id="105"/>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Equity securities are primarily valued using a market approach based on the quoted market prices of identical instruments.</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Pooled funds are typically common or collective trusts valued at their net asset values (NAVs).</w:t>
      </w:r>
    </w:p>
    <w:p>
      <w:pPr>
        <w:spacing w:after="0" w:line="121"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Fixed income securities are primarily valued using a market approach with inputs that include broker quotes and benchmark yields.</w:t>
      </w: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Derivative instruments are valued by the custodian using closing market swap curves and market derived inputs.</w:t>
      </w:r>
    </w:p>
    <w:p>
      <w:pPr>
        <w:spacing w:after="0" w:line="121"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Property values are primarily based on valuation of the underlying investments, which include inputs such as cost, discounted future cash flows, independent appraisals and market comparable data.</w:t>
      </w:r>
    </w:p>
    <w:p>
      <w:pPr>
        <w:spacing w:after="0" w:line="30"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Hedge funds are valued based on valuation of the underlying securities and instruments within the funds. Quoted market prices are used when available and NAVs are used for unquoted securities within the funds.</w:t>
      </w:r>
    </w:p>
    <w:p>
      <w:pPr>
        <w:spacing w:after="0" w:line="30"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Absolute return funds are actively managed funds mainly invested in debt and equity securities and are valued at their NAVs.</w:t>
      </w:r>
    </w:p>
    <w:p>
      <w:pPr>
        <w:spacing w:after="0" w:line="30" w:lineRule="exact"/>
        <w:rPr>
          <w:sz w:val="20"/>
          <w:szCs w:val="20"/>
          <w:color w:val="auto"/>
        </w:rPr>
      </w:pPr>
    </w:p>
    <w:p>
      <w:pPr>
        <w:jc w:val="both"/>
        <w:ind w:left="40" w:firstLine="329"/>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Level 3 non-U.S. plan assets held during the year ended December 31,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Non-U.S. Plans</w:t>
            </w: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Property</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48"/>
              <w:spacing w:after="0" w:line="190" w:lineRule="exact"/>
              <w:rPr>
                <w:sz w:val="20"/>
                <w:szCs w:val="20"/>
                <w:color w:val="auto"/>
              </w:rPr>
            </w:pPr>
            <w:r>
              <w:rPr>
                <w:rFonts w:ascii="Times New Roman" w:cs="Times New Roman" w:eastAsia="Times New Roman" w:hAnsi="Times New Roman"/>
                <w:sz w:val="18"/>
                <w:szCs w:val="18"/>
                <w:b w:val="1"/>
                <w:bCs w:val="1"/>
                <w:color w:val="auto"/>
              </w:rPr>
              <w:t>Hedge</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268"/>
              <w:spacing w:after="0" w:line="201" w:lineRule="exact"/>
              <w:rPr>
                <w:sz w:val="20"/>
                <w:szCs w:val="20"/>
                <w:color w:val="auto"/>
              </w:rPr>
            </w:pPr>
            <w:r>
              <w:rPr>
                <w:rFonts w:ascii="Times New Roman" w:cs="Times New Roman" w:eastAsia="Times New Roman" w:hAnsi="Times New Roman"/>
                <w:sz w:val="18"/>
                <w:szCs w:val="18"/>
                <w:b w:val="1"/>
                <w:bCs w:val="1"/>
                <w:color w:val="auto"/>
              </w:rPr>
              <w:t>Funds</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398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6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Ending balance as of December 31, 2021</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560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Purchases, sales and settlements</w:t>
            </w:r>
          </w:p>
        </w:tc>
        <w:tc>
          <w:tcPr>
            <w:tcW w:w="1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Ending balance as of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left="40" w:right="60" w:firstLine="328"/>
        <w:spacing w:after="0" w:line="300" w:lineRule="auto"/>
        <w:rPr>
          <w:sz w:val="20"/>
          <w:szCs w:val="20"/>
          <w:color w:val="auto"/>
        </w:rPr>
      </w:pPr>
      <w:r>
        <w:rPr>
          <w:rFonts w:ascii="Times New Roman" w:cs="Times New Roman" w:eastAsia="Times New Roman" w:hAnsi="Times New Roman"/>
          <w:sz w:val="18"/>
          <w:szCs w:val="18"/>
          <w:color w:val="auto"/>
        </w:rPr>
        <w:t>The following weighted average assumptions were used to determine the postretirement benefit expense and obligation for the years ended December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940" w:type="dxa"/>
            <w:vAlign w:val="bottom"/>
            <w:tcBorders>
              <w:bottom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80" w:type="dxa"/>
            <w:vAlign w:val="bottom"/>
          </w:tcPr>
          <w:p>
            <w:pPr>
              <w:spacing w:after="0"/>
              <w:rPr>
                <w:sz w:val="18"/>
                <w:szCs w:val="18"/>
                <w:color w:val="auto"/>
              </w:rPr>
            </w:pPr>
          </w:p>
        </w:tc>
        <w:tc>
          <w:tcPr>
            <w:tcW w:w="1960" w:type="dxa"/>
            <w:vAlign w:val="bottom"/>
            <w:tcBorders>
              <w:bottom w:val="single" w:sz="8" w:color="auto"/>
            </w:tcBorders>
            <w:gridSpan w:val="3"/>
          </w:tcPr>
          <w:p>
            <w:pPr>
              <w:jc w:val="right"/>
              <w:ind w:right="548"/>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2"/>
        </w:trPr>
        <w:tc>
          <w:tcPr>
            <w:tcW w:w="5340" w:type="dxa"/>
            <w:vAlign w:val="bottom"/>
          </w:tcPr>
          <w:p>
            <w:pPr>
              <w:spacing w:after="0"/>
              <w:rPr>
                <w:sz w:val="18"/>
                <w:szCs w:val="18"/>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51"/>
        </w:trPr>
        <w:tc>
          <w:tcPr>
            <w:tcW w:w="534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9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80" w:type="dxa"/>
            <w:vAlign w:val="bottom"/>
            <w:tcBorders>
              <w:top w:val="single" w:sz="8" w:color="DDDDDD"/>
            </w:tcBorders>
            <w:shd w:val="clear" w:color="auto" w:fill="DDDDDD"/>
          </w:tcPr>
          <w:p>
            <w:pPr>
              <w:spacing w:after="0"/>
              <w:rPr>
                <w:sz w:val="21"/>
                <w:szCs w:val="21"/>
                <w:color w:val="auto"/>
              </w:rPr>
            </w:pP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80" w:type="dxa"/>
            <w:vAlign w:val="bottom"/>
            <w:tcBorders>
              <w:top w:val="single" w:sz="8" w:color="DDDDDD"/>
            </w:tcBorders>
            <w:shd w:val="clear" w:color="auto" w:fill="DDDDDD"/>
          </w:tcPr>
          <w:p>
            <w:pPr>
              <w:spacing w:after="0"/>
              <w:rPr>
                <w:sz w:val="21"/>
                <w:szCs w:val="21"/>
                <w:color w:val="auto"/>
              </w:rPr>
            </w:pPr>
          </w:p>
        </w:tc>
        <w:tc>
          <w:tcPr>
            <w:tcW w:w="9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60" w:type="dxa"/>
            <w:vAlign w:val="bottom"/>
            <w:tcBorders>
              <w:top w:val="single" w:sz="8" w:color="DDDDDD"/>
            </w:tcBorders>
            <w:shd w:val="clear" w:color="auto" w:fill="DDDDDD"/>
          </w:tcPr>
          <w:p>
            <w:pPr>
              <w:spacing w:after="0"/>
              <w:rPr>
                <w:sz w:val="21"/>
                <w:szCs w:val="21"/>
                <w:color w:val="auto"/>
              </w:rPr>
            </w:pPr>
          </w:p>
        </w:tc>
        <w:tc>
          <w:tcPr>
            <w:tcW w:w="9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7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medical cost trend 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74"/>
        </w:trPr>
        <w:tc>
          <w:tcPr>
            <w:tcW w:w="53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Ultimate medical cost trend rate</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shd w:val="clear" w:color="auto" w:fill="DDDDDD"/>
          </w:tcPr>
          <w:p>
            <w:pPr>
              <w:spacing w:after="0"/>
              <w:rPr>
                <w:sz w:val="23"/>
                <w:szCs w:val="23"/>
                <w:color w:val="auto"/>
              </w:rPr>
            </w:pP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80" w:type="dxa"/>
            <w:vAlign w:val="bottom"/>
            <w:shd w:val="clear" w:color="auto" w:fill="DDDDDD"/>
          </w:tcPr>
          <w:p>
            <w:pPr>
              <w:spacing w:after="0"/>
              <w:rPr>
                <w:sz w:val="23"/>
                <w:szCs w:val="23"/>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60" w:type="dxa"/>
            <w:vAlign w:val="bottom"/>
            <w:shd w:val="clear" w:color="auto" w:fill="DDDDDD"/>
          </w:tcPr>
          <w:p>
            <w:pPr>
              <w:spacing w:after="0"/>
              <w:rPr>
                <w:sz w:val="23"/>
                <w:szCs w:val="23"/>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4.75 %</w:t>
            </w:r>
          </w:p>
        </w:tc>
      </w:tr>
      <w:tr>
        <w:trPr>
          <w:trHeight w:val="270"/>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Medical cost trend rate decreases to ultimate rate in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2030</w:t>
            </w:r>
          </w:p>
        </w:tc>
      </w:tr>
    </w:tbl>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sensitivity of disclosures to changes in selected assumptions for the year ended</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w w:val="99"/>
              </w:rPr>
              <w:t>U.S. Pension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Non-U.S.</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Pr>
          <w:p>
            <w:pPr>
              <w:spacing w:after="0"/>
              <w:rPr>
                <w:sz w:val="18"/>
                <w:szCs w:val="18"/>
                <w:color w:val="auto"/>
              </w:rPr>
            </w:pPr>
          </w:p>
        </w:tc>
        <w:tc>
          <w:tcPr>
            <w:tcW w:w="1140" w:type="dxa"/>
            <w:vAlign w:val="bottom"/>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Plans</w:t>
            </w:r>
          </w:p>
        </w:tc>
        <w:tc>
          <w:tcPr>
            <w:tcW w:w="80" w:type="dxa"/>
            <w:vAlign w:val="bottom"/>
          </w:tcPr>
          <w:p>
            <w:pPr>
              <w:spacing w:after="0"/>
              <w:rPr>
                <w:sz w:val="18"/>
                <w:szCs w:val="18"/>
                <w:color w:val="auto"/>
              </w:rPr>
            </w:pPr>
          </w:p>
        </w:tc>
        <w:tc>
          <w:tcPr>
            <w:tcW w:w="1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8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Benefit Plan</w:t>
            </w:r>
          </w:p>
        </w:tc>
        <w:tc>
          <w:tcPr>
            <w:tcW w:w="0" w:type="dxa"/>
            <w:vAlign w:val="bottom"/>
          </w:tcPr>
          <w:p>
            <w:pPr>
              <w:spacing w:after="0"/>
              <w:rPr>
                <w:sz w:val="1"/>
                <w:szCs w:val="1"/>
                <w:color w:val="auto"/>
              </w:rPr>
            </w:pPr>
          </w:p>
        </w:tc>
      </w:tr>
      <w:tr>
        <w:trPr>
          <w:trHeight w:val="57"/>
        </w:trPr>
        <w:tc>
          <w:tcPr>
            <w:tcW w:w="40" w:type="dxa"/>
            <w:vAlign w:val="bottom"/>
            <w:tcBorders>
              <w:bottom w:val="single" w:sz="8" w:color="DDDDDD"/>
            </w:tcBorders>
          </w:tcPr>
          <w:p>
            <w:pPr>
              <w:spacing w:after="0"/>
              <w:rPr>
                <w:sz w:val="4"/>
                <w:szCs w:val="4"/>
                <w:color w:val="auto"/>
              </w:rPr>
            </w:pPr>
          </w:p>
        </w:tc>
        <w:tc>
          <w:tcPr>
            <w:tcW w:w="1600" w:type="dxa"/>
            <w:vAlign w:val="bottom"/>
            <w:tcBorders>
              <w:top w:val="single" w:sz="8" w:color="auto"/>
              <w:bottom w:val="single" w:sz="8" w:color="DDDDDD"/>
            </w:tcBorders>
          </w:tcPr>
          <w:p>
            <w:pPr>
              <w:spacing w:after="0"/>
              <w:rPr>
                <w:sz w:val="4"/>
                <w:szCs w:val="4"/>
                <w:color w:val="auto"/>
              </w:rPr>
            </w:pPr>
          </w:p>
        </w:tc>
        <w:tc>
          <w:tcPr>
            <w:tcW w:w="3580" w:type="dxa"/>
            <w:vAlign w:val="bottom"/>
            <w:tcBorders>
              <w:bottom w:val="single" w:sz="8" w:color="DDDDDD"/>
            </w:tcBorders>
          </w:tcPr>
          <w:p>
            <w:pPr>
              <w:spacing w:after="0"/>
              <w:rPr>
                <w:sz w:val="4"/>
                <w:szCs w:val="4"/>
                <w:color w:val="auto"/>
              </w:rPr>
            </w:pPr>
          </w:p>
        </w:tc>
        <w:tc>
          <w:tcPr>
            <w:tcW w:w="40" w:type="dxa"/>
            <w:vAlign w:val="bottom"/>
            <w:tcBorders>
              <w:bottom w:val="single" w:sz="8" w:color="DDDDDD"/>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0" w:type="dxa"/>
            <w:vAlign w:val="bottom"/>
            <w:tcBorders>
              <w:top w:val="single" w:sz="8" w:color="DDDDDD"/>
            </w:tcBorders>
            <w:shd w:val="clear" w:color="auto" w:fill="DDDDDD"/>
          </w:tcPr>
          <w:p>
            <w:pPr>
              <w:spacing w:after="0"/>
              <w:rPr>
                <w:sz w:val="19"/>
                <w:szCs w:val="19"/>
                <w:color w:val="auto"/>
              </w:rPr>
            </w:pPr>
          </w:p>
        </w:tc>
        <w:tc>
          <w:tcPr>
            <w:tcW w:w="522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25 Basis Point Decrease in Discount Rate</w:t>
            </w:r>
          </w:p>
        </w:tc>
        <w:tc>
          <w:tcPr>
            <w:tcW w:w="160" w:type="dxa"/>
            <w:vAlign w:val="bottom"/>
            <w:tcBorders>
              <w:top w:val="single" w:sz="8" w:color="DDDDDD"/>
            </w:tcBorders>
            <w:shd w:val="clear" w:color="auto" w:fill="DDDDDD"/>
          </w:tcPr>
          <w:p>
            <w:pPr>
              <w:spacing w:after="0"/>
              <w:rPr>
                <w:sz w:val="19"/>
                <w:szCs w:val="19"/>
                <w:color w:val="auto"/>
              </w:rPr>
            </w:pPr>
          </w:p>
        </w:tc>
        <w:tc>
          <w:tcPr>
            <w:tcW w:w="1140" w:type="dxa"/>
            <w:vAlign w:val="bottom"/>
            <w:tcBorders>
              <w:top w:val="single" w:sz="8" w:color="DDDDDD"/>
            </w:tcBorders>
            <w:shd w:val="clear" w:color="auto" w:fill="DDDDDD"/>
          </w:tcPr>
          <w:p>
            <w:pPr>
              <w:spacing w:after="0"/>
              <w:rPr>
                <w:sz w:val="19"/>
                <w:szCs w:val="19"/>
                <w:color w:val="auto"/>
              </w:rPr>
            </w:pPr>
          </w:p>
        </w:tc>
        <w:tc>
          <w:tcPr>
            <w:tcW w:w="80" w:type="dxa"/>
            <w:vAlign w:val="bottom"/>
            <w:tcBorders>
              <w:top w:val="single" w:sz="8" w:color="DDDDDD"/>
            </w:tcBorders>
            <w:shd w:val="clear" w:color="auto" w:fill="DDDDDD"/>
          </w:tcPr>
          <w:p>
            <w:pPr>
              <w:spacing w:after="0"/>
              <w:rPr>
                <w:sz w:val="19"/>
                <w:szCs w:val="19"/>
                <w:color w:val="auto"/>
              </w:rPr>
            </w:pPr>
          </w:p>
        </w:tc>
        <w:tc>
          <w:tcPr>
            <w:tcW w:w="220" w:type="dxa"/>
            <w:vAlign w:val="bottom"/>
            <w:tcBorders>
              <w:top w:val="single" w:sz="8" w:color="DDDDDD"/>
            </w:tcBorders>
            <w:shd w:val="clear" w:color="auto" w:fill="DDDDDD"/>
          </w:tcPr>
          <w:p>
            <w:pPr>
              <w:spacing w:after="0"/>
              <w:rPr>
                <w:sz w:val="19"/>
                <w:szCs w:val="19"/>
                <w:color w:val="auto"/>
              </w:rPr>
            </w:pPr>
          </w:p>
        </w:tc>
        <w:tc>
          <w:tcPr>
            <w:tcW w:w="1080" w:type="dxa"/>
            <w:vAlign w:val="bottom"/>
            <w:tcBorders>
              <w:top w:val="single" w:sz="8" w:color="DDDDDD"/>
            </w:tcBorders>
            <w:shd w:val="clear" w:color="auto" w:fill="DDDDDD"/>
          </w:tcPr>
          <w:p>
            <w:pPr>
              <w:spacing w:after="0"/>
              <w:rPr>
                <w:sz w:val="19"/>
                <w:szCs w:val="19"/>
                <w:color w:val="auto"/>
              </w:rPr>
            </w:pPr>
          </w:p>
        </w:tc>
        <w:tc>
          <w:tcPr>
            <w:tcW w:w="80" w:type="dxa"/>
            <w:vAlign w:val="bottom"/>
            <w:tcBorders>
              <w:top w:val="single" w:sz="8" w:color="DDDDDD"/>
            </w:tcBorders>
            <w:shd w:val="clear" w:color="auto" w:fill="DDDDDD"/>
          </w:tcPr>
          <w:p>
            <w:pPr>
              <w:spacing w:after="0"/>
              <w:rPr>
                <w:sz w:val="19"/>
                <w:szCs w:val="19"/>
                <w:color w:val="auto"/>
              </w:rPr>
            </w:pPr>
          </w:p>
        </w:tc>
        <w:tc>
          <w:tcPr>
            <w:tcW w:w="1300" w:type="dxa"/>
            <w:vAlign w:val="bottom"/>
            <w:tcBorders>
              <w:top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5220" w:type="dxa"/>
            <w:vAlign w:val="bottom"/>
            <w:tcBorders>
              <w:bottom w:val="single" w:sz="8" w:color="DDDDDD"/>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Change in PBO</w:t>
            </w:r>
          </w:p>
        </w:tc>
        <w:tc>
          <w:tcPr>
            <w:tcW w:w="1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DDDDD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DDDDDD"/>
            </w:tcBorders>
          </w:tcPr>
          <w:p>
            <w:pPr>
              <w:spacing w:after="0"/>
              <w:rPr>
                <w:sz w:val="24"/>
                <w:szCs w:val="24"/>
                <w:color w:val="auto"/>
              </w:rPr>
            </w:pPr>
          </w:p>
        </w:tc>
        <w:tc>
          <w:tcPr>
            <w:tcW w:w="13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180" w:type="dxa"/>
            <w:vAlign w:val="bottom"/>
            <w:gridSpan w:val="2"/>
            <w:shd w:val="clear" w:color="auto" w:fill="DDDDDD"/>
          </w:tcPr>
          <w:p>
            <w:pPr>
              <w:ind w:left="140"/>
              <w:spacing w:after="0"/>
              <w:rPr>
                <w:sz w:val="20"/>
                <w:szCs w:val="20"/>
                <w:color w:val="auto"/>
              </w:rPr>
            </w:pPr>
            <w:r>
              <w:rPr>
                <w:rFonts w:ascii="Times New Roman" w:cs="Times New Roman" w:eastAsia="Times New Roman" w:hAnsi="Times New Roman"/>
                <w:sz w:val="18"/>
                <w:szCs w:val="18"/>
                <w:color w:val="auto"/>
              </w:rPr>
              <w:t>Change in ABO</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8"/>
        </w:trPr>
        <w:tc>
          <w:tcPr>
            <w:tcW w:w="40" w:type="dxa"/>
            <w:vAlign w:val="bottom"/>
            <w:tcBorders>
              <w:bottom w:val="single" w:sz="8" w:color="DDDDDD"/>
            </w:tcBorders>
          </w:tcPr>
          <w:p>
            <w:pPr>
              <w:spacing w:after="0"/>
              <w:rPr>
                <w:sz w:val="24"/>
                <w:szCs w:val="24"/>
                <w:color w:val="auto"/>
              </w:rPr>
            </w:pPr>
          </w:p>
        </w:tc>
        <w:tc>
          <w:tcPr>
            <w:tcW w:w="5220" w:type="dxa"/>
            <w:vAlign w:val="bottom"/>
            <w:tcBorders>
              <w:bottom w:val="single" w:sz="8" w:color="DDDDDD"/>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Change in pension expense</w:t>
            </w:r>
          </w:p>
        </w:tc>
        <w:tc>
          <w:tcPr>
            <w:tcW w:w="160" w:type="dxa"/>
            <w:vAlign w:val="bottom"/>
            <w:tcBorders>
              <w:bottom w:val="single" w:sz="8" w:color="DDDDDD"/>
            </w:tcBorders>
          </w:tcPr>
          <w:p>
            <w:pPr>
              <w:spacing w:after="0"/>
              <w:rPr>
                <w:sz w:val="24"/>
                <w:szCs w:val="24"/>
                <w:color w:val="auto"/>
              </w:rPr>
            </w:pPr>
          </w:p>
        </w:tc>
        <w:tc>
          <w:tcPr>
            <w:tcW w:w="11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DDDDD"/>
            </w:tcBorders>
          </w:tcPr>
          <w:p>
            <w:pPr>
              <w:spacing w:after="0"/>
              <w:rPr>
                <w:sz w:val="24"/>
                <w:szCs w:val="24"/>
                <w:color w:val="auto"/>
              </w:rPr>
            </w:pPr>
          </w:p>
        </w:tc>
        <w:tc>
          <w:tcPr>
            <w:tcW w:w="220" w:type="dxa"/>
            <w:vAlign w:val="bottom"/>
            <w:tcBorders>
              <w:bottom w:val="single" w:sz="8" w:color="DDDDDD"/>
            </w:tcBorders>
          </w:tcPr>
          <w:p>
            <w:pPr>
              <w:spacing w:after="0"/>
              <w:rPr>
                <w:sz w:val="24"/>
                <w:szCs w:val="24"/>
                <w:color w:val="auto"/>
              </w:rPr>
            </w:pPr>
          </w:p>
        </w:tc>
        <w:tc>
          <w:tcPr>
            <w:tcW w:w="108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DDDDDD"/>
            </w:tcBorders>
          </w:tcPr>
          <w:p>
            <w:pPr>
              <w:spacing w:after="0"/>
              <w:rPr>
                <w:sz w:val="24"/>
                <w:szCs w:val="24"/>
                <w:color w:val="auto"/>
              </w:rPr>
            </w:pPr>
          </w:p>
        </w:tc>
        <w:tc>
          <w:tcPr>
            <w:tcW w:w="13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518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25 Basis Point Decrease in Long-Term Rate of Return</w:t>
            </w:r>
          </w:p>
        </w:tc>
        <w:tc>
          <w:tcPr>
            <w:tcW w:w="4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14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5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Change in pension expense</w:t>
            </w: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4"/>
                <w:szCs w:val="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40" w:firstLine="328"/>
        <w:spacing w:after="0" w:line="272" w:lineRule="auto"/>
        <w:rPr>
          <w:sz w:val="20"/>
          <w:szCs w:val="20"/>
          <w:color w:val="auto"/>
        </w:rPr>
      </w:pPr>
      <w:r>
        <w:rPr>
          <w:rFonts w:ascii="Times New Roman" w:cs="Times New Roman" w:eastAsia="Times New Roman" w:hAnsi="Times New Roman"/>
          <w:sz w:val="18"/>
          <w:szCs w:val="18"/>
          <w:color w:val="auto"/>
        </w:rPr>
        <w:t>The Company contributed $31 million to its non-U.S. pension plans in 2022. No contributions were made to the Company’s qualified U.S. pension plans in 2022. The Company made $5 million in benefit payments with respect to its non-qualified U.S. pension plan. In addition, $2 million of payments were made with respect to the Company’s other postretirement plans.</w:t>
      </w:r>
    </w:p>
    <w:p>
      <w:pPr>
        <w:spacing w:after="0" w:line="387" w:lineRule="exact"/>
        <w:rPr>
          <w:sz w:val="20"/>
          <w:szCs w:val="20"/>
          <w:color w:val="auto"/>
        </w:rPr>
      </w:pPr>
    </w:p>
    <w:p>
      <w:pPr>
        <w:ind w:left="4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NOTE 16.</w:t>
        <w:tab/>
        <w:t>FINANCIAL INSTRUMENTS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99</w:t>
      </w:r>
    </w:p>
    <w:p>
      <w:pPr>
        <w:sectPr>
          <w:pgSz w:w="11880" w:h="15480" w:orient="portrait"/>
          <w:cols w:equalWidth="0" w:num="1">
            <w:col w:w="9400"/>
          </w:cols>
          <w:pgMar w:left="1220" w:top="1255" w:right="1260" w:bottom="254" w:gutter="0" w:footer="0" w:header="0"/>
        </w:sectPr>
      </w:pPr>
    </w:p>
    <w:bookmarkStart w:id="106" w:name="page107"/>
    <w:bookmarkEnd w:id="106"/>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57" w:lineRule="exact"/>
        <w:rPr>
          <w:sz w:val="20"/>
          <w:szCs w:val="20"/>
          <w:color w:val="auto"/>
        </w:rPr>
      </w:pPr>
    </w:p>
    <w:p>
      <w:pPr>
        <w:ind w:left="860" w:hanging="322"/>
        <w:spacing w:after="0"/>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 Quoted prices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instruments in active markets.</w:t>
      </w:r>
    </w:p>
    <w:p>
      <w:pPr>
        <w:spacing w:after="0" w:line="68" w:lineRule="exact"/>
        <w:rPr>
          <w:rFonts w:ascii="Times New Roman" w:cs="Times New Roman" w:eastAsia="Times New Roman" w:hAnsi="Times New Roman"/>
          <w:sz w:val="18"/>
          <w:szCs w:val="18"/>
          <w:color w:val="auto"/>
        </w:rPr>
      </w:pPr>
    </w:p>
    <w:p>
      <w:pPr>
        <w:jc w:val="both"/>
        <w:ind w:left="860" w:hanging="322"/>
        <w:spacing w:after="0" w:line="275"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 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1" w:lineRule="exact"/>
        <w:rPr>
          <w:rFonts w:ascii="Times New Roman" w:cs="Times New Roman" w:eastAsia="Times New Roman" w:hAnsi="Times New Roman"/>
          <w:sz w:val="18"/>
          <w:szCs w:val="18"/>
          <w:color w:val="auto"/>
        </w:rPr>
      </w:pPr>
    </w:p>
    <w:p>
      <w:pPr>
        <w:ind w:left="860" w:hanging="322"/>
        <w:spacing w:after="0" w:line="295" w:lineRule="auto"/>
        <w:tabs>
          <w:tab w:leader="none" w:pos="8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r>
        <w:rPr>
          <w:rFonts w:ascii="Times New Roman" w:cs="Times New Roman" w:eastAsia="Times New Roman" w:hAnsi="Times New Roman"/>
          <w:sz w:val="18"/>
          <w:szCs w:val="18"/>
          <w:i w:val="1"/>
          <w:iCs w:val="1"/>
          <w:color w:val="auto"/>
        </w:rPr>
        <w:t>.</w:t>
      </w:r>
    </w:p>
    <w:p>
      <w:pPr>
        <w:spacing w:after="0" w:line="34" w:lineRule="exact"/>
        <w:rPr>
          <w:sz w:val="20"/>
          <w:szCs w:val="20"/>
          <w:color w:val="auto"/>
        </w:rPr>
      </w:pPr>
    </w:p>
    <w:p>
      <w:pPr>
        <w:jc w:val="both"/>
        <w:ind w:left="40" w:firstLine="328"/>
        <w:spacing w:after="0" w:line="262" w:lineRule="auto"/>
        <w:rPr>
          <w:sz w:val="20"/>
          <w:szCs w:val="20"/>
          <w:color w:val="auto"/>
        </w:rPr>
      </w:pPr>
      <w:r>
        <w:rPr>
          <w:rFonts w:ascii="Times New Roman" w:cs="Times New Roman" w:eastAsia="Times New Roman" w:hAnsi="Times New Roman"/>
          <w:sz w:val="18"/>
          <w:szCs w:val="18"/>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The Company does not have any instruments classified as Level 3, other than those included in pension asset trusts included in Note 15. These valuations take into consideration the Company's credit risk and its counterparties’ credit risk.</w:t>
      </w:r>
    </w:p>
    <w:p>
      <w:pPr>
        <w:spacing w:after="0" w:line="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and the estimated fair values of financial instruments at December 31 consisted of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48"/>
              <w:spacing w:after="0" w:line="19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center"/>
              <w:ind w:right="260"/>
              <w:spacing w:after="0" w:line="190" w:lineRule="exact"/>
              <w:rPr>
                <w:sz w:val="20"/>
                <w:szCs w:val="20"/>
                <w:color w:val="auto"/>
              </w:rPr>
            </w:pPr>
            <w:r>
              <w:rPr>
                <w:rFonts w:ascii="Times New Roman" w:cs="Times New Roman" w:eastAsia="Times New Roman" w:hAnsi="Times New Roman"/>
                <w:sz w:val="18"/>
                <w:szCs w:val="18"/>
                <w:b w:val="1"/>
                <w:bCs w:val="1"/>
                <w:color w:val="auto"/>
              </w:rPr>
              <w:t>Fair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center"/>
              <w:ind w:right="260"/>
              <w:spacing w:after="0" w:line="190"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188"/>
        </w:trPr>
        <w:tc>
          <w:tcPr>
            <w:tcW w:w="40" w:type="dxa"/>
            <w:vAlign w:val="bottom"/>
          </w:tcPr>
          <w:p>
            <w:pPr>
              <w:spacing w:after="0"/>
              <w:rPr>
                <w:sz w:val="16"/>
                <w:szCs w:val="16"/>
                <w:color w:val="auto"/>
              </w:rPr>
            </w:pPr>
          </w:p>
        </w:tc>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88"/>
              <w:spacing w:after="0" w:line="189" w:lineRule="exact"/>
              <w:rPr>
                <w:sz w:val="20"/>
                <w:szCs w:val="20"/>
                <w:color w:val="auto"/>
              </w:rPr>
            </w:pPr>
            <w:r>
              <w:rPr>
                <w:rFonts w:ascii="Times New Roman" w:cs="Times New Roman" w:eastAsia="Times New Roman" w:hAnsi="Times New Roman"/>
                <w:sz w:val="18"/>
                <w:szCs w:val="18"/>
                <w:b w:val="1"/>
                <w:bCs w:val="1"/>
                <w:color w:val="auto"/>
              </w:rPr>
              <w:t>Value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4260" w:type="dxa"/>
            <w:vAlign w:val="bottom"/>
            <w:tcBorders>
              <w:bottom w:val="single" w:sz="8" w:color="DDDDDD"/>
            </w:tcBorders>
            <w:gridSpan w:val="3"/>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55"/>
        </w:trPr>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42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10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98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9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r>
      <w:tr>
        <w:trPr>
          <w:trHeight w:val="271"/>
        </w:trPr>
        <w:tc>
          <w:tcPr>
            <w:tcW w:w="40" w:type="dxa"/>
            <w:vAlign w:val="bottom"/>
          </w:tcPr>
          <w:p>
            <w:pPr>
              <w:spacing w:after="0"/>
              <w:rPr>
                <w:sz w:val="23"/>
                <w:szCs w:val="23"/>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11"/>
                <w:szCs w:val="1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3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23"/>
                <w:szCs w:val="23"/>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4"/>
                <w:szCs w:val="24"/>
                <w:color w:val="auto"/>
              </w:rPr>
            </w:pPr>
          </w:p>
        </w:tc>
        <w:tc>
          <w:tcPr>
            <w:tcW w:w="434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51"/>
        </w:trPr>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Credit facilities and bank overdrafts</w:t>
            </w:r>
            <w:r>
              <w:rPr>
                <w:rFonts w:ascii="Times New Roman" w:cs="Times New Roman" w:eastAsia="Times New Roman" w:hAnsi="Times New Roman"/>
                <w:sz w:val="11"/>
                <w:szCs w:val="11"/>
                <w:color w:val="auto"/>
              </w:rPr>
              <w:t>(2)</w:t>
            </w:r>
          </w:p>
        </w:tc>
        <w:tc>
          <w:tcPr>
            <w:tcW w:w="60" w:type="dxa"/>
            <w:vAlign w:val="bottom"/>
            <w:tcBorders>
              <w:top w:val="single" w:sz="8" w:color="DDDDDD"/>
            </w:tcBorders>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top w:val="single" w:sz="8" w:color="DDDDDD"/>
            </w:tcBorders>
          </w:tcPr>
          <w:p>
            <w:pPr>
              <w:spacing w:after="0"/>
              <w:rPr>
                <w:sz w:val="21"/>
                <w:szCs w:val="21"/>
                <w:color w:val="auto"/>
              </w:rPr>
            </w:pPr>
          </w:p>
        </w:tc>
        <w:tc>
          <w:tcPr>
            <w:tcW w:w="80" w:type="dxa"/>
            <w:vAlign w:val="bottom"/>
            <w:tcBorders>
              <w:top w:val="single" w:sz="8" w:color="DDDDDD"/>
            </w:tcBorders>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top w:val="single" w:sz="8" w:color="DDDDDD"/>
            </w:tcBorders>
          </w:tcPr>
          <w:p>
            <w:pPr>
              <w:spacing w:after="0"/>
              <w:rPr>
                <w:sz w:val="21"/>
                <w:szCs w:val="21"/>
                <w:color w:val="auto"/>
              </w:rPr>
            </w:pPr>
          </w:p>
        </w:tc>
      </w:tr>
      <w:tr>
        <w:trPr>
          <w:trHeight w:val="276"/>
        </w:trPr>
        <w:tc>
          <w:tcPr>
            <w:tcW w:w="40" w:type="dxa"/>
            <w:vAlign w:val="bottom"/>
            <w:shd w:val="clear" w:color="auto" w:fill="DDDDDD"/>
          </w:tcPr>
          <w:p>
            <w:pPr>
              <w:spacing w:after="0"/>
              <w:rPr>
                <w:sz w:val="24"/>
                <w:szCs w:val="24"/>
                <w:color w:val="auto"/>
              </w:rPr>
            </w:pPr>
          </w:p>
        </w:tc>
        <w:tc>
          <w:tcPr>
            <w:tcW w:w="434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51"/>
        </w:trPr>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4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11"/>
                <w:szCs w:val="11"/>
                <w:color w:val="auto"/>
              </w:rPr>
              <w:t>(3)</w:t>
            </w:r>
          </w:p>
        </w:tc>
        <w:tc>
          <w:tcPr>
            <w:tcW w:w="60" w:type="dxa"/>
            <w:vAlign w:val="bottom"/>
            <w:tcBorders>
              <w:top w:val="single" w:sz="8" w:color="DDDDDD"/>
            </w:tcBorders>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DDDDDD"/>
            </w:tcBorders>
          </w:tcPr>
          <w:p>
            <w:pPr>
              <w:spacing w:after="0"/>
              <w:rPr>
                <w:sz w:val="21"/>
                <w:szCs w:val="21"/>
                <w:color w:val="auto"/>
              </w:rPr>
            </w:pPr>
          </w:p>
        </w:tc>
        <w:tc>
          <w:tcPr>
            <w:tcW w:w="80" w:type="dxa"/>
            <w:vAlign w:val="bottom"/>
            <w:tcBorders>
              <w:top w:val="single" w:sz="8" w:color="DDDDDD"/>
            </w:tcBorders>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1"/>
                <w:szCs w:val="21"/>
                <w:color w:val="auto"/>
              </w:rPr>
            </w:pPr>
          </w:p>
        </w:tc>
        <w:tc>
          <w:tcPr>
            <w:tcW w:w="6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tcBorders>
          </w:tcPr>
          <w:p>
            <w:pPr>
              <w:spacing w:after="0"/>
              <w:rPr>
                <w:sz w:val="21"/>
                <w:szCs w:val="21"/>
                <w:color w:val="auto"/>
              </w:rPr>
            </w:pPr>
          </w:p>
        </w:tc>
      </w:tr>
      <w:tr>
        <w:trPr>
          <w:trHeight w:val="276"/>
        </w:trPr>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60" w:type="dxa"/>
            <w:vAlign w:val="bottom"/>
            <w:gridSpan w:val="3"/>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11"/>
                <w:szCs w:val="11"/>
                <w:color w:val="auto"/>
              </w:rPr>
              <w:t>(3)</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4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11"/>
                <w:szCs w:val="11"/>
                <w:color w:val="auto"/>
              </w:rPr>
              <w:t>(2)</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4"/>
                <w:szCs w:val="24"/>
                <w:color w:val="auto"/>
              </w:rPr>
            </w:pPr>
          </w:p>
        </w:tc>
        <w:tc>
          <w:tcPr>
            <w:tcW w:w="434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3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2022 Notes</w:t>
            </w:r>
            <w:r>
              <w:rPr>
                <w:rFonts w:ascii="Times New Roman" w:cs="Times New Roman" w:eastAsia="Times New Roman" w:hAnsi="Times New Roman"/>
                <w:sz w:val="11"/>
                <w:szCs w:val="11"/>
                <w:color w:val="auto"/>
              </w:rPr>
              <w:t>(4)</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4"/>
                <w:szCs w:val="24"/>
                <w:color w:val="auto"/>
              </w:rPr>
            </w:pPr>
          </w:p>
        </w:tc>
        <w:tc>
          <w:tcPr>
            <w:tcW w:w="72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w w:val="99"/>
              </w:rPr>
              <w:t>2023</w:t>
            </w:r>
          </w:p>
        </w:tc>
        <w:tc>
          <w:tcPr>
            <w:tcW w:w="3620" w:type="dxa"/>
            <w:vAlign w:val="bottom"/>
            <w:gridSpan w:val="3"/>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2024</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 Notes</w:t>
            </w:r>
            <w:r>
              <w:rPr>
                <w:rFonts w:ascii="Times New Roman" w:cs="Times New Roman" w:eastAsia="Times New Roman" w:hAnsi="Times New Roman"/>
                <w:sz w:val="11"/>
                <w:szCs w:val="11"/>
                <w:color w:val="auto"/>
              </w:rPr>
              <w:t>(4)</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4"/>
                <w:szCs w:val="24"/>
                <w:color w:val="auto"/>
              </w:rPr>
            </w:pPr>
          </w:p>
        </w:tc>
        <w:tc>
          <w:tcPr>
            <w:tcW w:w="72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w w:val="99"/>
              </w:rPr>
              <w:t>2025</w:t>
            </w:r>
          </w:p>
        </w:tc>
        <w:tc>
          <w:tcPr>
            <w:tcW w:w="3620" w:type="dxa"/>
            <w:vAlign w:val="bottom"/>
            <w:gridSpan w:val="3"/>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2026</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Euro Notes</w:t>
            </w:r>
            <w:r>
              <w:rPr>
                <w:rFonts w:ascii="Times New Roman" w:cs="Times New Roman" w:eastAsia="Times New Roman" w:hAnsi="Times New Roman"/>
                <w:sz w:val="11"/>
                <w:szCs w:val="11"/>
                <w:color w:val="auto"/>
              </w:rPr>
              <w:t>(4)</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3"/>
                <w:szCs w:val="23"/>
                <w:color w:val="auto"/>
              </w:rPr>
            </w:pPr>
          </w:p>
        </w:tc>
        <w:tc>
          <w:tcPr>
            <w:tcW w:w="720" w:type="dxa"/>
            <w:vAlign w:val="bottom"/>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w w:val="99"/>
              </w:rPr>
              <w:t>2027</w:t>
            </w:r>
          </w:p>
        </w:tc>
        <w:tc>
          <w:tcPr>
            <w:tcW w:w="3620" w:type="dxa"/>
            <w:vAlign w:val="bottom"/>
            <w:gridSpan w:val="3"/>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180" w:type="dxa"/>
            <w:vAlign w:val="bottom"/>
            <w:shd w:val="clear" w:color="auto" w:fill="DDDDDD"/>
          </w:tcPr>
          <w:p>
            <w:pPr>
              <w:spacing w:after="0"/>
              <w:rPr>
                <w:sz w:val="23"/>
                <w:szCs w:val="23"/>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shd w:val="clear" w:color="auto" w:fill="DDDDDD"/>
          </w:tcPr>
          <w:p>
            <w:pPr>
              <w:spacing w:after="0"/>
              <w:rPr>
                <w:sz w:val="23"/>
                <w:szCs w:val="23"/>
                <w:color w:val="auto"/>
              </w:rPr>
            </w:pPr>
          </w:p>
        </w:tc>
      </w:tr>
      <w:tr>
        <w:trPr>
          <w:trHeight w:val="271"/>
        </w:trPr>
        <w:tc>
          <w:tcPr>
            <w:tcW w:w="40" w:type="dxa"/>
            <w:vAlign w:val="bottom"/>
          </w:tcPr>
          <w:p>
            <w:pPr>
              <w:spacing w:after="0"/>
              <w:rPr>
                <w:sz w:val="23"/>
                <w:szCs w:val="23"/>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2028</w:t>
            </w:r>
          </w:p>
        </w:tc>
        <w:tc>
          <w:tcPr>
            <w:tcW w:w="3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23"/>
                <w:szCs w:val="23"/>
                <w:color w:val="auto"/>
              </w:rPr>
            </w:pPr>
          </w:p>
        </w:tc>
      </w:tr>
      <w:tr>
        <w:trPr>
          <w:trHeight w:val="276"/>
        </w:trPr>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700" w:type="dxa"/>
            <w:vAlign w:val="bottom"/>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w w:val="99"/>
              </w:rPr>
              <w:t>2030</w:t>
            </w:r>
          </w:p>
        </w:tc>
        <w:tc>
          <w:tcPr>
            <w:tcW w:w="356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20" w:type="dxa"/>
            <w:vAlign w:val="bottom"/>
            <w:tcBorders>
              <w:bottom w:val="single" w:sz="8" w:color="DDDDDD"/>
            </w:tcBorders>
            <w:shd w:val="clear" w:color="auto" w:fill="DDDDDD"/>
          </w:tcPr>
          <w:p>
            <w:pPr>
              <w:spacing w:after="0"/>
              <w:rPr>
                <w:sz w:val="24"/>
                <w:szCs w:val="24"/>
                <w:color w:val="auto"/>
              </w:rPr>
            </w:pPr>
          </w:p>
        </w:tc>
      </w:tr>
      <w:tr>
        <w:trPr>
          <w:trHeight w:val="251"/>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2040</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21"/>
                <w:szCs w:val="21"/>
                <w:color w:val="auto"/>
              </w:rPr>
            </w:pPr>
          </w:p>
        </w:tc>
      </w:tr>
      <w:tr>
        <w:trPr>
          <w:trHeight w:val="276"/>
        </w:trPr>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700" w:type="dxa"/>
            <w:vAlign w:val="bottom"/>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w w:val="99"/>
              </w:rPr>
              <w:t>2047</w:t>
            </w:r>
          </w:p>
        </w:tc>
        <w:tc>
          <w:tcPr>
            <w:tcW w:w="356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shd w:val="clear" w:color="auto" w:fill="DDDDDD"/>
          </w:tcPr>
          <w:p>
            <w:pPr>
              <w:spacing w:after="0"/>
              <w:rPr>
                <w:sz w:val="24"/>
                <w:szCs w:val="24"/>
                <w:color w:val="auto"/>
              </w:rPr>
            </w:pPr>
          </w:p>
        </w:tc>
      </w:tr>
      <w:tr>
        <w:trPr>
          <w:trHeight w:val="271"/>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2048</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700" w:type="dxa"/>
            <w:vAlign w:val="bottom"/>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w w:val="99"/>
              </w:rPr>
              <w:t>2050</w:t>
            </w:r>
          </w:p>
        </w:tc>
        <w:tc>
          <w:tcPr>
            <w:tcW w:w="3560" w:type="dxa"/>
            <w:vAlign w:val="bottom"/>
            <w:gridSpan w:val="2"/>
            <w:shd w:val="clear" w:color="auto" w:fill="DDDDDD"/>
          </w:tcPr>
          <w:p>
            <w:pPr>
              <w:ind w:left="20"/>
              <w:spacing w:after="0"/>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11"/>
                <w:szCs w:val="11"/>
                <w:color w:val="auto"/>
              </w:rPr>
              <w:t>(4)</w:t>
            </w: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0" w:type="dxa"/>
            <w:vAlign w:val="bottom"/>
            <w:shd w:val="clear" w:color="auto" w:fill="DDDDDD"/>
          </w:tcPr>
          <w:p>
            <w:pPr>
              <w:spacing w:after="0"/>
              <w:rPr>
                <w:sz w:val="23"/>
                <w:szCs w:val="23"/>
                <w:color w:val="auto"/>
              </w:rPr>
            </w:pPr>
          </w:p>
        </w:tc>
      </w:tr>
      <w:tr>
        <w:trPr>
          <w:trHeight w:val="271"/>
        </w:trPr>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2024 Term Loan Facility</w:t>
            </w:r>
            <w:r>
              <w:rPr>
                <w:rFonts w:ascii="Times New Roman" w:cs="Times New Roman" w:eastAsia="Times New Roman" w:hAnsi="Times New Roman"/>
                <w:sz w:val="11"/>
                <w:szCs w:val="11"/>
                <w:color w:val="auto"/>
              </w:rPr>
              <w:t>(5)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Pr>
          <w:p>
            <w:pPr>
              <w:spacing w:after="0"/>
              <w:rPr>
                <w:sz w:val="23"/>
                <w:szCs w:val="23"/>
                <w:color w:val="auto"/>
              </w:rPr>
            </w:pPr>
          </w:p>
        </w:tc>
      </w:tr>
      <w:tr>
        <w:trPr>
          <w:trHeight w:val="276"/>
        </w:trPr>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4260" w:type="dxa"/>
            <w:vAlign w:val="bottom"/>
            <w:tcBorders>
              <w:bottom w:val="single" w:sz="8" w:color="DDDDDD"/>
            </w:tcBorders>
            <w:gridSpan w:val="3"/>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2026 Term Loan Facility</w:t>
            </w:r>
            <w:r>
              <w:rPr>
                <w:rFonts w:ascii="Times New Roman" w:cs="Times New Roman" w:eastAsia="Times New Roman" w:hAnsi="Times New Roman"/>
                <w:sz w:val="11"/>
                <w:szCs w:val="11"/>
                <w:color w:val="auto"/>
              </w:rPr>
              <w:t>(5)</w:t>
            </w:r>
          </w:p>
        </w:tc>
        <w:tc>
          <w:tcPr>
            <w:tcW w:w="60" w:type="dxa"/>
            <w:vAlign w:val="bottom"/>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DDDDDD"/>
          </w:tcPr>
          <w:p>
            <w:pPr>
              <w:spacing w:after="0"/>
              <w:rPr>
                <w:sz w:val="24"/>
                <w:szCs w:val="24"/>
                <w:color w:val="auto"/>
              </w:rPr>
            </w:pPr>
          </w:p>
        </w:tc>
      </w:t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gridSpan w:val="3"/>
          </w:tcPr>
          <w:p>
            <w:pPr>
              <w:spacing w:after="0" w:line="153" w:lineRule="exact"/>
              <w:rPr>
                <w:sz w:val="20"/>
                <w:szCs w:val="20"/>
                <w:color w:val="auto"/>
              </w:rPr>
            </w:pPr>
            <w:r>
              <w:rPr>
                <w:rFonts w:ascii="Times New Roman" w:cs="Times New Roman" w:eastAsia="Times New Roman" w:hAnsi="Times New Roman"/>
                <w:sz w:val="17"/>
                <w:szCs w:val="17"/>
                <w:color w:val="auto"/>
              </w:rPr>
              <w:t>_______________________</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4338955</wp:posOffset>
                </wp:positionH>
                <wp:positionV relativeFrom="paragraph">
                  <wp:posOffset>-1846580</wp:posOffset>
                </wp:positionV>
                <wp:extent cx="0" cy="17272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720"/>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65pt,-145.3999pt" to="341.65pt,-131.79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3540125</wp:posOffset>
                </wp:positionH>
                <wp:positionV relativeFrom="paragraph">
                  <wp:posOffset>-1151255</wp:posOffset>
                </wp:positionV>
                <wp:extent cx="0" cy="172085"/>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75pt,-90.6499pt" to="278.75pt,-77.0999pt" o:allowincell="f" strokecolor="#FFFFFF" strokeweight="1.0939pt"/>
            </w:pict>
          </mc:Fallback>
        </mc:AlternateContent>
        <mc:AlternateContent>
          <mc:Choice Requires="wps">
            <w:drawing>
              <wp:anchor simplePos="0" relativeHeight="251657728" behindDoc="1" locked="0" layoutInCell="0" allowOverlap="1">
                <wp:simplePos x="0" y="0"/>
                <wp:positionH relativeFrom="column">
                  <wp:posOffset>4338955</wp:posOffset>
                </wp:positionH>
                <wp:positionV relativeFrom="paragraph">
                  <wp:posOffset>-1151255</wp:posOffset>
                </wp:positionV>
                <wp:extent cx="0" cy="17208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65pt,-90.6499pt" to="341.65pt,-77.09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5138420</wp:posOffset>
                </wp:positionH>
                <wp:positionV relativeFrom="paragraph">
                  <wp:posOffset>-1151255</wp:posOffset>
                </wp:positionV>
                <wp:extent cx="0" cy="17208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6pt,-90.6499pt" to="404.6pt,-77.0999pt" o:allowincell="f" strokecolor="#FFFFFF" strokeweight="1.0939pt"/>
            </w:pict>
          </mc:Fallback>
        </mc:AlternateContent>
        <mc:AlternateContent>
          <mc:Choice Requires="wps">
            <w:drawing>
              <wp:anchor simplePos="0" relativeHeight="251657728" behindDoc="1" locked="0" layoutInCell="0" allowOverlap="1">
                <wp:simplePos x="0" y="0"/>
                <wp:positionH relativeFrom="column">
                  <wp:posOffset>3540125</wp:posOffset>
                </wp:positionH>
                <wp:positionV relativeFrom="paragraph">
                  <wp:posOffset>-803910</wp:posOffset>
                </wp:positionV>
                <wp:extent cx="0" cy="172085"/>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8.75pt,-63.2999pt" to="278.75pt,-49.7499pt" o:allowincell="f" strokecolor="#FFFFFF" strokeweight="1.0939pt"/>
            </w:pict>
          </mc:Fallback>
        </mc:AlternateContent>
        <mc:AlternateContent>
          <mc:Choice Requires="wps">
            <w:drawing>
              <wp:anchor simplePos="0" relativeHeight="251657728" behindDoc="1" locked="0" layoutInCell="0" allowOverlap="1">
                <wp:simplePos x="0" y="0"/>
                <wp:positionH relativeFrom="column">
                  <wp:posOffset>4338955</wp:posOffset>
                </wp:positionH>
                <wp:positionV relativeFrom="paragraph">
                  <wp:posOffset>-803910</wp:posOffset>
                </wp:positionV>
                <wp:extent cx="0" cy="172085"/>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65pt,-63.2999pt" to="341.65pt,-49.7499pt" o:allowincell="f" strokecolor="#FFFFFF" strokeweight="0.875pt"/>
            </w:pict>
          </mc:Fallback>
        </mc:AlternateContent>
        <mc:AlternateContent>
          <mc:Choice Requires="wps">
            <w:drawing>
              <wp:anchor simplePos="0" relativeHeight="251657728" behindDoc="1" locked="0" layoutInCell="0" allowOverlap="1">
                <wp:simplePos x="0" y="0"/>
                <wp:positionH relativeFrom="column">
                  <wp:posOffset>5138420</wp:posOffset>
                </wp:positionH>
                <wp:positionV relativeFrom="paragraph">
                  <wp:posOffset>-803910</wp:posOffset>
                </wp:positionV>
                <wp:extent cx="0" cy="172085"/>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2085"/>
                        </a:xfrm>
                        <a:prstGeom prst="line">
                          <a:avLst/>
                        </a:prstGeom>
                        <a:solidFill>
                          <a:srgbClr val="FFFFFF"/>
                        </a:solidFill>
                        <a:ln w="13893">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6pt,-63.2999pt" to="404.6pt,-49.7499pt" o:allowincell="f" strokecolor="#FFFFFF" strokeweight="1.0939pt"/>
            </w:pict>
          </mc:Fallback>
        </mc:AlternateContent>
      </w:r>
    </w:p>
    <w:p>
      <w:pPr>
        <w:ind w:left="380" w:hanging="334"/>
        <w:spacing w:after="0"/>
        <w:tabs>
          <w:tab w:leader="none" w:pos="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of cash and cash equivalents approximates fair value due to the short maturity of those instruments.</w:t>
      </w:r>
    </w:p>
    <w:p>
      <w:pPr>
        <w:spacing w:after="0" w:line="1" w:lineRule="exact"/>
        <w:rPr>
          <w:rFonts w:ascii="Times New Roman" w:cs="Times New Roman" w:eastAsia="Times New Roman" w:hAnsi="Times New Roman"/>
          <w:sz w:val="17"/>
          <w:szCs w:val="17"/>
          <w:color w:val="auto"/>
        </w:rPr>
      </w:pPr>
    </w:p>
    <w:p>
      <w:pPr>
        <w:ind w:left="380" w:hanging="334"/>
        <w:spacing w:after="0" w:line="241" w:lineRule="auto"/>
        <w:tabs>
          <w:tab w:leader="none" w:pos="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approximates fair value as the interest rate is reset frequently based on current market rates as well as the short maturity of those instruments.</w:t>
      </w:r>
    </w:p>
    <w:p>
      <w:pPr>
        <w:spacing w:after="0" w:line="1" w:lineRule="exact"/>
        <w:rPr>
          <w:rFonts w:ascii="Times New Roman" w:cs="Times New Roman" w:eastAsia="Times New Roman" w:hAnsi="Times New Roman"/>
          <w:sz w:val="17"/>
          <w:szCs w:val="17"/>
          <w:color w:val="auto"/>
        </w:rPr>
      </w:pPr>
    </w:p>
    <w:p>
      <w:pPr>
        <w:ind w:left="380" w:hanging="334"/>
        <w:spacing w:after="0" w:line="241" w:lineRule="auto"/>
        <w:tabs>
          <w:tab w:leader="none" w:pos="3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approximates fair value as the instruments are marked-to-market and held at fair value on the Consolidated Balance Sheets.</w:t>
      </w:r>
    </w:p>
    <w:p>
      <w:pPr>
        <w:spacing w:after="0" w:line="1" w:lineRule="exact"/>
        <w:rPr>
          <w:rFonts w:ascii="Times New Roman" w:cs="Times New Roman" w:eastAsia="Times New Roman" w:hAnsi="Times New Roman"/>
          <w:sz w:val="17"/>
          <w:szCs w:val="17"/>
          <w:color w:val="auto"/>
        </w:rPr>
      </w:pPr>
    </w:p>
    <w:p>
      <w:pPr>
        <w:jc w:val="both"/>
        <w:ind w:left="380" w:hanging="334"/>
        <w:spacing w:after="0" w:line="282" w:lineRule="auto"/>
        <w:tabs>
          <w:tab w:leader="none" w:pos="3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Note is obtained from pricing services engaged by the Company, and the Company receives one price for each security. The fair value provided by the pricing services are estimated using pricing models, where the inputs to those models are based on observable market inputs or recent trades of similar securities. The inputs to the valuation techniques applied by the pricing services</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ectPr>
          <w:pgSz w:w="11880" w:h="15480" w:orient="portrait"/>
          <w:cols w:equalWidth="0" w:num="1">
            <w:col w:w="9400"/>
          </w:cols>
          <w:pgMar w:left="1220" w:top="1255" w:right="1260" w:bottom="254" w:gutter="0" w:footer="0" w:header="0"/>
        </w:sectPr>
      </w:pPr>
    </w:p>
    <w:bookmarkStart w:id="107" w:name="page108"/>
    <w:bookmarkEnd w:id="107"/>
    <w:p>
      <w:pPr>
        <w:ind w:left="340"/>
        <w:spacing w:after="0" w:line="241" w:lineRule="auto"/>
        <w:rPr>
          <w:sz w:val="20"/>
          <w:szCs w:val="20"/>
          <w:color w:val="auto"/>
        </w:rPr>
      </w:pPr>
      <w:r>
        <w:rPr>
          <w:rFonts w:ascii="Times New Roman" w:cs="Times New Roman" w:eastAsia="Times New Roman" w:hAnsi="Times New Roman"/>
          <w:sz w:val="17"/>
          <w:szCs w:val="17"/>
          <w:color w:val="auto"/>
        </w:rPr>
        <w:t>are typically benchmark yields, benchmark security prices, credit spreads, reported trades and broker-dealer quotes, all with reasonable levels of transparency.</w:t>
      </w:r>
    </w:p>
    <w:p>
      <w:pPr>
        <w:spacing w:after="0" w:line="1" w:lineRule="exact"/>
        <w:rPr>
          <w:sz w:val="20"/>
          <w:szCs w:val="20"/>
          <w:color w:val="auto"/>
        </w:rPr>
      </w:pPr>
    </w:p>
    <w:p>
      <w:pPr>
        <w:ind w:left="340" w:hanging="334"/>
        <w:spacing w:after="0" w:line="275" w:lineRule="auto"/>
        <w:tabs>
          <w:tab w:leader="none" w:pos="3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approximates fair value as the Term Loans were assumed at fair value and the interest rate is reset frequently based on current market rates.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Currency Forward Contracts</w:t>
      </w:r>
    </w:p>
    <w:p>
      <w:pPr>
        <w:spacing w:after="0" w:line="118"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118"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Company utilizes options that are not designated as hedging instruments to reduce exposure to commodity price fluctuations on purchases of inventory such as soybeans, soybean oil and soybean meal.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18"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Through the third quarter of 2021, the Company maintained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other comprehensive income (“OCI”) as a component of Gains (losses) on derivatives qualifying as hedges in the accompanying Consolidated Statements of (Loss) Income and Comprehensive (Loss) Income. Realized gains/(losses) in accumulated other comprehensive income (loss) (“AOCI”) related to cash flow hedges of raw material purchases are recognized as a component of Cost of goods sold in the accompanying Consolidated Statements of (Loss) Income and Comprehensive (Loss) Income in the same period as the related costs are recognized.</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cash flow hedges as of December 31, 2022 and December 31,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Hedges Related to Issuances of Debt</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Subsequent to the issuance of the 2021 Euro Notes and 2026 Euro Notes during the third quarter of 2018,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Statements of (Loss) Income and Comprehensive (Loss) Income.</w:t>
      </w:r>
    </w:p>
    <w:p>
      <w:pPr>
        <w:spacing w:after="0" w:line="57"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Subsequent to the issuance of the 2024 Euro Notes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Statements of (Loss) Income and Comprehensive (Loss) Income.</w:t>
      </w:r>
    </w:p>
    <w:p>
      <w:pPr>
        <w:spacing w:after="0" w:line="57"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Statements of (Loss) Income and Comprehensive (Loss) Income. The Company incurred a loss of €3 million ($3 million) due to the termination of these swaps. The loss is being amortized as interest expense over the life of the 2024 Euro Notes as discussed in Note 9.</w:t>
      </w:r>
    </w:p>
    <w:p>
      <w:pPr>
        <w:spacing w:after="0" w:line="66"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During the fourth quarter of 2016 and the first quarter of 2017, the Company entered into interest rate swap agreements to hedge the anticipated issuance of fixed-rate debt, which are designated as cash flow hedges. The various hedge instruments were settled upon issuance of the debt on May 18, 2017 and resulted in a loss of approximately $5 million. As discussed in Note 9, the loss is being amortized as interest expense over the life of the 2047 Notes.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118"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During the third quarter of 2022, the Company entered into a transaction to unwind the fourteen outstanding EUR/USD cross currency swaps designated as net investment hedges issued between the third quarter of 2019 and the first quarter of 2022. The Company received proceeds of approximately $183 million, including $11 million of interest income. The gain arising from the termination of the swaps has been included as a component of Accumulated other comprehensive loss.</w:t>
      </w:r>
    </w:p>
    <w:p>
      <w:pPr>
        <w:spacing w:after="0" w:line="57"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Following the unwinding of the existing swaps, during the third quarter of 2022, the Company entered into twelve new EUR/USD cross currency swaps, with a notional value of $1.400 billion that mature through November 2030. The swaps all</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880" w:h="15480" w:orient="portrait"/>
          <w:cols w:equalWidth="0" w:num="1">
            <w:col w:w="9360"/>
          </w:cols>
          <w:pgMar w:left="1260" w:top="1256" w:right="1260" w:bottom="254" w:gutter="0" w:footer="0" w:header="0"/>
        </w:sectPr>
      </w:pPr>
    </w:p>
    <w:bookmarkStart w:id="108" w:name="page109"/>
    <w:bookmarkEnd w:id="108"/>
    <w:p>
      <w:pPr>
        <w:jc w:val="both"/>
        <w:ind w:left="40"/>
        <w:spacing w:after="0" w:line="269" w:lineRule="auto"/>
        <w:rPr>
          <w:sz w:val="20"/>
          <w:szCs w:val="20"/>
          <w:color w:val="auto"/>
        </w:rPr>
      </w:pPr>
      <w:r>
        <w:rPr>
          <w:rFonts w:ascii="Times New Roman" w:cs="Times New Roman" w:eastAsia="Times New Roman" w:hAnsi="Times New Roman"/>
          <w:sz w:val="18"/>
          <w:szCs w:val="18"/>
          <w:color w:val="auto"/>
        </w:rPr>
        <w:t>qualified as net investment hedges in order to mitigate a portion of the Company's net European investments from foreign currency risk. As of December 31, 2022, the twelve remaining swaps were in a net liability position with an aggregate fair value of $37 million which were classified as Other assets and Other liabilities on the Consolidated Balance Sheets. Changes in fair value related to cross currency swaps are recorded in OCI.</w:t>
      </w:r>
    </w:p>
    <w:p>
      <w:pPr>
        <w:spacing w:after="0" w:line="57" w:lineRule="exact"/>
        <w:rPr>
          <w:sz w:val="20"/>
          <w:szCs w:val="20"/>
          <w:color w:val="auto"/>
        </w:rPr>
      </w:pPr>
    </w:p>
    <w:p>
      <w:pPr>
        <w:ind w:left="40" w:firstLine="328"/>
        <w:spacing w:after="0" w:line="300" w:lineRule="auto"/>
        <w:rPr>
          <w:sz w:val="20"/>
          <w:szCs w:val="20"/>
          <w:color w:val="auto"/>
        </w:rPr>
      </w:pPr>
      <w:r>
        <w:rPr>
          <w:rFonts w:ascii="Times New Roman" w:cs="Times New Roman" w:eastAsia="Times New Roman" w:hAnsi="Times New Roman"/>
          <w:sz w:val="18"/>
          <w:szCs w:val="18"/>
          <w:color w:val="auto"/>
        </w:rPr>
        <w:t>The following table shows the notional amount of the Company’s derivative instruments outstanding as of December 31, 2022 and December 31, 2021:</w:t>
      </w:r>
    </w:p>
    <w:p>
      <w:pPr>
        <w:spacing w:after="0" w:line="4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6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880" w:type="dxa"/>
            <w:vAlign w:val="bottom"/>
            <w:gridSpan w:val="2"/>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08"/>
              <w:spacing w:after="0" w:line="199" w:lineRule="exact"/>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08"/>
              <w:spacing w:after="0" w:line="19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61"/>
        </w:trPr>
        <w:tc>
          <w:tcPr>
            <w:tcW w:w="60" w:type="dxa"/>
            <w:vAlign w:val="bottom"/>
            <w:tcBorders>
              <w:bottom w:val="single" w:sz="8" w:color="DDDDDD"/>
            </w:tcBorders>
          </w:tcPr>
          <w:p>
            <w:pPr>
              <w:spacing w:after="0"/>
              <w:rPr>
                <w:sz w:val="4"/>
                <w:szCs w:val="4"/>
                <w:color w:val="auto"/>
              </w:rPr>
            </w:pPr>
          </w:p>
        </w:tc>
        <w:tc>
          <w:tcPr>
            <w:tcW w:w="6420" w:type="dxa"/>
            <w:vAlign w:val="bottom"/>
            <w:tcBorders>
              <w:bottom w:val="single" w:sz="8" w:color="DDDDDD"/>
            </w:tcBorders>
            <w:gridSpan w:val="2"/>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19"/>
        </w:trPr>
        <w:tc>
          <w:tcPr>
            <w:tcW w:w="60" w:type="dxa"/>
            <w:vAlign w:val="bottom"/>
            <w:tcBorders>
              <w:top w:val="single" w:sz="8" w:color="DDDDDD"/>
            </w:tcBorders>
            <w:shd w:val="clear" w:color="auto" w:fill="DDDDDD"/>
          </w:tcPr>
          <w:p>
            <w:pPr>
              <w:spacing w:after="0"/>
              <w:rPr>
                <w:sz w:val="19"/>
                <w:szCs w:val="19"/>
                <w:color w:val="auto"/>
              </w:rPr>
            </w:pPr>
          </w:p>
        </w:tc>
        <w:tc>
          <w:tcPr>
            <w:tcW w:w="6480" w:type="dxa"/>
            <w:vAlign w:val="bottom"/>
            <w:tcBorders>
              <w:top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11"/>
                <w:szCs w:val="11"/>
                <w:color w:val="auto"/>
              </w:rPr>
              <w:t>(1)</w:t>
            </w:r>
          </w:p>
        </w:tc>
        <w:tc>
          <w:tcPr>
            <w:tcW w:w="320" w:type="dxa"/>
            <w:vAlign w:val="bottom"/>
            <w:tcBorders>
              <w:top w:val="single" w:sz="8" w:color="DDDDDD"/>
            </w:tcBorders>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DDDDDD"/>
            </w:tcBorders>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8"/>
        </w:trPr>
        <w:tc>
          <w:tcPr>
            <w:tcW w:w="60" w:type="dxa"/>
            <w:vAlign w:val="bottom"/>
            <w:tcBorders>
              <w:bottom w:val="single" w:sz="8" w:color="DDDDDD"/>
            </w:tcBorders>
          </w:tcPr>
          <w:p>
            <w:pPr>
              <w:spacing w:after="0"/>
              <w:rPr>
                <w:sz w:val="24"/>
                <w:szCs w:val="24"/>
                <w:color w:val="auto"/>
              </w:rPr>
            </w:pPr>
          </w:p>
        </w:tc>
        <w:tc>
          <w:tcPr>
            <w:tcW w:w="648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11"/>
                <w:szCs w:val="11"/>
                <w:color w:val="auto"/>
              </w:rPr>
              <w:t>(1)</w:t>
            </w:r>
          </w:p>
        </w:tc>
        <w:tc>
          <w:tcPr>
            <w:tcW w:w="320" w:type="dxa"/>
            <w:vAlign w:val="bottom"/>
            <w:tcBorders>
              <w:bottom w:val="single" w:sz="8" w:color="DDDDDD"/>
            </w:tcBorders>
          </w:tcPr>
          <w:p>
            <w:pPr>
              <w:spacing w:after="0"/>
              <w:rPr>
                <w:sz w:val="24"/>
                <w:szCs w:val="24"/>
                <w:color w:val="auto"/>
              </w:rPr>
            </w:pPr>
          </w:p>
        </w:tc>
        <w:tc>
          <w:tcPr>
            <w:tcW w:w="104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DDDDDD"/>
            </w:tcBorders>
          </w:tcPr>
          <w:p>
            <w:pPr>
              <w:spacing w:after="0"/>
              <w:rPr>
                <w:sz w:val="24"/>
                <w:szCs w:val="24"/>
                <w:color w:val="auto"/>
              </w:rPr>
            </w:pPr>
          </w:p>
        </w:tc>
        <w:tc>
          <w:tcPr>
            <w:tcW w:w="320" w:type="dxa"/>
            <w:vAlign w:val="bottom"/>
            <w:tcBorders>
              <w:bottom w:val="single" w:sz="8" w:color="DDDDDD"/>
            </w:tcBorders>
          </w:tcPr>
          <w:p>
            <w:pPr>
              <w:spacing w:after="0"/>
              <w:rPr>
                <w:sz w:val="24"/>
                <w:szCs w:val="24"/>
                <w:color w:val="auto"/>
              </w:rPr>
            </w:pPr>
          </w:p>
        </w:tc>
        <w:tc>
          <w:tcPr>
            <w:tcW w:w="10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9"/>
        </w:trPr>
        <w:tc>
          <w:tcPr>
            <w:tcW w:w="60" w:type="dxa"/>
            <w:vAlign w:val="bottom"/>
            <w:shd w:val="clear" w:color="auto" w:fill="DDDDDD"/>
          </w:tcPr>
          <w:p>
            <w:pPr>
              <w:spacing w:after="0"/>
              <w:rPr>
                <w:sz w:val="19"/>
                <w:szCs w:val="19"/>
                <w:color w:val="auto"/>
              </w:rPr>
            </w:pPr>
          </w:p>
        </w:tc>
        <w:tc>
          <w:tcPr>
            <w:tcW w:w="64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0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173"/>
        </w:trPr>
        <w:tc>
          <w:tcPr>
            <w:tcW w:w="6480" w:type="dxa"/>
            <w:vAlign w:val="bottom"/>
            <w:gridSpan w:val="3"/>
          </w:tcPr>
          <w:p>
            <w:pPr>
              <w:jc w:val="right"/>
              <w:ind w:right="4460"/>
              <w:spacing w:after="0" w:line="173" w:lineRule="exact"/>
              <w:rPr>
                <w:sz w:val="20"/>
                <w:szCs w:val="20"/>
                <w:color w:val="auto"/>
              </w:rPr>
            </w:pPr>
            <w:r>
              <w:rPr>
                <w:rFonts w:ascii="Times New Roman" w:cs="Times New Roman" w:eastAsia="Times New Roman" w:hAnsi="Times New Roman"/>
                <w:sz w:val="18"/>
                <w:szCs w:val="18"/>
                <w:color w:val="auto"/>
              </w:rPr>
              <w:t>______________________</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bl>
    <w:p>
      <w:pPr>
        <w:ind w:left="460" w:hanging="414"/>
        <w:spacing w:after="0"/>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contracts and commodity contracts are presented net of contracts bought and sold.</w:t>
      </w:r>
    </w:p>
    <w:p>
      <w:pPr>
        <w:spacing w:after="0" w:line="110" w:lineRule="exact"/>
        <w:rPr>
          <w:sz w:val="20"/>
          <w:szCs w:val="20"/>
          <w:color w:val="auto"/>
        </w:rPr>
      </w:pPr>
    </w:p>
    <w:p>
      <w:pPr>
        <w:ind w:left="40" w:firstLine="328"/>
        <w:spacing w:after="0" w:line="300" w:lineRule="auto"/>
        <w:rPr>
          <w:sz w:val="20"/>
          <w:szCs w:val="20"/>
          <w:color w:val="auto"/>
        </w:rPr>
      </w:pPr>
      <w:r>
        <w:rPr>
          <w:rFonts w:ascii="Times New Roman" w:cs="Times New Roman" w:eastAsia="Times New Roman" w:hAnsi="Times New Roman"/>
          <w:sz w:val="18"/>
          <w:szCs w:val="18"/>
          <w:color w:val="auto"/>
        </w:rPr>
        <w:t>The following tables show the Company’s derivative instruments measured at fair value (Level 2 of the fair value hierarchy) as reflected in the Consolidated Balance Sheets as of December 31, 2022 and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232"/>
              <w:spacing w:after="0" w:line="177" w:lineRule="exact"/>
              <w:rPr>
                <w:sz w:val="20"/>
                <w:szCs w:val="20"/>
                <w:color w:val="auto"/>
              </w:rPr>
            </w:pPr>
            <w:r>
              <w:rPr>
                <w:rFonts w:ascii="Times New Roman" w:cs="Times New Roman" w:eastAsia="Times New Roman" w:hAnsi="Times New Roman"/>
                <w:sz w:val="17"/>
                <w:szCs w:val="17"/>
                <w:b w:val="1"/>
                <w:bCs w:val="1"/>
                <w:color w:val="auto"/>
                <w:w w:val="93"/>
              </w:rPr>
              <w:t>Fair Value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12"/>
              <w:spacing w:after="0" w:line="177" w:lineRule="exact"/>
              <w:rPr>
                <w:sz w:val="20"/>
                <w:szCs w:val="20"/>
                <w:color w:val="auto"/>
              </w:rPr>
            </w:pPr>
            <w:r>
              <w:rPr>
                <w:rFonts w:ascii="Times New Roman" w:cs="Times New Roman" w:eastAsia="Times New Roman" w:hAnsi="Times New Roman"/>
                <w:sz w:val="17"/>
                <w:szCs w:val="17"/>
                <w:b w:val="1"/>
                <w:bCs w:val="1"/>
                <w:color w:val="auto"/>
                <w:w w:val="93"/>
              </w:rPr>
              <w:t>Fair Value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212"/>
              <w:spacing w:after="0" w:line="162" w:lineRule="exact"/>
              <w:rPr>
                <w:sz w:val="20"/>
                <w:szCs w:val="20"/>
                <w:color w:val="auto"/>
              </w:rPr>
            </w:pPr>
            <w:r>
              <w:rPr>
                <w:rFonts w:ascii="Times New Roman" w:cs="Times New Roman" w:eastAsia="Times New Roman" w:hAnsi="Times New Roman"/>
                <w:sz w:val="17"/>
                <w:szCs w:val="17"/>
                <w:b w:val="1"/>
                <w:bCs w:val="1"/>
                <w:color w:val="auto"/>
                <w:w w:val="97"/>
              </w:rPr>
              <w:t>Derivatives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112"/>
              <w:spacing w:after="0" w:line="162" w:lineRule="exact"/>
              <w:rPr>
                <w:sz w:val="20"/>
                <w:szCs w:val="20"/>
                <w:color w:val="auto"/>
              </w:rPr>
            </w:pPr>
            <w:r>
              <w:rPr>
                <w:rFonts w:ascii="Times New Roman" w:cs="Times New Roman" w:eastAsia="Times New Roman" w:hAnsi="Times New Roman"/>
                <w:sz w:val="17"/>
                <w:szCs w:val="17"/>
                <w:b w:val="1"/>
                <w:bCs w:val="1"/>
                <w:color w:val="auto"/>
                <w:w w:val="97"/>
              </w:rPr>
              <w:t>Derivatives Not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w w:val="95"/>
              </w:rPr>
              <w:t>Designated as Hedging</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2"/>
          </w:tcPr>
          <w:p>
            <w:pPr>
              <w:spacing w:after="0" w:line="167" w:lineRule="exact"/>
              <w:rPr>
                <w:sz w:val="20"/>
                <w:szCs w:val="20"/>
                <w:color w:val="auto"/>
              </w:rPr>
            </w:pPr>
            <w:r>
              <w:rPr>
                <w:rFonts w:ascii="Times New Roman" w:cs="Times New Roman" w:eastAsia="Times New Roman" w:hAnsi="Times New Roman"/>
                <w:sz w:val="17"/>
                <w:szCs w:val="17"/>
                <w:b w:val="1"/>
                <w:bCs w:val="1"/>
                <w:color w:val="auto"/>
                <w:w w:val="99"/>
              </w:rPr>
              <w:t>Designated as Hedging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restart"/>
          </w:tcPr>
          <w:p>
            <w:pPr>
              <w:jc w:val="right"/>
              <w:ind w:right="190"/>
              <w:spacing w:after="0"/>
              <w:rPr>
                <w:sz w:val="20"/>
                <w:szCs w:val="20"/>
                <w:color w:val="auto"/>
              </w:rPr>
            </w:pPr>
            <w:r>
              <w:rPr>
                <w:rFonts w:ascii="Times New Roman" w:cs="Times New Roman" w:eastAsia="Times New Roman" w:hAnsi="Times New Roman"/>
                <w:sz w:val="17"/>
                <w:szCs w:val="17"/>
                <w:b w:val="1"/>
                <w:bCs w:val="1"/>
                <w:color w:val="auto"/>
                <w:w w:val="97"/>
              </w:rPr>
              <w:t>Total 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020" w:type="dxa"/>
            <w:vAlign w:val="bottom"/>
            <w:gridSpan w:val="5"/>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232"/>
              <w:spacing w:after="0" w:line="184" w:lineRule="exact"/>
              <w:rPr>
                <w:sz w:val="20"/>
                <w:szCs w:val="20"/>
                <w:color w:val="auto"/>
              </w:rPr>
            </w:pPr>
            <w:r>
              <w:rPr>
                <w:rFonts w:ascii="Times New Roman" w:cs="Times New Roman" w:eastAsia="Times New Roman" w:hAnsi="Times New Roman"/>
                <w:sz w:val="17"/>
                <w:szCs w:val="17"/>
                <w:b w:val="1"/>
                <w:bCs w:val="1"/>
                <w:color w:val="auto"/>
                <w:w w:val="96"/>
              </w:rPr>
              <w:t>Instruments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12"/>
              <w:spacing w:after="0" w:line="184" w:lineRule="exact"/>
              <w:rPr>
                <w:sz w:val="20"/>
                <w:szCs w:val="20"/>
                <w:color w:val="auto"/>
              </w:rPr>
            </w:pPr>
            <w:r>
              <w:rPr>
                <w:rFonts w:ascii="Times New Roman" w:cs="Times New Roman" w:eastAsia="Times New Roman" w:hAnsi="Times New Roman"/>
                <w:sz w:val="17"/>
                <w:szCs w:val="17"/>
                <w:b w:val="1"/>
                <w:bCs w:val="1"/>
                <w:color w:val="auto"/>
                <w:w w:val="96"/>
              </w:rPr>
              <w:t>Instruments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DDDDDD"/>
            </w:tcBorders>
          </w:tcPr>
          <w:p>
            <w:pPr>
              <w:spacing w:after="0" w:line="20" w:lineRule="exact"/>
              <w:rPr>
                <w:sz w:val="1"/>
                <w:szCs w:val="1"/>
                <w:color w:val="auto"/>
              </w:rPr>
            </w:pPr>
          </w:p>
        </w:tc>
        <w:tc>
          <w:tcPr>
            <w:tcW w:w="80" w:type="dxa"/>
            <w:vAlign w:val="bottom"/>
            <w:tcBorders>
              <w:top w:val="single" w:sz="8" w:color="auto"/>
              <w:bottom w:val="single" w:sz="8" w:color="DDDDDD"/>
            </w:tcBorders>
          </w:tcPr>
          <w:p>
            <w:pPr>
              <w:spacing w:after="0" w:line="20" w:lineRule="exact"/>
              <w:rPr>
                <w:sz w:val="1"/>
                <w:szCs w:val="1"/>
                <w:color w:val="auto"/>
              </w:rPr>
            </w:pPr>
          </w:p>
        </w:tc>
        <w:tc>
          <w:tcPr>
            <w:tcW w:w="1520" w:type="dxa"/>
            <w:vAlign w:val="bottom"/>
            <w:tcBorders>
              <w:top w:val="single" w:sz="8" w:color="auto"/>
              <w:bottom w:val="single" w:sz="8" w:color="DDDDDD"/>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30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4020" w:type="dxa"/>
            <w:vAlign w:val="bottom"/>
            <w:gridSpan w:val="5"/>
            <w:shd w:val="clear" w:color="auto" w:fill="DDDDDD"/>
          </w:tcPr>
          <w:p>
            <w:pPr>
              <w:spacing w:after="0"/>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11"/>
                <w:szCs w:val="11"/>
                <w:color w:val="auto"/>
              </w:rPr>
              <w:t>(1)</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42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15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1480" w:type="dxa"/>
            <w:vAlign w:val="bottom"/>
            <w:shd w:val="clear" w:color="auto" w:fill="DDDDDD"/>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0" w:type="dxa"/>
            <w:vAlign w:val="bottom"/>
            <w:shd w:val="clear" w:color="auto" w:fill="DDDDDD"/>
          </w:tcPr>
          <w:p>
            <w:pPr>
              <w:spacing w:after="0"/>
              <w:rPr>
                <w:sz w:val="24"/>
                <w:szCs w:val="24"/>
                <w:color w:val="auto"/>
              </w:rPr>
            </w:pPr>
          </w:p>
        </w:tc>
        <w:tc>
          <w:tcPr>
            <w:tcW w:w="80" w:type="dxa"/>
            <w:vAlign w:val="bottom"/>
            <w:tcBorders>
              <w:bottom w:val="single" w:sz="8" w:color="DDDDDD"/>
              <w:right w:val="single" w:sz="8" w:color="DDDDDD"/>
            </w:tcBorders>
            <w:shd w:val="clear" w:color="auto" w:fill="DDDDDD"/>
          </w:tcPr>
          <w:p>
            <w:pPr>
              <w:spacing w:after="0"/>
              <w:rPr>
                <w:sz w:val="24"/>
                <w:szCs w:val="24"/>
                <w:color w:val="auto"/>
              </w:rPr>
            </w:pPr>
          </w:p>
        </w:tc>
        <w:tc>
          <w:tcPr>
            <w:tcW w:w="3900" w:type="dxa"/>
            <w:vAlign w:val="bottom"/>
            <w:tcBorders>
              <w:bottom w:val="single" w:sz="8" w:color="DDDDDD"/>
            </w:tcBorders>
            <w:gridSpan w:val="3"/>
            <w:shd w:val="clear" w:color="auto" w:fill="DDDDDD"/>
          </w:tcPr>
          <w:p>
            <w:pPr>
              <w:ind w:left="260"/>
              <w:spacing w:after="0"/>
              <w:rPr>
                <w:sz w:val="20"/>
                <w:szCs w:val="20"/>
                <w:color w:val="auto"/>
              </w:rPr>
            </w:pPr>
            <w:r>
              <w:rPr>
                <w:rFonts w:ascii="Times New Roman" w:cs="Times New Roman" w:eastAsia="Times New Roman" w:hAnsi="Times New Roman"/>
                <w:sz w:val="18"/>
                <w:szCs w:val="18"/>
                <w:color w:val="auto"/>
              </w:rPr>
              <w:t>Cross currency swaps</w:t>
            </w:r>
          </w:p>
        </w:tc>
        <w:tc>
          <w:tcPr>
            <w:tcW w:w="40" w:type="dxa"/>
            <w:vAlign w:val="bottom"/>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14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Total derivative assets</w:t>
            </w:r>
          </w:p>
        </w:tc>
        <w:tc>
          <w:tcPr>
            <w:tcW w:w="32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0" w:type="dxa"/>
            <w:vAlign w:val="bottom"/>
            <w:tcBorders>
              <w:top w:val="single" w:sz="8" w:color="DDDDDD"/>
            </w:tcBorders>
            <w:shd w:val="clear" w:color="auto" w:fill="DDDDDD"/>
          </w:tcPr>
          <w:p>
            <w:pPr>
              <w:spacing w:after="0"/>
              <w:rPr>
                <w:sz w:val="18"/>
                <w:szCs w:val="18"/>
                <w:color w:val="auto"/>
              </w:rPr>
            </w:pPr>
          </w:p>
        </w:tc>
        <w:tc>
          <w:tcPr>
            <w:tcW w:w="4020" w:type="dxa"/>
            <w:vAlign w:val="bottom"/>
            <w:tcBorders>
              <w:top w:val="single" w:sz="8" w:color="DDDDDD"/>
            </w:tcBorders>
            <w:gridSpan w:val="5"/>
            <w:shd w:val="clear" w:color="auto" w:fill="DDDDDD"/>
          </w:tcPr>
          <w:p>
            <w:pPr>
              <w:spacing w:after="0" w:line="219"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3"/>
                <w:szCs w:val="23"/>
                <w:color w:val="auto"/>
                <w:vertAlign w:val="superscript"/>
              </w:rPr>
              <w:t>(2)</w:t>
            </w:r>
          </w:p>
        </w:tc>
        <w:tc>
          <w:tcPr>
            <w:tcW w:w="60" w:type="dxa"/>
            <w:vAlign w:val="bottom"/>
            <w:tcBorders>
              <w:top w:val="single" w:sz="8" w:color="auto"/>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c>
          <w:tcPr>
            <w:tcW w:w="240" w:type="dxa"/>
            <w:vAlign w:val="bottom"/>
            <w:tcBorders>
              <w:top w:val="single" w:sz="8" w:color="auto"/>
            </w:tcBorders>
            <w:shd w:val="clear" w:color="auto" w:fill="DDDDDD"/>
          </w:tcPr>
          <w:p>
            <w:pPr>
              <w:spacing w:after="0"/>
              <w:rPr>
                <w:sz w:val="18"/>
                <w:szCs w:val="18"/>
                <w:color w:val="auto"/>
              </w:rPr>
            </w:pPr>
          </w:p>
        </w:tc>
        <w:tc>
          <w:tcPr>
            <w:tcW w:w="1420" w:type="dxa"/>
            <w:vAlign w:val="bottom"/>
            <w:tcBorders>
              <w:top w:val="single" w:sz="8" w:color="auto"/>
            </w:tcBorders>
            <w:shd w:val="clear" w:color="auto" w:fill="DDDDDD"/>
          </w:tcPr>
          <w:p>
            <w:pPr>
              <w:spacing w:after="0"/>
              <w:rPr>
                <w:sz w:val="18"/>
                <w:szCs w:val="18"/>
                <w:color w:val="auto"/>
              </w:rPr>
            </w:pPr>
          </w:p>
        </w:tc>
        <w:tc>
          <w:tcPr>
            <w:tcW w:w="40" w:type="dxa"/>
            <w:vAlign w:val="bottom"/>
            <w:tcBorders>
              <w:top w:val="single" w:sz="8" w:color="DDDDDD"/>
            </w:tcBorders>
            <w:shd w:val="clear" w:color="auto" w:fill="DDDDDD"/>
          </w:tcPr>
          <w:p>
            <w:pPr>
              <w:spacing w:after="0"/>
              <w:rPr>
                <w:sz w:val="18"/>
                <w:szCs w:val="18"/>
                <w:color w:val="auto"/>
              </w:rPr>
            </w:pPr>
          </w:p>
        </w:tc>
        <w:tc>
          <w:tcPr>
            <w:tcW w:w="4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spacing w:after="0"/>
              <w:rPr>
                <w:sz w:val="18"/>
                <w:szCs w:val="18"/>
                <w:color w:val="auto"/>
              </w:rPr>
            </w:pPr>
          </w:p>
        </w:tc>
        <w:tc>
          <w:tcPr>
            <w:tcW w:w="1500" w:type="dxa"/>
            <w:vAlign w:val="bottom"/>
            <w:tcBorders>
              <w:top w:val="single" w:sz="8" w:color="auto"/>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DDDDDD"/>
            </w:tcBorders>
            <w:shd w:val="clear" w:color="auto" w:fill="DDDDDD"/>
          </w:tcPr>
          <w:p>
            <w:pPr>
              <w:spacing w:after="0"/>
              <w:rPr>
                <w:sz w:val="18"/>
                <w:szCs w:val="18"/>
                <w:color w:val="auto"/>
              </w:rPr>
            </w:pPr>
          </w:p>
        </w:tc>
        <w:tc>
          <w:tcPr>
            <w:tcW w:w="20" w:type="dxa"/>
            <w:vAlign w:val="bottom"/>
            <w:tcBorders>
              <w:top w:val="single" w:sz="8" w:color="auto"/>
            </w:tcBorders>
            <w:shd w:val="clear" w:color="auto" w:fill="DDDDDD"/>
          </w:tcPr>
          <w:p>
            <w:pPr>
              <w:spacing w:after="0"/>
              <w:rPr>
                <w:sz w:val="18"/>
                <w:szCs w:val="18"/>
                <w:color w:val="auto"/>
              </w:rPr>
            </w:pPr>
          </w:p>
        </w:tc>
        <w:tc>
          <w:tcPr>
            <w:tcW w:w="200" w:type="dxa"/>
            <w:vAlign w:val="bottom"/>
            <w:tcBorders>
              <w:top w:val="single" w:sz="8" w:color="auto"/>
            </w:tcBorders>
            <w:shd w:val="clear" w:color="auto" w:fill="DDDDDD"/>
          </w:tcPr>
          <w:p>
            <w:pPr>
              <w:spacing w:after="0"/>
              <w:rPr>
                <w:sz w:val="18"/>
                <w:szCs w:val="18"/>
                <w:color w:val="auto"/>
              </w:rPr>
            </w:pPr>
          </w:p>
        </w:tc>
        <w:tc>
          <w:tcPr>
            <w:tcW w:w="1480" w:type="dxa"/>
            <w:vAlign w:val="bottom"/>
            <w:tcBorders>
              <w:top w:val="single" w:sz="8" w:color="auto"/>
            </w:tcBorders>
            <w:shd w:val="clear" w:color="auto" w:fill="DDDDD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Cross currency swaps</w:t>
            </w:r>
          </w:p>
        </w:tc>
        <w:tc>
          <w:tcPr>
            <w:tcW w:w="320" w:type="dxa"/>
            <w:vAlign w:val="bottom"/>
            <w:gridSpan w:val="3"/>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7"/>
                <w:szCs w:val="17"/>
                <w:b w:val="1"/>
                <w:bCs w:val="1"/>
                <w:color w:val="auto"/>
                <w:w w:val="96"/>
              </w:rPr>
              <w:t>December 31,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12"/>
              <w:spacing w:after="0" w:line="180" w:lineRule="exact"/>
              <w:rPr>
                <w:sz w:val="20"/>
                <w:szCs w:val="20"/>
                <w:color w:val="auto"/>
              </w:rPr>
            </w:pPr>
            <w:r>
              <w:rPr>
                <w:rFonts w:ascii="Times New Roman" w:cs="Times New Roman" w:eastAsia="Times New Roman" w:hAnsi="Times New Roman"/>
                <w:sz w:val="17"/>
                <w:szCs w:val="17"/>
                <w:b w:val="1"/>
                <w:bCs w:val="1"/>
                <w:color w:val="auto"/>
                <w:w w:val="93"/>
              </w:rPr>
              <w:t>Fair Value of</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2"/>
              <w:spacing w:after="0" w:line="180" w:lineRule="exact"/>
              <w:rPr>
                <w:sz w:val="20"/>
                <w:szCs w:val="20"/>
                <w:color w:val="auto"/>
              </w:rPr>
            </w:pPr>
            <w:r>
              <w:rPr>
                <w:rFonts w:ascii="Times New Roman" w:cs="Times New Roman" w:eastAsia="Times New Roman" w:hAnsi="Times New Roman"/>
                <w:sz w:val="17"/>
                <w:szCs w:val="17"/>
                <w:b w:val="1"/>
                <w:bCs w:val="1"/>
                <w:color w:val="auto"/>
                <w:w w:val="95"/>
              </w:rPr>
              <w:t>Fair Value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7"/>
                <w:szCs w:val="17"/>
                <w:b w:val="1"/>
                <w:bCs w:val="1"/>
                <w:color w:val="auto"/>
                <w:w w:val="97"/>
              </w:rPr>
              <w:t>Derivatives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7"/>
                <w:szCs w:val="17"/>
                <w:b w:val="1"/>
                <w:bCs w:val="1"/>
                <w:color w:val="auto"/>
                <w:w w:val="95"/>
              </w:rPr>
              <w:t>Derivatives Not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6"/>
              </w:rPr>
              <w:t>Designated as Hedging</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52"/>
              <w:spacing w:after="0" w:line="167" w:lineRule="exact"/>
              <w:rPr>
                <w:sz w:val="20"/>
                <w:szCs w:val="20"/>
                <w:color w:val="auto"/>
              </w:rPr>
            </w:pPr>
            <w:r>
              <w:rPr>
                <w:rFonts w:ascii="Times New Roman" w:cs="Times New Roman" w:eastAsia="Times New Roman" w:hAnsi="Times New Roman"/>
                <w:sz w:val="17"/>
                <w:szCs w:val="17"/>
                <w:b w:val="1"/>
                <w:bCs w:val="1"/>
                <w:color w:val="auto"/>
                <w:w w:val="96"/>
              </w:rPr>
              <w:t>Designated as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7"/>
                <w:szCs w:val="17"/>
                <w:b w:val="1"/>
                <w:bCs w:val="1"/>
                <w:color w:val="auto"/>
                <w:w w:val="99"/>
              </w:rPr>
              <w:t>Total 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112"/>
              <w:spacing w:after="0" w:line="188" w:lineRule="exact"/>
              <w:rPr>
                <w:sz w:val="20"/>
                <w:szCs w:val="20"/>
                <w:color w:val="auto"/>
              </w:rPr>
            </w:pPr>
            <w:r>
              <w:rPr>
                <w:rFonts w:ascii="Times New Roman" w:cs="Times New Roman" w:eastAsia="Times New Roman" w:hAnsi="Times New Roman"/>
                <w:sz w:val="17"/>
                <w:szCs w:val="17"/>
                <w:b w:val="1"/>
                <w:bCs w:val="1"/>
                <w:color w:val="auto"/>
                <w:w w:val="96"/>
              </w:rPr>
              <w:t>Instruments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7"/>
                <w:szCs w:val="17"/>
                <w:b w:val="1"/>
                <w:bCs w:val="1"/>
                <w:color w:val="auto"/>
                <w:w w:val="95"/>
              </w:rPr>
              <w:t>Hedging Instruments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DDDDDD"/>
            </w:tcBorders>
            <w:gridSpan w:val="2"/>
          </w:tcPr>
          <w:p>
            <w:pPr>
              <w:spacing w:after="0" w:line="20" w:lineRule="exact"/>
              <w:rPr>
                <w:sz w:val="1"/>
                <w:szCs w:val="1"/>
                <w:color w:val="auto"/>
              </w:rPr>
            </w:pPr>
          </w:p>
        </w:tc>
        <w:tc>
          <w:tcPr>
            <w:tcW w:w="2340" w:type="dxa"/>
            <w:vAlign w:val="bottom"/>
            <w:tcBorders>
              <w:bottom w:val="single" w:sz="8" w:color="DDDDDD"/>
            </w:tcBorders>
            <w:gridSpan w:val="2"/>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80" w:type="dxa"/>
            <w:vAlign w:val="bottom"/>
            <w:tcBorders>
              <w:right w:val="single" w:sz="8" w:color="DDDDDD"/>
            </w:tcBorders>
          </w:tcPr>
          <w:p>
            <w:pPr>
              <w:spacing w:after="0"/>
              <w:rPr>
                <w:sz w:val="21"/>
                <w:szCs w:val="21"/>
                <w:color w:val="auto"/>
              </w:rPr>
            </w:pPr>
          </w:p>
        </w:tc>
        <w:tc>
          <w:tcPr>
            <w:tcW w:w="394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11"/>
                <w:szCs w:val="11"/>
                <w:color w:val="auto"/>
              </w:rPr>
              <w:t>(2)</w:t>
            </w:r>
          </w:p>
        </w:tc>
        <w:tc>
          <w:tcPr>
            <w:tcW w:w="6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42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150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 w:type="dxa"/>
            <w:vAlign w:val="bottom"/>
            <w:shd w:val="clear" w:color="auto" w:fill="DDDDDD"/>
          </w:tcPr>
          <w:p>
            <w:pPr>
              <w:spacing w:after="0"/>
              <w:rPr>
                <w:sz w:val="21"/>
                <w:szCs w:val="21"/>
                <w:color w:val="auto"/>
              </w:rPr>
            </w:pPr>
          </w:p>
        </w:tc>
        <w:tc>
          <w:tcPr>
            <w:tcW w:w="200" w:type="dxa"/>
            <w:vAlign w:val="bottom"/>
            <w:shd w:val="clear" w:color="auto" w:fill="DDDDDD"/>
          </w:tcPr>
          <w:p>
            <w:pPr>
              <w:spacing w:after="0"/>
              <w:rPr>
                <w:sz w:val="21"/>
                <w:szCs w:val="21"/>
                <w:color w:val="auto"/>
              </w:rPr>
            </w:pPr>
          </w:p>
        </w:tc>
        <w:tc>
          <w:tcPr>
            <w:tcW w:w="1480" w:type="dxa"/>
            <w:vAlign w:val="bottom"/>
            <w:shd w:val="clear" w:color="auto" w:fill="DDDDDD"/>
          </w:tcPr>
          <w:p>
            <w:pPr>
              <w:spacing w:after="0"/>
              <w:rPr>
                <w:sz w:val="21"/>
                <w:szCs w:val="21"/>
                <w:color w:val="auto"/>
              </w:rPr>
            </w:pPr>
          </w:p>
        </w:tc>
        <w:tc>
          <w:tcPr>
            <w:tcW w:w="4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9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2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80" w:type="dxa"/>
            <w:vAlign w:val="bottom"/>
            <w:tcBorders>
              <w:right w:val="single" w:sz="8" w:color="DDDDDD"/>
            </w:tcBorders>
          </w:tcPr>
          <w:p>
            <w:pPr>
              <w:spacing w:after="0"/>
              <w:rPr>
                <w:sz w:val="23"/>
                <w:szCs w:val="23"/>
                <w:color w:val="auto"/>
              </w:rPr>
            </w:pPr>
          </w:p>
        </w:tc>
        <w:tc>
          <w:tcPr>
            <w:tcW w:w="3940" w:type="dxa"/>
            <w:vAlign w:val="bottom"/>
            <w:gridSpan w:val="4"/>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Cross currency swaps</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40" w:type="dxa"/>
            <w:vAlign w:val="bottom"/>
            <w:tcBorders>
              <w:bottom w:val="single" w:sz="8" w:color="auto"/>
            </w:tcBorders>
            <w:shd w:val="clear" w:color="auto" w:fill="DDDDDD"/>
          </w:tcPr>
          <w:p>
            <w:pPr>
              <w:spacing w:after="0"/>
              <w:rPr>
                <w:sz w:val="23"/>
                <w:szCs w:val="23"/>
                <w:color w:val="auto"/>
              </w:rPr>
            </w:pPr>
          </w:p>
        </w:tc>
        <w:tc>
          <w:tcPr>
            <w:tcW w:w="14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spacing w:after="0"/>
              <w:rPr>
                <w:sz w:val="23"/>
                <w:szCs w:val="23"/>
                <w:color w:val="auto"/>
              </w:rPr>
            </w:pPr>
          </w:p>
        </w:tc>
        <w:tc>
          <w:tcPr>
            <w:tcW w:w="15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tcBorders>
              <w:bottom w:val="single" w:sz="8" w:color="auto"/>
            </w:tcBorders>
            <w:shd w:val="clear" w:color="auto" w:fill="DDDDDD"/>
          </w:tcPr>
          <w:p>
            <w:pPr>
              <w:spacing w:after="0"/>
              <w:rPr>
                <w:sz w:val="23"/>
                <w:szCs w:val="23"/>
                <w:color w:val="auto"/>
              </w:rPr>
            </w:pPr>
          </w:p>
        </w:tc>
        <w:tc>
          <w:tcPr>
            <w:tcW w:w="14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auto"/>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320" w:type="dxa"/>
            <w:vAlign w:val="bottom"/>
            <w:gridSpan w:val="3"/>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0" w:type="dxa"/>
            <w:vAlign w:val="bottom"/>
          </w:tcPr>
          <w:p>
            <w:pPr>
              <w:spacing w:after="0"/>
              <w:rPr>
                <w:sz w:val="16"/>
                <w:szCs w:val="16"/>
                <w:color w:val="auto"/>
              </w:rPr>
            </w:pPr>
          </w:p>
        </w:tc>
        <w:tc>
          <w:tcPr>
            <w:tcW w:w="398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-2152650</wp:posOffset>
                </wp:positionV>
                <wp:extent cx="257873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78735" cy="4763"/>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69.4999pt" to="202.95pt,-169.4999pt" o:allowincell="f" strokecolor="#FFFFFF" strokeweight="0.875pt"/>
            </w:pict>
          </mc:Fallback>
        </mc:AlternateContent>
      </w:r>
    </w:p>
    <w:p>
      <w:pPr>
        <w:spacing w:after="0" w:line="9" w:lineRule="exact"/>
        <w:rPr>
          <w:sz w:val="20"/>
          <w:szCs w:val="20"/>
          <w:color w:val="auto"/>
        </w:rPr>
      </w:pPr>
    </w:p>
    <w:p>
      <w:pPr>
        <w:ind w:left="380" w:hanging="334"/>
        <w:spacing w:after="0"/>
        <w:tabs>
          <w:tab w:leader="none" w:pos="3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 assets are recorded to Other assets in the Consolidated Balance Sheets.</w:t>
      </w:r>
    </w:p>
    <w:p>
      <w:pPr>
        <w:spacing w:after="0" w:line="1" w:lineRule="exact"/>
        <w:rPr>
          <w:rFonts w:ascii="Times New Roman" w:cs="Times New Roman" w:eastAsia="Times New Roman" w:hAnsi="Times New Roman"/>
          <w:sz w:val="17"/>
          <w:szCs w:val="17"/>
          <w:color w:val="auto"/>
        </w:rPr>
      </w:pPr>
    </w:p>
    <w:p>
      <w:pPr>
        <w:ind w:left="380" w:hanging="334"/>
        <w:spacing w:after="0"/>
        <w:tabs>
          <w:tab w:leader="none" w:pos="3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Derivative liabilities are recorded as Other current liabilities in the Consolidated Balance Sheets.</w:t>
      </w:r>
    </w:p>
    <w:p>
      <w:pPr>
        <w:spacing w:after="0" w:line="110"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following table shows the effect of the Company’s derivative instruments which were not designated as hedging instruments in the Consolidated Statements of (Loss) Income and Comprehensive (Loss) Income for the years ended December 31, 2022 and December 31, 2021: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340" w:type="dxa"/>
            <w:vAlign w:val="bottom"/>
            <w:gridSpan w:val="4"/>
          </w:tcPr>
          <w:p>
            <w:pPr>
              <w:jc w:val="center"/>
              <w:ind w:left="235"/>
              <w:spacing w:after="0"/>
              <w:rPr>
                <w:sz w:val="20"/>
                <w:szCs w:val="20"/>
                <w:color w:val="auto"/>
              </w:rPr>
            </w:pPr>
            <w:r>
              <w:rPr>
                <w:rFonts w:ascii="Times New Roman" w:cs="Times New Roman" w:eastAsia="Times New Roman" w:hAnsi="Times New Roman"/>
                <w:sz w:val="17"/>
                <w:szCs w:val="17"/>
                <w:b w:val="1"/>
                <w:bCs w:val="1"/>
                <w:color w:val="auto"/>
                <w:w w:val="97"/>
              </w:rPr>
              <w:t>Amount of Gain (Loss)</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340" w:type="dxa"/>
            <w:vAlign w:val="bottom"/>
            <w:gridSpan w:val="4"/>
          </w:tcPr>
          <w:p>
            <w:pPr>
              <w:jc w:val="center"/>
              <w:ind w:left="215"/>
              <w:spacing w:after="0" w:line="167" w:lineRule="exact"/>
              <w:rPr>
                <w:sz w:val="20"/>
                <w:szCs w:val="20"/>
                <w:color w:val="auto"/>
              </w:rPr>
            </w:pPr>
            <w:r>
              <w:rPr>
                <w:rFonts w:ascii="Times New Roman" w:cs="Times New Roman" w:eastAsia="Times New Roman" w:hAnsi="Times New Roman"/>
                <w:sz w:val="17"/>
                <w:szCs w:val="17"/>
                <w:b w:val="1"/>
                <w:bCs w:val="1"/>
                <w:color w:val="auto"/>
                <w:w w:val="96"/>
              </w:rPr>
              <w:t>For the year ended</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Location of Gain (Loss)</w:t>
            </w: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520" w:type="dxa"/>
            <w:vAlign w:val="bottom"/>
            <w:gridSpan w:val="3"/>
            <w:vMerge w:val="restart"/>
          </w:tcPr>
          <w:p>
            <w:pPr>
              <w:jc w:val="center"/>
              <w:ind w:right="432"/>
              <w:spacing w:after="0"/>
              <w:rPr>
                <w:sz w:val="20"/>
                <w:szCs w:val="20"/>
                <w:color w:val="auto"/>
              </w:rPr>
            </w:pPr>
            <w:r>
              <w:rPr>
                <w:rFonts w:ascii="Times New Roman" w:cs="Times New Roman" w:eastAsia="Times New Roman" w:hAnsi="Times New Roman"/>
                <w:sz w:val="17"/>
                <w:szCs w:val="17"/>
                <w:b w:val="1"/>
                <w:bCs w:val="1"/>
                <w:color w:val="auto"/>
                <w:w w:val="96"/>
              </w:rPr>
              <w:t>December 31,</w:t>
            </w: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6"/>
              </w:rPr>
              <w:t>Recognized in</w:t>
            </w: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6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2460" w:type="dxa"/>
            <w:vAlign w:val="bottom"/>
          </w:tcPr>
          <w:p>
            <w:pPr>
              <w:spacing w:after="0"/>
              <w:rPr>
                <w:sz w:val="14"/>
                <w:szCs w:val="14"/>
                <w:color w:val="auto"/>
              </w:rPr>
            </w:pPr>
          </w:p>
        </w:tc>
        <w:tc>
          <w:tcPr>
            <w:tcW w:w="82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7"/>
                <w:szCs w:val="17"/>
                <w:b w:val="1"/>
                <w:bCs w:val="1"/>
                <w:color w:val="auto"/>
              </w:rPr>
              <w:t>2022</w:t>
            </w: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jc w:val="right"/>
              <w:ind w:right="72"/>
              <w:spacing w:after="0" w:line="168" w:lineRule="exact"/>
              <w:rPr>
                <w:sz w:val="20"/>
                <w:szCs w:val="20"/>
                <w:color w:val="auto"/>
              </w:rPr>
            </w:pPr>
            <w:r>
              <w:rPr>
                <w:rFonts w:ascii="Times New Roman" w:cs="Times New Roman" w:eastAsia="Times New Roman" w:hAnsi="Times New Roman"/>
                <w:sz w:val="17"/>
                <w:szCs w:val="17"/>
                <w:b w:val="1"/>
                <w:bCs w:val="1"/>
                <w:color w:val="auto"/>
              </w:rPr>
              <w:t>2021</w:t>
            </w:r>
          </w:p>
        </w:tc>
        <w:tc>
          <w:tcPr>
            <w:tcW w:w="3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5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w w:val="96"/>
              </w:rPr>
              <w:t>Income on Derivative</w:t>
            </w:r>
          </w:p>
        </w:tc>
        <w:tc>
          <w:tcPr>
            <w:tcW w:w="0" w:type="dxa"/>
            <w:vAlign w:val="bottom"/>
          </w:tcPr>
          <w:p>
            <w:pPr>
              <w:spacing w:after="0"/>
              <w:rPr>
                <w:sz w:val="1"/>
                <w:szCs w:val="1"/>
                <w:color w:val="auto"/>
              </w:rPr>
            </w:pPr>
          </w:p>
        </w:tc>
      </w:tr>
      <w:tr>
        <w:trPr>
          <w:trHeight w:val="24"/>
        </w:trPr>
        <w:tc>
          <w:tcPr>
            <w:tcW w:w="6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0" w:type="dxa"/>
            <w:vAlign w:val="bottom"/>
            <w:tcBorders>
              <w:top w:val="single" w:sz="8" w:color="DDDDDD"/>
            </w:tcBorders>
            <w:shd w:val="clear" w:color="auto" w:fill="DDDDDD"/>
          </w:tcPr>
          <w:p>
            <w:pPr>
              <w:spacing w:after="0"/>
              <w:rPr>
                <w:sz w:val="21"/>
                <w:szCs w:val="21"/>
                <w:color w:val="auto"/>
              </w:rPr>
            </w:pPr>
          </w:p>
        </w:tc>
        <w:tc>
          <w:tcPr>
            <w:tcW w:w="4060" w:type="dxa"/>
            <w:vAlign w:val="bottom"/>
            <w:tcBorders>
              <w:top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820" w:type="dxa"/>
            <w:vAlign w:val="bottom"/>
            <w:tcBorders>
              <w:top w:val="single" w:sz="8" w:color="auto"/>
            </w:tcBorders>
            <w:shd w:val="clear" w:color="auto" w:fill="DDDDDD"/>
          </w:tcPr>
          <w:p>
            <w:pPr>
              <w:jc w:val="right"/>
              <w:ind w:right="59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DDDDDD"/>
            </w:tcBorders>
            <w:shd w:val="clear" w:color="auto" w:fill="DDDDDD"/>
          </w:tcPr>
          <w:p>
            <w:pPr>
              <w:spacing w:after="0"/>
              <w:rPr>
                <w:sz w:val="21"/>
                <w:szCs w:val="21"/>
                <w:color w:val="auto"/>
              </w:rPr>
            </w:pPr>
          </w:p>
        </w:tc>
        <w:tc>
          <w:tcPr>
            <w:tcW w:w="980" w:type="dxa"/>
            <w:vAlign w:val="bottom"/>
            <w:tcBorders>
              <w:top w:val="single" w:sz="8" w:color="auto"/>
            </w:tcBorders>
            <w:shd w:val="clear" w:color="auto" w:fill="DDDDDD"/>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DDDDDD"/>
            </w:tcBorders>
            <w:shd w:val="clear" w:color="auto" w:fill="DDDDDD"/>
          </w:tcPr>
          <w:p>
            <w:pPr>
              <w:spacing w:after="0"/>
              <w:rPr>
                <w:sz w:val="21"/>
                <w:szCs w:val="21"/>
                <w:color w:val="auto"/>
              </w:rPr>
            </w:pPr>
          </w:p>
        </w:tc>
        <w:tc>
          <w:tcPr>
            <w:tcW w:w="2520" w:type="dxa"/>
            <w:vAlign w:val="bottom"/>
            <w:tcBorders>
              <w:top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These net gains (losses) mostly offset any recognized gains (losses) arising from the revaluation of the related intercompany loans during the same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880" w:h="15480" w:orient="portrait"/>
          <w:cols w:equalWidth="0" w:num="1">
            <w:col w:w="9400"/>
          </w:cols>
          <w:pgMar w:left="1220" w:top="1255" w:right="1260" w:bottom="254" w:gutter="0" w:footer="0" w:header="0"/>
        </w:sectPr>
      </w:pPr>
    </w:p>
    <w:bookmarkStart w:id="109" w:name="page110"/>
    <w:bookmarkEnd w:id="109"/>
    <w:p>
      <w:pPr>
        <w:jc w:val="both"/>
        <w:ind w:left="40" w:firstLine="329"/>
        <w:spacing w:after="0" w:line="276" w:lineRule="auto"/>
        <w:rPr>
          <w:sz w:val="20"/>
          <w:szCs w:val="20"/>
          <w:color w:val="auto"/>
        </w:rPr>
      </w:pPr>
      <w:r>
        <w:rPr>
          <w:rFonts w:ascii="Times New Roman" w:cs="Times New Roman" w:eastAsia="Times New Roman" w:hAnsi="Times New Roman"/>
          <w:sz w:val="18"/>
          <w:szCs w:val="18"/>
          <w:color w:val="auto"/>
        </w:rPr>
        <w:t>The following table shows the effect of the Company’s derivative instruments designated as cash flow and net investment hedging instruments, net of tax, in the Consolidated Statements of (Loss) Income and Comprehensive (Loss) Income for the years ended December 31, 2022 and December 31, 2021:</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5"/>
          </w:tcPr>
          <w:p>
            <w:pPr>
              <w:jc w:val="center"/>
              <w:ind w:right="131"/>
              <w:spacing w:after="0" w:line="145"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Derivative and Non-Derivative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4"/>
          </w:tcPr>
          <w:p>
            <w:pPr>
              <w:jc w:val="center"/>
              <w:ind w:left="379"/>
              <w:spacing w:after="0" w:line="145" w:lineRule="exact"/>
              <w:rPr>
                <w:sz w:val="20"/>
                <w:szCs w:val="20"/>
                <w:color w:val="auto"/>
              </w:rPr>
            </w:pPr>
            <w:r>
              <w:rPr>
                <w:rFonts w:ascii="Times New Roman" w:cs="Times New Roman" w:eastAsia="Times New Roman" w:hAnsi="Times New Roman"/>
                <w:sz w:val="14"/>
                <w:szCs w:val="14"/>
                <w:b w:val="1"/>
                <w:bCs w:val="1"/>
                <w:color w:val="auto"/>
              </w:rPr>
              <w:t>into Income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5"/>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Location of Gain</w:t>
            </w:r>
          </w:p>
        </w:tc>
        <w:tc>
          <w:tcPr>
            <w:tcW w:w="200" w:type="dxa"/>
            <w:vAlign w:val="bottom"/>
          </w:tcPr>
          <w:p>
            <w:pPr>
              <w:spacing w:after="0"/>
              <w:rPr>
                <w:sz w:val="14"/>
                <w:szCs w:val="14"/>
                <w:color w:val="auto"/>
              </w:rPr>
            </w:pPr>
          </w:p>
        </w:tc>
        <w:tc>
          <w:tcPr>
            <w:tcW w:w="1860" w:type="dxa"/>
            <w:vAlign w:val="bottom"/>
            <w:gridSpan w:val="5"/>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540" w:type="dxa"/>
            <w:vAlign w:val="bottom"/>
            <w:gridSpan w:val="3"/>
            <w:vMerge w:val="restart"/>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(Loss) Reclassified</w:t>
            </w: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gridSpan w:val="5"/>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3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5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860" w:type="dxa"/>
            <w:vAlign w:val="bottom"/>
            <w:gridSpan w:val="5"/>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66"/>
        </w:trPr>
        <w:tc>
          <w:tcPr>
            <w:tcW w:w="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gridSpan w:val="3"/>
            <w:vMerge w:val="restart"/>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from AOCI into</w:t>
            </w:r>
          </w:p>
        </w:tc>
        <w:tc>
          <w:tcPr>
            <w:tcW w:w="200" w:type="dxa"/>
            <w:vAlign w:val="bottom"/>
          </w:tcPr>
          <w:p>
            <w:pPr>
              <w:spacing w:after="0"/>
              <w:rPr>
                <w:sz w:val="5"/>
                <w:szCs w:val="5"/>
                <w:color w:val="auto"/>
              </w:rPr>
            </w:pPr>
          </w:p>
        </w:tc>
        <w:tc>
          <w:tcPr>
            <w:tcW w:w="18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700" w:type="dxa"/>
            <w:vAlign w:val="bottom"/>
            <w:gridSpan w:val="5"/>
            <w:vMerge w:val="restart"/>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860" w:type="dxa"/>
            <w:vAlign w:val="bottom"/>
            <w:gridSpan w:val="5"/>
            <w:vMerge w:val="restart"/>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5"/>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200" w:type="dxa"/>
            <w:vAlign w:val="bottom"/>
          </w:tcPr>
          <w:p>
            <w:pPr>
              <w:spacing w:after="0"/>
              <w:rPr>
                <w:sz w:val="15"/>
                <w:szCs w:val="15"/>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182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0" w:type="dxa"/>
            <w:vAlign w:val="bottom"/>
            <w:tcBorders>
              <w:right w:val="single" w:sz="8" w:color="DDDDDD"/>
            </w:tcBorders>
          </w:tcPr>
          <w:p>
            <w:pPr>
              <w:spacing w:after="0"/>
              <w:rPr>
                <w:sz w:val="16"/>
                <w:szCs w:val="16"/>
                <w:color w:val="auto"/>
              </w:rPr>
            </w:pPr>
          </w:p>
        </w:tc>
        <w:tc>
          <w:tcPr>
            <w:tcW w:w="3420" w:type="dxa"/>
            <w:vAlign w:val="bottom"/>
            <w:gridSpan w:val="2"/>
            <w:shd w:val="clear" w:color="auto" w:fill="DDDDDD"/>
          </w:tcPr>
          <w:p>
            <w:pPr>
              <w:spacing w:after="0" w:line="185" w:lineRule="exact"/>
              <w:rPr>
                <w:sz w:val="20"/>
                <w:szCs w:val="20"/>
                <w:color w:val="auto"/>
              </w:rPr>
            </w:pPr>
            <w:r>
              <w:rPr>
                <w:rFonts w:ascii="Times New Roman" w:cs="Times New Roman" w:eastAsia="Times New Roman" w:hAnsi="Times New Roman"/>
                <w:sz w:val="18"/>
                <w:szCs w:val="18"/>
                <w:color w:val="auto"/>
              </w:rPr>
              <w:t>Derivatives in Cash Flow Hedging</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64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DDDDDD"/>
            </w:tcBorders>
          </w:tcPr>
          <w:p>
            <w:pPr>
              <w:spacing w:after="0"/>
              <w:rPr>
                <w:sz w:val="19"/>
                <w:szCs w:val="19"/>
                <w:color w:val="auto"/>
              </w:rPr>
            </w:pPr>
          </w:p>
        </w:tc>
        <w:tc>
          <w:tcPr>
            <w:tcW w:w="34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4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8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80" w:type="dxa"/>
            <w:vAlign w:val="bottom"/>
          </w:tcPr>
          <w:p>
            <w:pPr>
              <w:spacing w:after="0"/>
              <w:rPr>
                <w:sz w:val="24"/>
                <w:szCs w:val="24"/>
                <w:color w:val="auto"/>
              </w:rPr>
            </w:pPr>
          </w:p>
        </w:tc>
        <w:tc>
          <w:tcPr>
            <w:tcW w:w="346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680" w:type="dxa"/>
            <w:vAlign w:val="bottom"/>
            <w:tcBorders>
              <w:bottom w:val="single" w:sz="8" w:color="DDDDDD"/>
            </w:tcBorders>
            <w:gridSpan w:val="2"/>
          </w:tcPr>
          <w:p>
            <w:pPr>
              <w:jc w:val="right"/>
              <w:ind w:right="44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DDDDDD"/>
            </w:tcBorders>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bottom w:val="single" w:sz="8" w:color="DDDDDD"/>
            </w:tcBorders>
          </w:tcPr>
          <w:p>
            <w:pPr>
              <w:spacing w:after="0"/>
              <w:rPr>
                <w:sz w:val="24"/>
                <w:szCs w:val="24"/>
                <w:color w:val="auto"/>
              </w:rPr>
            </w:pPr>
          </w:p>
        </w:tc>
        <w:tc>
          <w:tcPr>
            <w:tcW w:w="1600" w:type="dxa"/>
            <w:vAlign w:val="bottom"/>
            <w:tcBorders>
              <w:bottom w:val="single" w:sz="8" w:color="DDDDDD"/>
            </w:tcBorders>
            <w:gridSpan w:val="4"/>
          </w:tcPr>
          <w:p>
            <w:pPr>
              <w:ind w:left="6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DDDDDD"/>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DDDDDD"/>
            </w:tcBorders>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9"/>
        </w:trPr>
        <w:tc>
          <w:tcPr>
            <w:tcW w:w="80" w:type="dxa"/>
            <w:vAlign w:val="bottom"/>
            <w:tcBorders>
              <w:right w:val="single" w:sz="8" w:color="DDDDDD"/>
            </w:tcBorders>
          </w:tcPr>
          <w:p>
            <w:pPr>
              <w:spacing w:after="0"/>
              <w:rPr>
                <w:sz w:val="19"/>
                <w:szCs w:val="19"/>
                <w:color w:val="auto"/>
              </w:rPr>
            </w:pPr>
          </w:p>
        </w:tc>
        <w:tc>
          <w:tcPr>
            <w:tcW w:w="342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 xml:space="preserve">Interest rate swaps </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46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8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 in Net Investment Hedging</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80" w:type="dxa"/>
            <w:vAlign w:val="bottom"/>
            <w:tcBorders>
              <w:right w:val="single" w:sz="8" w:color="DDDDDD"/>
            </w:tcBorders>
          </w:tcPr>
          <w:p>
            <w:pPr>
              <w:spacing w:after="0"/>
              <w:rPr>
                <w:sz w:val="23"/>
                <w:szCs w:val="23"/>
                <w:color w:val="auto"/>
              </w:rPr>
            </w:pPr>
          </w:p>
        </w:tc>
        <w:tc>
          <w:tcPr>
            <w:tcW w:w="34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Cross currency swaps</w:t>
            </w:r>
          </w:p>
        </w:tc>
        <w:tc>
          <w:tcPr>
            <w:tcW w:w="20" w:type="dxa"/>
            <w:vAlign w:val="bottom"/>
            <w:shd w:val="clear" w:color="auto" w:fill="DDDDDD"/>
          </w:tcPr>
          <w:p>
            <w:pPr>
              <w:spacing w:after="0"/>
              <w:rPr>
                <w:sz w:val="23"/>
                <w:szCs w:val="23"/>
                <w:color w:val="auto"/>
              </w:rPr>
            </w:pPr>
          </w:p>
        </w:tc>
        <w:tc>
          <w:tcPr>
            <w:tcW w:w="660" w:type="dxa"/>
            <w:vAlign w:val="bottom"/>
            <w:shd w:val="clear" w:color="auto" w:fill="DDDDDD"/>
          </w:tcPr>
          <w:p>
            <w:pPr>
              <w:spacing w:after="0"/>
              <w:rPr>
                <w:sz w:val="23"/>
                <w:szCs w:val="23"/>
                <w:color w:val="auto"/>
              </w:rPr>
            </w:pP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640" w:type="dxa"/>
            <w:vAlign w:val="bottom"/>
            <w:shd w:val="clear" w:color="auto" w:fill="DDDDDD"/>
          </w:tcPr>
          <w:p>
            <w:pPr>
              <w:spacing w:after="0"/>
              <w:rPr>
                <w:sz w:val="23"/>
                <w:szCs w:val="23"/>
                <w:color w:val="auto"/>
              </w:rPr>
            </w:pP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DDDDDD"/>
          </w:tcPr>
          <w:p>
            <w:pPr>
              <w:spacing w:after="0"/>
              <w:rPr>
                <w:sz w:val="23"/>
                <w:szCs w:val="23"/>
                <w:color w:val="auto"/>
              </w:rPr>
            </w:pPr>
          </w:p>
        </w:tc>
        <w:tc>
          <w:tcPr>
            <w:tcW w:w="15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8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Non-Derivatives in Net Investment Hedging</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Pr>
          <w:p>
            <w:pPr>
              <w:spacing w:after="0"/>
              <w:rPr>
                <w:sz w:val="24"/>
                <w:szCs w:val="24"/>
                <w:color w:val="auto"/>
              </w:rPr>
            </w:pPr>
          </w:p>
        </w:tc>
        <w:tc>
          <w:tcPr>
            <w:tcW w:w="34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20" w:type="dxa"/>
            <w:vAlign w:val="bottom"/>
            <w:tcBorders>
              <w:bottom w:val="single" w:sz="8" w:color="DDDDDD"/>
            </w:tcBorders>
          </w:tcPr>
          <w:p>
            <w:pPr>
              <w:spacing w:after="0"/>
              <w:rPr>
                <w:sz w:val="24"/>
                <w:szCs w:val="24"/>
                <w:color w:val="auto"/>
              </w:rPr>
            </w:pPr>
          </w:p>
        </w:tc>
        <w:tc>
          <w:tcPr>
            <w:tcW w:w="660" w:type="dxa"/>
            <w:vAlign w:val="bottom"/>
            <w:tcBorders>
              <w:bottom w:val="single" w:sz="8" w:color="DDDDDD"/>
            </w:tcBorders>
          </w:tcPr>
          <w:p>
            <w:pPr>
              <w:spacing w:after="0"/>
              <w:rPr>
                <w:sz w:val="24"/>
                <w:szCs w:val="24"/>
                <w:color w:val="auto"/>
              </w:rPr>
            </w:pPr>
          </w:p>
        </w:tc>
        <w:tc>
          <w:tcPr>
            <w:tcW w:w="3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640" w:type="dxa"/>
            <w:vAlign w:val="bottom"/>
            <w:tcBorders>
              <w:bottom w:val="single" w:sz="8" w:color="DDDDDD"/>
            </w:tcBorders>
          </w:tcPr>
          <w:p>
            <w:pPr>
              <w:spacing w:after="0"/>
              <w:rPr>
                <w:sz w:val="24"/>
                <w:szCs w:val="24"/>
                <w:color w:val="auto"/>
              </w:rPr>
            </w:pPr>
          </w:p>
        </w:tc>
        <w:tc>
          <w:tcPr>
            <w:tcW w:w="36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46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200" w:type="dxa"/>
            <w:vAlign w:val="bottom"/>
            <w:tcBorders>
              <w:bottom w:val="single" w:sz="8" w:color="DDDDDD"/>
            </w:tcBorders>
          </w:tcPr>
          <w:p>
            <w:pPr>
              <w:spacing w:after="0"/>
              <w:rPr>
                <w:sz w:val="24"/>
                <w:szCs w:val="24"/>
                <w:color w:val="auto"/>
              </w:rPr>
            </w:pPr>
          </w:p>
        </w:tc>
        <w:tc>
          <w:tcPr>
            <w:tcW w:w="7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40" w:type="dxa"/>
            <w:vAlign w:val="bottom"/>
            <w:tcBorders>
              <w:bottom w:val="single" w:sz="8" w:color="DDDDDD"/>
            </w:tcBorders>
          </w:tcPr>
          <w:p>
            <w:pPr>
              <w:spacing w:after="0"/>
              <w:rPr>
                <w:sz w:val="24"/>
                <w:szCs w:val="24"/>
                <w:color w:val="auto"/>
              </w:rPr>
            </w:pPr>
          </w:p>
        </w:tc>
        <w:tc>
          <w:tcPr>
            <w:tcW w:w="66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0" w:type="dxa"/>
            <w:vAlign w:val="bottom"/>
            <w:tcBorders>
              <w:right w:val="single" w:sz="8" w:color="DDDDDD"/>
            </w:tcBorders>
          </w:tcPr>
          <w:p>
            <w:pPr>
              <w:spacing w:after="0"/>
              <w:rPr>
                <w:sz w:val="19"/>
                <w:szCs w:val="19"/>
                <w:color w:val="auto"/>
              </w:rPr>
            </w:pPr>
          </w:p>
        </w:tc>
        <w:tc>
          <w:tcPr>
            <w:tcW w:w="346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2024 Euro Notes</w:t>
            </w:r>
          </w:p>
        </w:tc>
        <w:tc>
          <w:tcPr>
            <w:tcW w:w="20" w:type="dxa"/>
            <w:vAlign w:val="bottom"/>
            <w:shd w:val="clear" w:color="auto" w:fill="DDDDDD"/>
          </w:tcPr>
          <w:p>
            <w:pPr>
              <w:spacing w:after="0"/>
              <w:rPr>
                <w:sz w:val="19"/>
                <w:szCs w:val="19"/>
                <w:color w:val="auto"/>
              </w:rPr>
            </w:pPr>
          </w:p>
        </w:tc>
        <w:tc>
          <w:tcPr>
            <w:tcW w:w="660" w:type="dxa"/>
            <w:vAlign w:val="bottom"/>
            <w:shd w:val="clear" w:color="auto" w:fill="DDDDDD"/>
          </w:tcPr>
          <w:p>
            <w:pPr>
              <w:spacing w:after="0"/>
              <w:rPr>
                <w:sz w:val="19"/>
                <w:szCs w:val="19"/>
                <w:color w:val="auto"/>
              </w:rPr>
            </w:pP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40" w:type="dxa"/>
            <w:vAlign w:val="bottom"/>
            <w:shd w:val="clear" w:color="auto" w:fill="DDDDDD"/>
          </w:tcPr>
          <w:p>
            <w:pPr>
              <w:spacing w:after="0"/>
              <w:rPr>
                <w:sz w:val="19"/>
                <w:szCs w:val="19"/>
                <w:color w:val="auto"/>
              </w:rPr>
            </w:pPr>
          </w:p>
        </w:tc>
        <w:tc>
          <w:tcPr>
            <w:tcW w:w="3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DDDDDD"/>
          </w:tcPr>
          <w:p>
            <w:pPr>
              <w:spacing w:after="0"/>
              <w:rPr>
                <w:sz w:val="19"/>
                <w:szCs w:val="19"/>
                <w:color w:val="auto"/>
              </w:rPr>
            </w:pPr>
          </w:p>
        </w:tc>
        <w:tc>
          <w:tcPr>
            <w:tcW w:w="1520" w:type="dxa"/>
            <w:vAlign w:val="bottom"/>
            <w:gridSpan w:val="2"/>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78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346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2021 Euro Notes &amp; 2026 Euro Notes</w:t>
            </w: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Borders>
              <w:bottom w:val="single" w:sz="8" w:color="DDDDDD"/>
            </w:tcBorders>
          </w:tcPr>
          <w:p>
            <w:pPr>
              <w:spacing w:after="0"/>
              <w:rPr>
                <w:sz w:val="23"/>
                <w:szCs w:val="23"/>
                <w:color w:val="auto"/>
              </w:rPr>
            </w:pPr>
          </w:p>
        </w:tc>
        <w:tc>
          <w:tcPr>
            <w:tcW w:w="1600" w:type="dxa"/>
            <w:vAlign w:val="bottom"/>
            <w:tcBorders>
              <w:bottom w:val="single" w:sz="8" w:color="DDDDDD"/>
            </w:tcBorders>
            <w:gridSpan w:val="4"/>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0" w:type="dxa"/>
            <w:vAlign w:val="bottom"/>
            <w:tcBorders>
              <w:right w:val="single" w:sz="8" w:color="DDDDDD"/>
            </w:tcBorders>
          </w:tcPr>
          <w:p>
            <w:pPr>
              <w:spacing w:after="0"/>
              <w:rPr>
                <w:sz w:val="22"/>
                <w:szCs w:val="22"/>
                <w:color w:val="auto"/>
              </w:rPr>
            </w:pPr>
          </w:p>
        </w:tc>
        <w:tc>
          <w:tcPr>
            <w:tcW w:w="3420" w:type="dxa"/>
            <w:vAlign w:val="bottom"/>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660" w:type="dxa"/>
            <w:vAlign w:val="bottom"/>
            <w:tcBorders>
              <w:bottom w:val="single" w:sz="8" w:color="auto"/>
            </w:tcBorders>
            <w:shd w:val="clear" w:color="auto" w:fill="DDDDDD"/>
          </w:tcPr>
          <w:p>
            <w:pPr>
              <w:jc w:val="right"/>
              <w:ind w:right="44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640" w:type="dxa"/>
            <w:vAlign w:val="bottom"/>
            <w:tcBorders>
              <w:bottom w:val="single" w:sz="8" w:color="auto"/>
            </w:tcBorders>
            <w:shd w:val="clear" w:color="auto" w:fill="DDDDDD"/>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w w:val="96"/>
              </w:rPr>
              <w:t>132</w:t>
            </w:r>
          </w:p>
        </w:tc>
        <w:tc>
          <w:tcPr>
            <w:tcW w:w="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4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DDDDDD"/>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340" w:type="dxa"/>
            <w:vAlign w:val="bottom"/>
            <w:tcBorders>
              <w:bottom w:val="single" w:sz="8" w:color="auto"/>
            </w:tcBorders>
            <w:shd w:val="clear" w:color="auto" w:fill="DDDDDD"/>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500" w:type="dxa"/>
            <w:vAlign w:val="bottom"/>
            <w:gridSpan w:val="3"/>
            <w:vMerge w:val="restart"/>
          </w:tcPr>
          <w:p>
            <w:pPr>
              <w:jc w:val="right"/>
              <w:ind w:right="1400"/>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6"/>
          <w:szCs w:val="16"/>
          <w:color w:val="auto"/>
        </w:rPr>
        <w:t>Interest rate swaps were entered into as pre-issuance hedges for the Company's bond offerings.</w:t>
      </w:r>
    </w:p>
    <w:p>
      <w:pPr>
        <w:spacing w:after="0" w:line="110"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 ineffective portion of the above noted cash flow hedges and net investment hedges was not material for the years ended December 31, 2022 and 2021.</w:t>
      </w:r>
    </w:p>
    <w:p>
      <w:pPr>
        <w:spacing w:after="0" w:line="30"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At December 31, 2022, based on current market rates, the Company does not expect any derivative losses (net of tax), included in AOCI, to be reclassified into earnings within the next 12 months.</w:t>
      </w:r>
    </w:p>
    <w:p>
      <w:pPr>
        <w:spacing w:after="0" w:line="136"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17.</w:t>
        <w:tab/>
        <w:t>ACCUMULATED OTHER COMPREHENSIVE INCOME (LOSS)</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Foreign</w:t>
            </w:r>
          </w:p>
        </w:tc>
        <w:tc>
          <w:tcPr>
            <w:tcW w:w="60" w:type="dxa"/>
            <w:vAlign w:val="bottom"/>
          </w:tcPr>
          <w:p>
            <w:pPr>
              <w:spacing w:after="0"/>
              <w:rPr>
                <w:sz w:val="16"/>
                <w:szCs w:val="16"/>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(Losses) Gains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7"/>
              </w:rPr>
              <w:t>Pension and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80"/>
              <w:spacing w:after="0" w:line="167" w:lineRule="exact"/>
              <w:rPr>
                <w:sz w:val="20"/>
                <w:szCs w:val="20"/>
                <w:color w:val="auto"/>
              </w:rPr>
            </w:pPr>
            <w:r>
              <w:rPr>
                <w:rFonts w:ascii="Times New Roman" w:cs="Times New Roman" w:eastAsia="Times New Roman" w:hAnsi="Times New Roman"/>
                <w:sz w:val="17"/>
                <w:szCs w:val="17"/>
                <w:b w:val="1"/>
                <w:bCs w:val="1"/>
                <w:color w:val="auto"/>
                <w:w w:val="97"/>
              </w:rPr>
              <w:t>Currency</w:t>
            </w:r>
          </w:p>
        </w:tc>
        <w:tc>
          <w:tcPr>
            <w:tcW w:w="60" w:type="dxa"/>
            <w:vAlign w:val="bottom"/>
          </w:tcPr>
          <w:p>
            <w:pPr>
              <w:spacing w:after="0"/>
              <w:rPr>
                <w:sz w:val="14"/>
                <w:szCs w:val="14"/>
                <w:color w:val="auto"/>
              </w:rPr>
            </w:pPr>
          </w:p>
        </w:tc>
        <w:tc>
          <w:tcPr>
            <w:tcW w:w="122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5"/>
              </w:rPr>
              <w:t>on Derivatives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7"/>
              </w:rPr>
              <w:t>Postretirement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7"/>
                <w:szCs w:val="17"/>
                <w:b w:val="1"/>
                <w:bCs w:val="1"/>
                <w:color w:val="auto"/>
                <w:w w:val="94"/>
              </w:rPr>
              <w:t>Translation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51"/>
              <w:spacing w:after="0" w:line="162" w:lineRule="exact"/>
              <w:rPr>
                <w:sz w:val="20"/>
                <w:szCs w:val="20"/>
                <w:color w:val="auto"/>
              </w:rPr>
            </w:pPr>
            <w:r>
              <w:rPr>
                <w:rFonts w:ascii="Times New Roman" w:cs="Times New Roman" w:eastAsia="Times New Roman" w:hAnsi="Times New Roman"/>
                <w:sz w:val="17"/>
                <w:szCs w:val="17"/>
                <w:b w:val="1"/>
                <w:bCs w:val="1"/>
                <w:color w:val="auto"/>
                <w:w w:val="92"/>
              </w:rPr>
              <w:t>Qualifying as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1"/>
              <w:spacing w:after="0" w:line="162" w:lineRule="exact"/>
              <w:rPr>
                <w:sz w:val="20"/>
                <w:szCs w:val="20"/>
                <w:color w:val="auto"/>
              </w:rPr>
            </w:pPr>
            <w:r>
              <w:rPr>
                <w:rFonts w:ascii="Times New Roman" w:cs="Times New Roman" w:eastAsia="Times New Roman" w:hAnsi="Times New Roman"/>
                <w:sz w:val="17"/>
                <w:szCs w:val="17"/>
                <w:b w:val="1"/>
                <w:bCs w:val="1"/>
                <w:color w:val="auto"/>
                <w:w w:val="99"/>
              </w:rPr>
              <w:t>Liability</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Pr>
          <w:p>
            <w:pPr>
              <w:spacing w:after="0"/>
              <w:rPr>
                <w:sz w:val="16"/>
                <w:szCs w:val="16"/>
                <w:color w:val="auto"/>
              </w:rPr>
            </w:pPr>
          </w:p>
        </w:tc>
        <w:tc>
          <w:tcPr>
            <w:tcW w:w="1100" w:type="dxa"/>
            <w:vAlign w:val="bottom"/>
            <w:gridSpan w:val="2"/>
          </w:tcPr>
          <w:p>
            <w:pPr>
              <w:jc w:val="center"/>
              <w:ind w:right="160"/>
              <w:spacing w:after="0" w:line="189" w:lineRule="exact"/>
              <w:rPr>
                <w:sz w:val="20"/>
                <w:szCs w:val="20"/>
                <w:color w:val="auto"/>
              </w:rPr>
            </w:pPr>
            <w:r>
              <w:rPr>
                <w:rFonts w:ascii="Times New Roman" w:cs="Times New Roman" w:eastAsia="Times New Roman" w:hAnsi="Times New Roman"/>
                <w:sz w:val="17"/>
                <w:szCs w:val="17"/>
                <w:b w:val="1"/>
                <w:bCs w:val="1"/>
                <w:color w:val="auto"/>
                <w:w w:val="97"/>
              </w:rPr>
              <w:t>Adjustments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51"/>
              <w:spacing w:after="0" w:line="189" w:lineRule="exact"/>
              <w:rPr>
                <w:sz w:val="20"/>
                <w:szCs w:val="20"/>
                <w:color w:val="auto"/>
              </w:rPr>
            </w:pPr>
            <w:r>
              <w:rPr>
                <w:rFonts w:ascii="Times New Roman" w:cs="Times New Roman" w:eastAsia="Times New Roman" w:hAnsi="Times New Roman"/>
                <w:sz w:val="17"/>
                <w:szCs w:val="17"/>
                <w:b w:val="1"/>
                <w:bCs w:val="1"/>
                <w:color w:val="auto"/>
                <w:w w:val="98"/>
              </w:rPr>
              <w:t>Hedges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1"/>
              <w:spacing w:after="0" w:line="189" w:lineRule="exact"/>
              <w:rPr>
                <w:sz w:val="20"/>
                <w:szCs w:val="20"/>
                <w:color w:val="auto"/>
              </w:rPr>
            </w:pPr>
            <w:r>
              <w:rPr>
                <w:rFonts w:ascii="Times New Roman" w:cs="Times New Roman" w:eastAsia="Times New Roman" w:hAnsi="Times New Roman"/>
                <w:sz w:val="17"/>
                <w:szCs w:val="17"/>
                <w:b w:val="1"/>
                <w:bCs w:val="1"/>
                <w:color w:val="auto"/>
                <w:w w:val="95"/>
              </w:rPr>
              <w:t>Adjustment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252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shd w:val="clear" w:color="auto" w:fill="DDDDDD"/>
          </w:tcPr>
          <w:p>
            <w:pPr>
              <w:spacing w:after="0"/>
              <w:rPr>
                <w:sz w:val="16"/>
                <w:szCs w:val="16"/>
                <w:color w:val="auto"/>
              </w:rPr>
            </w:pPr>
          </w:p>
        </w:tc>
        <w:tc>
          <w:tcPr>
            <w:tcW w:w="4120" w:type="dxa"/>
            <w:vAlign w:val="bottom"/>
            <w:gridSpan w:val="2"/>
            <w:shd w:val="clear" w:color="auto" w:fill="DDDDDD"/>
          </w:tcPr>
          <w:p>
            <w:pPr>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 w:type="dxa"/>
            <w:vAlign w:val="bottom"/>
            <w:shd w:val="clear" w:color="auto" w:fill="DDDDDD"/>
          </w:tcPr>
          <w:p>
            <w:pPr>
              <w:spacing w:after="0"/>
              <w:rPr>
                <w:sz w:val="16"/>
                <w:szCs w:val="16"/>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80" w:type="dxa"/>
            <w:vAlign w:val="bottom"/>
            <w:vMerge w:val="restart"/>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8"/>
        </w:trPr>
        <w:tc>
          <w:tcPr>
            <w:tcW w:w="40" w:type="dxa"/>
            <w:vAlign w:val="bottom"/>
            <w:shd w:val="clear" w:color="auto" w:fill="DDDDDD"/>
          </w:tcPr>
          <w:p>
            <w:pPr>
              <w:spacing w:after="0"/>
              <w:rPr>
                <w:sz w:val="19"/>
                <w:szCs w:val="19"/>
                <w:color w:val="auto"/>
              </w:rPr>
            </w:pPr>
          </w:p>
        </w:tc>
        <w:tc>
          <w:tcPr>
            <w:tcW w:w="41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of tax, as of December 31, 2021</w:t>
            </w:r>
          </w:p>
        </w:tc>
        <w:tc>
          <w:tcPr>
            <w:tcW w:w="2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1080" w:type="dxa"/>
            <w:vAlign w:val="bottom"/>
            <w:vMerge w:val="continue"/>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106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180" w:type="dxa"/>
            <w:vAlign w:val="bottom"/>
            <w:vMerge w:val="continue"/>
            <w:shd w:val="clear" w:color="auto" w:fill="DDDDDD"/>
          </w:tcPr>
          <w:p>
            <w:pPr>
              <w:spacing w:after="0"/>
              <w:rPr>
                <w:sz w:val="19"/>
                <w:szCs w:val="19"/>
                <w:color w:val="auto"/>
              </w:rPr>
            </w:pPr>
          </w:p>
        </w:tc>
        <w:tc>
          <w:tcPr>
            <w:tcW w:w="10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280" w:type="dxa"/>
            <w:vAlign w:val="bottom"/>
            <w:vMerge w:val="continue"/>
            <w:shd w:val="clear" w:color="auto" w:fill="DDDDDD"/>
          </w:tcPr>
          <w:p>
            <w:pPr>
              <w:spacing w:after="0"/>
              <w:rPr>
                <w:sz w:val="19"/>
                <w:szCs w:val="19"/>
                <w:color w:val="auto"/>
              </w:rPr>
            </w:pPr>
          </w:p>
        </w:tc>
        <w:tc>
          <w:tcPr>
            <w:tcW w:w="8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4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4"/>
        </w:trPr>
        <w:tc>
          <w:tcPr>
            <w:tcW w:w="40" w:type="dxa"/>
            <w:vAlign w:val="bottom"/>
            <w:tcBorders>
              <w:bottom w:val="single" w:sz="8" w:color="DDDDDD"/>
            </w:tcBorders>
            <w:shd w:val="clear" w:color="auto" w:fill="DDDDDD"/>
          </w:tcPr>
          <w:p>
            <w:pPr>
              <w:spacing w:after="0"/>
              <w:rPr>
                <w:sz w:val="23"/>
                <w:szCs w:val="23"/>
                <w:color w:val="auto"/>
              </w:rPr>
            </w:pPr>
          </w:p>
        </w:tc>
        <w:tc>
          <w:tcPr>
            <w:tcW w:w="4120" w:type="dxa"/>
            <w:vAlign w:val="bottom"/>
            <w:tcBorders>
              <w:bottom w:val="single" w:sz="8" w:color="DDDDDD"/>
            </w:tcBorders>
            <w:gridSpan w:val="2"/>
            <w:shd w:val="clear" w:color="auto" w:fill="DDDDDD"/>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2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60" w:type="dxa"/>
            <w:vAlign w:val="bottom"/>
            <w:tcBorders>
              <w:bottom w:val="single" w:sz="8" w:color="auto"/>
            </w:tcBorders>
            <w:shd w:val="clear" w:color="auto" w:fill="DDDDDD"/>
          </w:tcPr>
          <w:p>
            <w:pPr>
              <w:spacing w:after="0"/>
              <w:rPr>
                <w:sz w:val="23"/>
                <w:szCs w:val="23"/>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180" w:type="dxa"/>
            <w:vAlign w:val="bottom"/>
            <w:tcBorders>
              <w:bottom w:val="single" w:sz="8" w:color="auto"/>
            </w:tcBorders>
            <w:shd w:val="clear" w:color="auto" w:fill="DDDDDD"/>
          </w:tcPr>
          <w:p>
            <w:pPr>
              <w:spacing w:after="0"/>
              <w:rPr>
                <w:sz w:val="23"/>
                <w:szCs w:val="23"/>
                <w:color w:val="auto"/>
              </w:rPr>
            </w:pPr>
          </w:p>
        </w:tc>
        <w:tc>
          <w:tcPr>
            <w:tcW w:w="10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80" w:type="dxa"/>
            <w:vAlign w:val="bottom"/>
            <w:tcBorders>
              <w:bottom w:val="single" w:sz="8" w:color="auto"/>
            </w:tcBorders>
            <w:shd w:val="clear" w:color="auto" w:fill="DDDDDD"/>
          </w:tcPr>
          <w:p>
            <w:pPr>
              <w:spacing w:after="0"/>
              <w:rPr>
                <w:sz w:val="23"/>
                <w:szCs w:val="23"/>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4"/>
        </w:trPr>
        <w:tc>
          <w:tcPr>
            <w:tcW w:w="40" w:type="dxa"/>
            <w:vAlign w:val="bottom"/>
            <w:tcBorders>
              <w:bottom w:val="single" w:sz="8" w:color="DDDDDD"/>
            </w:tcBorders>
          </w:tcPr>
          <w:p>
            <w:pPr>
              <w:spacing w:after="0"/>
              <w:rPr>
                <w:sz w:val="22"/>
                <w:szCs w:val="22"/>
                <w:color w:val="auto"/>
              </w:rPr>
            </w:pPr>
          </w:p>
        </w:tc>
        <w:tc>
          <w:tcPr>
            <w:tcW w:w="414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DDDDD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Borders>
              <w:bottom w:val="single" w:sz="8" w:color="DDDDDD"/>
            </w:tcBorders>
          </w:tcPr>
          <w:p>
            <w:pPr>
              <w:spacing w:after="0"/>
              <w:rPr>
                <w:sz w:val="22"/>
                <w:szCs w:val="22"/>
                <w:color w:val="auto"/>
              </w:rPr>
            </w:pPr>
          </w:p>
        </w:tc>
        <w:tc>
          <w:tcPr>
            <w:tcW w:w="20" w:type="dxa"/>
            <w:vAlign w:val="bottom"/>
            <w:tcBorders>
              <w:bottom w:val="single" w:sz="8" w:color="DDDDD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34"/>
        </w:trPr>
        <w:tc>
          <w:tcPr>
            <w:tcW w:w="40" w:type="dxa"/>
            <w:vAlign w:val="bottom"/>
            <w:shd w:val="clear" w:color="auto" w:fill="DDDDDD"/>
          </w:tcPr>
          <w:p>
            <w:pPr>
              <w:spacing w:after="0"/>
              <w:rPr>
                <w:sz w:val="20"/>
                <w:szCs w:val="20"/>
                <w:color w:val="auto"/>
              </w:rPr>
            </w:pPr>
          </w:p>
        </w:tc>
        <w:tc>
          <w:tcPr>
            <w:tcW w:w="41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 w:type="dxa"/>
            <w:vAlign w:val="bottom"/>
            <w:shd w:val="clear" w:color="auto" w:fill="DDDDDD"/>
          </w:tcPr>
          <w:p>
            <w:pPr>
              <w:spacing w:after="0"/>
              <w:rPr>
                <w:sz w:val="20"/>
                <w:szCs w:val="20"/>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2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80" w:type="dxa"/>
            <w:vAlign w:val="bottom"/>
            <w:vMerge w:val="restart"/>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0" w:type="dxa"/>
            <w:vAlign w:val="bottom"/>
          </w:tcPr>
          <w:p>
            <w:pPr>
              <w:spacing w:after="0"/>
              <w:rPr>
                <w:sz w:val="1"/>
                <w:szCs w:val="1"/>
                <w:color w:val="auto"/>
              </w:rPr>
            </w:pPr>
          </w:p>
        </w:tc>
      </w:tr>
      <w:tr>
        <w:trPr>
          <w:trHeight w:val="186"/>
        </w:trPr>
        <w:tc>
          <w:tcPr>
            <w:tcW w:w="40" w:type="dxa"/>
            <w:vAlign w:val="bottom"/>
            <w:shd w:val="clear" w:color="auto" w:fill="DDDDDD"/>
          </w:tcPr>
          <w:p>
            <w:pPr>
              <w:spacing w:after="0"/>
              <w:rPr>
                <w:sz w:val="16"/>
                <w:szCs w:val="16"/>
                <w:color w:val="auto"/>
              </w:rPr>
            </w:pPr>
          </w:p>
        </w:tc>
        <w:tc>
          <w:tcPr>
            <w:tcW w:w="4120" w:type="dxa"/>
            <w:vAlign w:val="bottom"/>
            <w:gridSpan w:val="2"/>
            <w:shd w:val="clear" w:color="auto" w:fill="DDDDDD"/>
          </w:tcPr>
          <w:p>
            <w:pPr>
              <w:spacing w:after="0" w:line="184" w:lineRule="exact"/>
              <w:rPr>
                <w:sz w:val="20"/>
                <w:szCs w:val="20"/>
                <w:color w:val="auto"/>
              </w:rPr>
            </w:pPr>
            <w:r>
              <w:rPr>
                <w:rFonts w:ascii="Times New Roman" w:cs="Times New Roman" w:eastAsia="Times New Roman" w:hAnsi="Times New Roman"/>
                <w:sz w:val="18"/>
                <w:szCs w:val="18"/>
                <w:color w:val="auto"/>
              </w:rPr>
              <w:t>net of tax, as of December 31, 2022</w:t>
            </w:r>
          </w:p>
        </w:tc>
        <w:tc>
          <w:tcPr>
            <w:tcW w:w="20" w:type="dxa"/>
            <w:vAlign w:val="bottom"/>
            <w:tcBorders>
              <w:bottom w:val="single" w:sz="8" w:color="auto"/>
            </w:tcBorders>
            <w:shd w:val="clear" w:color="auto" w:fill="DDDDDD"/>
          </w:tcPr>
          <w:p>
            <w:pPr>
              <w:spacing w:after="0"/>
              <w:rPr>
                <w:sz w:val="16"/>
                <w:szCs w:val="16"/>
                <w:color w:val="auto"/>
              </w:rPr>
            </w:pPr>
          </w:p>
        </w:tc>
        <w:tc>
          <w:tcPr>
            <w:tcW w:w="160" w:type="dxa"/>
            <w:vAlign w:val="bottom"/>
            <w:tcBorders>
              <w:bottom w:val="single" w:sz="8" w:color="auto"/>
            </w:tcBorders>
            <w:vMerge w:val="continue"/>
            <w:shd w:val="clear" w:color="auto" w:fill="DDDDDD"/>
          </w:tcPr>
          <w:p>
            <w:pPr>
              <w:spacing w:after="0"/>
              <w:rPr>
                <w:sz w:val="16"/>
                <w:szCs w:val="16"/>
                <w:color w:val="auto"/>
              </w:rPr>
            </w:pPr>
          </w:p>
        </w:tc>
        <w:tc>
          <w:tcPr>
            <w:tcW w:w="1080" w:type="dxa"/>
            <w:vAlign w:val="bottom"/>
            <w:tcBorders>
              <w:bottom w:val="single" w:sz="8" w:color="auto"/>
            </w:tcBorders>
            <w:vMerge w:val="continue"/>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160" w:type="dxa"/>
            <w:vAlign w:val="bottom"/>
            <w:tcBorders>
              <w:bottom w:val="single" w:sz="8" w:color="auto"/>
            </w:tcBorders>
            <w:vMerge w:val="continue"/>
            <w:shd w:val="clear" w:color="auto" w:fill="DDDDDD"/>
          </w:tcPr>
          <w:p>
            <w:pPr>
              <w:spacing w:after="0"/>
              <w:rPr>
                <w:sz w:val="16"/>
                <w:szCs w:val="16"/>
                <w:color w:val="auto"/>
              </w:rPr>
            </w:pPr>
          </w:p>
        </w:tc>
        <w:tc>
          <w:tcPr>
            <w:tcW w:w="1060" w:type="dxa"/>
            <w:vAlign w:val="bottom"/>
            <w:tcBorders>
              <w:bottom w:val="single" w:sz="8" w:color="auto"/>
            </w:tcBorders>
            <w:vMerge w:val="continue"/>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180" w:type="dxa"/>
            <w:vAlign w:val="bottom"/>
            <w:tcBorders>
              <w:bottom w:val="single" w:sz="8" w:color="auto"/>
            </w:tcBorders>
            <w:vMerge w:val="continue"/>
            <w:shd w:val="clear" w:color="auto" w:fill="DDDDDD"/>
          </w:tcPr>
          <w:p>
            <w:pPr>
              <w:spacing w:after="0"/>
              <w:rPr>
                <w:sz w:val="16"/>
                <w:szCs w:val="16"/>
                <w:color w:val="auto"/>
              </w:rPr>
            </w:pPr>
          </w:p>
        </w:tc>
        <w:tc>
          <w:tcPr>
            <w:tcW w:w="1080" w:type="dxa"/>
            <w:vAlign w:val="bottom"/>
            <w:tcBorders>
              <w:bottom w:val="single" w:sz="8" w:color="auto"/>
            </w:tcBorders>
            <w:vMerge w:val="continue"/>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 w:type="dxa"/>
            <w:vAlign w:val="bottom"/>
            <w:tcBorders>
              <w:bottom w:val="single" w:sz="8" w:color="auto"/>
            </w:tcBorders>
            <w:shd w:val="clear" w:color="auto" w:fill="DDDDDD"/>
          </w:tcPr>
          <w:p>
            <w:pPr>
              <w:spacing w:after="0"/>
              <w:rPr>
                <w:sz w:val="16"/>
                <w:szCs w:val="16"/>
                <w:color w:val="auto"/>
              </w:rPr>
            </w:pPr>
          </w:p>
        </w:tc>
        <w:tc>
          <w:tcPr>
            <w:tcW w:w="280" w:type="dxa"/>
            <w:vAlign w:val="bottom"/>
            <w:tcBorders>
              <w:bottom w:val="single" w:sz="8" w:color="auto"/>
            </w:tcBorders>
            <w:vMerge w:val="continue"/>
            <w:shd w:val="clear" w:color="auto" w:fill="DDDDDD"/>
          </w:tcPr>
          <w:p>
            <w:pPr>
              <w:spacing w:after="0"/>
              <w:rPr>
                <w:sz w:val="16"/>
                <w:szCs w:val="16"/>
                <w:color w:val="auto"/>
              </w:rPr>
            </w:pPr>
          </w:p>
        </w:tc>
        <w:tc>
          <w:tcPr>
            <w:tcW w:w="880" w:type="dxa"/>
            <w:vAlign w:val="bottom"/>
            <w:tcBorders>
              <w:bottom w:val="single" w:sz="8" w:color="auto"/>
            </w:tcBorders>
            <w:vMerge w:val="continue"/>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-480695</wp:posOffset>
                </wp:positionV>
                <wp:extent cx="264795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7.8499pt" to="208.4pt,-37.8499pt" o:allowincell="f" strokecolor="#FFFFFF" strokeweight="0.87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103</w:t>
      </w:r>
    </w:p>
    <w:p>
      <w:pPr>
        <w:sectPr>
          <w:pgSz w:w="11880" w:h="15480" w:orient="portrait"/>
          <w:cols w:equalWidth="0" w:num="1">
            <w:col w:w="9400"/>
          </w:cols>
          <w:pgMar w:left="1220" w:top="1255" w:right="1260" w:bottom="254" w:gutter="0" w:footer="0" w:header="0"/>
        </w:sectPr>
      </w:pPr>
    </w:p>
    <w:bookmarkStart w:id="110" w:name="page111"/>
    <w:bookmarkEnd w:id="110"/>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(DOLLARS IN MILLIONS)</w:t>
      </w:r>
    </w:p>
    <w:p>
      <w:pPr>
        <w:spacing w:after="0" w:line="31"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8"/>
          <w:szCs w:val="18"/>
          <w:color w:val="auto"/>
        </w:rPr>
        <w:t>Accumulated other comprehensive (loss) income, net of tax, as of December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-248285</wp:posOffset>
                </wp:positionV>
                <wp:extent cx="2647950" cy="25781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257810"/>
                        </a:xfrm>
                        <a:prstGeom prst="rect">
                          <a:avLst/>
                        </a:prstGeom>
                        <a:solidFill>
                          <a:srgbClr val="DDDDDD"/>
                        </a:solidFill>
                      </wps:spPr>
                      <wps:bodyPr/>
                    </wps:wsp>
                  </a:graphicData>
                </a:graphic>
              </wp:anchor>
            </w:drawing>
          </mc:Choice>
          <mc:Fallback>
            <w:pict>
              <v:rect id="Shape 162" o:spid="_x0000_s1187" style="position:absolute;margin-left:-2.0499pt;margin-top:-19.5499pt;width:208.5pt;height:2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-243205</wp:posOffset>
                </wp:positionV>
                <wp:extent cx="2586990" cy="113665"/>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113665"/>
                        </a:xfrm>
                        <a:prstGeom prst="rect">
                          <a:avLst/>
                        </a:prstGeom>
                        <a:solidFill>
                          <a:srgbClr val="DDDDDD"/>
                        </a:solidFill>
                      </wps:spPr>
                      <wps:bodyPr/>
                    </wps:wsp>
                  </a:graphicData>
                </a:graphic>
              </wp:anchor>
            </w:drawing>
          </mc:Choice>
          <mc:Fallback>
            <w:pict>
              <v:rect id="Shape 163" o:spid="_x0000_s1188" style="position:absolute;margin-left:0.3pt;margin-top:-19.1499pt;width:203.7pt;height:8.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-129540</wp:posOffset>
                </wp:positionV>
                <wp:extent cx="2586990" cy="13335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133350"/>
                        </a:xfrm>
                        <a:prstGeom prst="rect">
                          <a:avLst/>
                        </a:prstGeom>
                        <a:solidFill>
                          <a:srgbClr val="DDDDDD"/>
                        </a:solidFill>
                      </wps:spPr>
                      <wps:bodyPr/>
                    </wps:wsp>
                  </a:graphicData>
                </a:graphic>
              </wp:anchor>
            </w:drawing>
          </mc:Choice>
          <mc:Fallback>
            <w:pict>
              <v:rect id="Shape 164" o:spid="_x0000_s1189" style="position:absolute;margin-left:0.3pt;margin-top:-10.1999pt;width:203.7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-254000</wp:posOffset>
                </wp:positionV>
                <wp:extent cx="2647950"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4763"/>
                        </a:xfrm>
                        <a:prstGeom prst="line">
                          <a:avLst/>
                        </a:prstGeom>
                        <a:solidFill>
                          <a:srgbClr val="FFFFFF"/>
                        </a:solidFill>
                        <a:ln w="11112">
                          <a:solidFill>
                            <a:srgbClr val="DDDDDD"/>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0pt" to="206.4pt,-20pt" o:allowincell="f" strokecolor="#DDDDDD" strokeweight="0.875pt"/>
            </w:pict>
          </mc:Fallback>
        </mc:AlternateContent>
      </w:r>
    </w:p>
    <w:p>
      <w:pPr>
        <w:ind w:left="340" w:right="1260"/>
        <w:spacing w:after="0" w:line="304" w:lineRule="auto"/>
        <w:rPr>
          <w:sz w:val="20"/>
          <w:szCs w:val="20"/>
          <w:color w:val="auto"/>
        </w:rPr>
      </w:pPr>
      <w:r>
        <w:rPr>
          <w:rFonts w:ascii="Times New Roman" w:cs="Times New Roman" w:eastAsia="Times New Roman" w:hAnsi="Times New Roman"/>
          <w:sz w:val="18"/>
          <w:szCs w:val="18"/>
          <w:color w:val="auto"/>
        </w:rPr>
        <w:t>OCI before reclassifications Amounts reclassified from AOCI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-325120</wp:posOffset>
                </wp:positionV>
                <wp:extent cx="2647950" cy="16383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163830"/>
                        </a:xfrm>
                        <a:prstGeom prst="rect">
                          <a:avLst/>
                        </a:prstGeom>
                        <a:solidFill>
                          <a:srgbClr val="FFFFFF"/>
                        </a:solidFill>
                      </wps:spPr>
                      <wps:bodyPr/>
                    </wps:wsp>
                  </a:graphicData>
                </a:graphic>
              </wp:anchor>
            </w:drawing>
          </mc:Choice>
          <mc:Fallback>
            <w:pict>
              <v:rect id="Shape 166" o:spid="_x0000_s1191" style="position:absolute;margin-left:-2.0499pt;margin-top:-25.5999pt;width:208.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-300355</wp:posOffset>
                </wp:positionV>
                <wp:extent cx="2586990" cy="11430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114300"/>
                        </a:xfrm>
                        <a:prstGeom prst="rect">
                          <a:avLst/>
                        </a:prstGeom>
                        <a:solidFill>
                          <a:srgbClr val="FFFFFF"/>
                        </a:solidFill>
                      </wps:spPr>
                      <wps:bodyPr/>
                    </wps:wsp>
                  </a:graphicData>
                </a:graphic>
              </wp:anchor>
            </w:drawing>
          </mc:Choice>
          <mc:Fallback>
            <w:pict>
              <v:rect id="Shape 167" o:spid="_x0000_s1192" style="position:absolute;margin-left:0.3pt;margin-top:-23.6499pt;width:203.7pt;height: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-26035</wp:posOffset>
                </wp:positionH>
                <wp:positionV relativeFrom="paragraph">
                  <wp:posOffset>-161290</wp:posOffset>
                </wp:positionV>
                <wp:extent cx="2647950" cy="16637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166370"/>
                        </a:xfrm>
                        <a:prstGeom prst="rect">
                          <a:avLst/>
                        </a:prstGeom>
                        <a:solidFill>
                          <a:srgbClr val="DDDDDD"/>
                        </a:solidFill>
                      </wps:spPr>
                      <wps:bodyPr/>
                    </wps:wsp>
                  </a:graphicData>
                </a:graphic>
              </wp:anchor>
            </w:drawing>
          </mc:Choice>
          <mc:Fallback>
            <w:pict>
              <v:rect id="Shape 168" o:spid="_x0000_s1193" style="position:absolute;margin-left:-2.0499pt;margin-top:-12.6999pt;width:208.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-136525</wp:posOffset>
                </wp:positionV>
                <wp:extent cx="2586990" cy="11684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116840"/>
                        </a:xfrm>
                        <a:prstGeom prst="rect">
                          <a:avLst/>
                        </a:prstGeom>
                        <a:solidFill>
                          <a:srgbClr val="DDDDDD"/>
                        </a:solidFill>
                      </wps:spPr>
                      <wps:bodyPr/>
                    </wps:wsp>
                  </a:graphicData>
                </a:graphic>
              </wp:anchor>
            </w:drawing>
          </mc:Choice>
          <mc:Fallback>
            <w:pict>
              <v:rect id="Shape 169" o:spid="_x0000_s1194" style="position:absolute;margin-left:0.3pt;margin-top:-10.7499pt;width:203.7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p>
      <w:pPr>
        <w:spacing w:after="0" w:line="5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Accumulated other comprehensive (loss) income, net of tax, as of December 31,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-26035</wp:posOffset>
                </wp:positionH>
                <wp:positionV relativeFrom="paragraph">
                  <wp:posOffset>-260985</wp:posOffset>
                </wp:positionV>
                <wp:extent cx="2647950" cy="266065"/>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266065"/>
                        </a:xfrm>
                        <a:prstGeom prst="rect">
                          <a:avLst/>
                        </a:prstGeom>
                        <a:solidFill>
                          <a:srgbClr val="DDDDDD"/>
                        </a:solidFill>
                      </wps:spPr>
                      <wps:bodyPr/>
                    </wps:wsp>
                  </a:graphicData>
                </a:graphic>
              </wp:anchor>
            </w:drawing>
          </mc:Choice>
          <mc:Fallback>
            <w:pict>
              <v:rect id="Shape 170" o:spid="_x0000_s1195" style="position:absolute;margin-left:-2.0499pt;margin-top:-20.5499pt;width:20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-253365</wp:posOffset>
                </wp:positionV>
                <wp:extent cx="2586990" cy="11684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116840"/>
                        </a:xfrm>
                        <a:prstGeom prst="rect">
                          <a:avLst/>
                        </a:prstGeom>
                        <a:solidFill>
                          <a:srgbClr val="DDDDDD"/>
                        </a:solidFill>
                      </wps:spPr>
                      <wps:bodyPr/>
                    </wps:wsp>
                  </a:graphicData>
                </a:graphic>
              </wp:anchor>
            </w:drawing>
          </mc:Choice>
          <mc:Fallback>
            <w:pict>
              <v:rect id="Shape 171" o:spid="_x0000_s1196" style="position:absolute;margin-left:0.3pt;margin-top:-19.9499pt;width:203.7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-136525</wp:posOffset>
                </wp:positionV>
                <wp:extent cx="2586990" cy="13335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133350"/>
                        </a:xfrm>
                        <a:prstGeom prst="rect">
                          <a:avLst/>
                        </a:prstGeom>
                        <a:solidFill>
                          <a:srgbClr val="DDDDDD"/>
                        </a:solidFill>
                      </wps:spPr>
                      <wps:bodyPr/>
                    </wps:wsp>
                  </a:graphicData>
                </a:graphic>
              </wp:anchor>
            </w:drawing>
          </mc:Choice>
          <mc:Fallback>
            <w:pict>
              <v:rect id="Shape 172" o:spid="_x0000_s1197" style="position:absolute;margin-left:0.3pt;margin-top:-10.7499pt;width:203.7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-267335</wp:posOffset>
                </wp:positionV>
                <wp:extent cx="264795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4763"/>
                        </a:xfrm>
                        <a:prstGeom prst="line">
                          <a:avLst/>
                        </a:prstGeom>
                        <a:solidFill>
                          <a:srgbClr val="FFFFFF"/>
                        </a:solidFill>
                        <a:ln w="11112">
                          <a:solidFill>
                            <a:srgbClr val="DDDDDD"/>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1.0499pt" to="206.4pt,-21.0499pt" o:allowincell="f" strokecolor="#DDDDDD" strokeweight="0.8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i w:val="1"/>
          <w:iCs w:val="1"/>
          <w:u w:val="single" w:color="auto"/>
          <w:color w:val="auto"/>
        </w:rPr>
        <w:t>(DOLLARS IN MILLIONS)</w:t>
      </w:r>
    </w:p>
    <w:p>
      <w:pPr>
        <w:spacing w:after="0" w:line="31" w:lineRule="exact"/>
        <w:rPr>
          <w:sz w:val="20"/>
          <w:szCs w:val="20"/>
          <w:color w:val="auto"/>
        </w:rPr>
      </w:pPr>
    </w:p>
    <w:p>
      <w:pPr>
        <w:ind w:left="80" w:right="320"/>
        <w:spacing w:after="0" w:line="245" w:lineRule="auto"/>
        <w:rPr>
          <w:sz w:val="20"/>
          <w:szCs w:val="20"/>
          <w:color w:val="auto"/>
        </w:rPr>
      </w:pPr>
      <w:r>
        <w:rPr>
          <w:rFonts w:ascii="Times New Roman" w:cs="Times New Roman" w:eastAsia="Times New Roman" w:hAnsi="Times New Roman"/>
          <w:sz w:val="18"/>
          <w:szCs w:val="18"/>
          <w:color w:val="auto"/>
        </w:rPr>
        <w:t>Accumulated other comprehensive (loss) income, net of tax, as of December 31,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-248285</wp:posOffset>
                </wp:positionV>
                <wp:extent cx="2647950" cy="25781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257810"/>
                        </a:xfrm>
                        <a:prstGeom prst="rect">
                          <a:avLst/>
                        </a:prstGeom>
                        <a:solidFill>
                          <a:srgbClr val="DDDDDD"/>
                        </a:solidFill>
                      </wps:spPr>
                      <wps:bodyPr/>
                    </wps:wsp>
                  </a:graphicData>
                </a:graphic>
              </wp:anchor>
            </w:drawing>
          </mc:Choice>
          <mc:Fallback>
            <w:pict>
              <v:rect id="Shape 174" o:spid="_x0000_s1199" style="position:absolute;margin-left:1.85pt;margin-top:-19.5499pt;width:208.5pt;height:2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-243205</wp:posOffset>
                </wp:positionV>
                <wp:extent cx="2587625" cy="11430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7625" cy="114300"/>
                        </a:xfrm>
                        <a:prstGeom prst="rect">
                          <a:avLst/>
                        </a:prstGeom>
                        <a:solidFill>
                          <a:srgbClr val="DDDDDD"/>
                        </a:solidFill>
                      </wps:spPr>
                      <wps:bodyPr/>
                    </wps:wsp>
                  </a:graphicData>
                </a:graphic>
              </wp:anchor>
            </w:drawing>
          </mc:Choice>
          <mc:Fallback>
            <w:pict>
              <v:rect id="Shape 175" o:spid="_x0000_s1200" style="position:absolute;margin-left:4.2pt;margin-top:-19.1499pt;width:203.75pt;height: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-129540</wp:posOffset>
                </wp:positionV>
                <wp:extent cx="2587625" cy="13335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7625" cy="133350"/>
                        </a:xfrm>
                        <a:prstGeom prst="rect">
                          <a:avLst/>
                        </a:prstGeom>
                        <a:solidFill>
                          <a:srgbClr val="DDDDDD"/>
                        </a:solidFill>
                      </wps:spPr>
                      <wps:bodyPr/>
                    </wps:wsp>
                  </a:graphicData>
                </a:graphic>
              </wp:anchor>
            </w:drawing>
          </mc:Choice>
          <mc:Fallback>
            <w:pict>
              <v:rect id="Shape 176" o:spid="_x0000_s1201" style="position:absolute;margin-left:4.2pt;margin-top:-10.1999pt;width:203.7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20320</wp:posOffset>
                </wp:positionH>
                <wp:positionV relativeFrom="paragraph">
                  <wp:posOffset>-254000</wp:posOffset>
                </wp:positionV>
                <wp:extent cx="264858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8585" cy="4763"/>
                        </a:xfrm>
                        <a:prstGeom prst="line">
                          <a:avLst/>
                        </a:prstGeom>
                        <a:solidFill>
                          <a:srgbClr val="FFFFFF"/>
                        </a:solidFill>
                        <a:ln w="11112">
                          <a:solidFill>
                            <a:srgbClr val="DDDDDD"/>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pt,-20pt" to="210.15pt,-20pt" o:allowincell="f" strokecolor="#DDDDDD" strokeweight="0.875pt"/>
            </w:pict>
          </mc:Fallback>
        </mc:AlternateContent>
      </w:r>
    </w:p>
    <w:p>
      <w:pPr>
        <w:ind w:left="420" w:right="1180"/>
        <w:spacing w:after="0" w:line="304" w:lineRule="auto"/>
        <w:rPr>
          <w:sz w:val="20"/>
          <w:szCs w:val="20"/>
          <w:color w:val="auto"/>
        </w:rPr>
      </w:pPr>
      <w:r>
        <w:rPr>
          <w:rFonts w:ascii="Times New Roman" w:cs="Times New Roman" w:eastAsia="Times New Roman" w:hAnsi="Times New Roman"/>
          <w:sz w:val="18"/>
          <w:szCs w:val="18"/>
          <w:color w:val="auto"/>
        </w:rPr>
        <w:t>OCI before reclassifications Amounts reclassified from AOCI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-325120</wp:posOffset>
                </wp:positionV>
                <wp:extent cx="2647950" cy="16383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163830"/>
                        </a:xfrm>
                        <a:prstGeom prst="rect">
                          <a:avLst/>
                        </a:prstGeom>
                        <a:solidFill>
                          <a:srgbClr val="FFFFFF"/>
                        </a:solidFill>
                      </wps:spPr>
                      <wps:bodyPr/>
                    </wps:wsp>
                  </a:graphicData>
                </a:graphic>
              </wp:anchor>
            </w:drawing>
          </mc:Choice>
          <mc:Fallback>
            <w:pict>
              <v:rect id="Shape 178" o:spid="_x0000_s1203" style="position:absolute;margin-left:1.85pt;margin-top:-25.5999pt;width:208.5pt;height:12.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-300355</wp:posOffset>
                </wp:positionV>
                <wp:extent cx="2587625" cy="11430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7625" cy="114300"/>
                        </a:xfrm>
                        <a:prstGeom prst="rect">
                          <a:avLst/>
                        </a:prstGeom>
                        <a:solidFill>
                          <a:srgbClr val="FFFFFF"/>
                        </a:solidFill>
                      </wps:spPr>
                      <wps:bodyPr/>
                    </wps:wsp>
                  </a:graphicData>
                </a:graphic>
              </wp:anchor>
            </w:drawing>
          </mc:Choice>
          <mc:Fallback>
            <w:pict>
              <v:rect id="Shape 179" o:spid="_x0000_s1204" style="position:absolute;margin-left:4.2pt;margin-top:-23.6499pt;width:203.75pt;height:9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23495</wp:posOffset>
                </wp:positionH>
                <wp:positionV relativeFrom="paragraph">
                  <wp:posOffset>-161290</wp:posOffset>
                </wp:positionV>
                <wp:extent cx="2647950" cy="16637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166370"/>
                        </a:xfrm>
                        <a:prstGeom prst="rect">
                          <a:avLst/>
                        </a:prstGeom>
                        <a:solidFill>
                          <a:srgbClr val="DDDDDD"/>
                        </a:solidFill>
                      </wps:spPr>
                      <wps:bodyPr/>
                    </wps:wsp>
                  </a:graphicData>
                </a:graphic>
              </wp:anchor>
            </w:drawing>
          </mc:Choice>
          <mc:Fallback>
            <w:pict>
              <v:rect id="Shape 180" o:spid="_x0000_s1205" style="position:absolute;margin-left:1.85pt;margin-top:-12.6999pt;width:208.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-136525</wp:posOffset>
                </wp:positionV>
                <wp:extent cx="2587625" cy="11684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7625" cy="116840"/>
                        </a:xfrm>
                        <a:prstGeom prst="rect">
                          <a:avLst/>
                        </a:prstGeom>
                        <a:solidFill>
                          <a:srgbClr val="DDDDDD"/>
                        </a:solidFill>
                      </wps:spPr>
                      <wps:bodyPr/>
                    </wps:wsp>
                  </a:graphicData>
                </a:graphic>
              </wp:anchor>
            </w:drawing>
          </mc:Choice>
          <mc:Fallback>
            <w:pict>
              <v:rect id="Shape 181" o:spid="_x0000_s1206" style="position:absolute;margin-left:4.2pt;margin-top:-10.7499pt;width:203.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8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p>
      <w:pPr>
        <w:spacing w:after="0" w:line="57" w:lineRule="exact"/>
        <w:rPr>
          <w:sz w:val="20"/>
          <w:szCs w:val="20"/>
          <w:color w:val="auto"/>
        </w:rPr>
      </w:pPr>
    </w:p>
    <w:p>
      <w:pPr>
        <w:ind w:left="80" w:right="320"/>
        <w:spacing w:after="0" w:line="258" w:lineRule="auto"/>
        <w:rPr>
          <w:sz w:val="20"/>
          <w:szCs w:val="20"/>
          <w:color w:val="auto"/>
        </w:rPr>
      </w:pPr>
      <w:r>
        <w:rPr>
          <w:rFonts w:ascii="Times New Roman" w:cs="Times New Roman" w:eastAsia="Times New Roman" w:hAnsi="Times New Roman"/>
          <w:sz w:val="18"/>
          <w:szCs w:val="18"/>
          <w:color w:val="auto"/>
        </w:rPr>
        <w:t>Accumulated other comprehensive (loss) income, net of tax, as of December 31, 2020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-260985</wp:posOffset>
                </wp:positionV>
                <wp:extent cx="2647950" cy="266065"/>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7950" cy="266065"/>
                        </a:xfrm>
                        <a:prstGeom prst="rect">
                          <a:avLst/>
                        </a:prstGeom>
                        <a:solidFill>
                          <a:srgbClr val="DDDDDD"/>
                        </a:solidFill>
                      </wps:spPr>
                      <wps:bodyPr/>
                    </wps:wsp>
                  </a:graphicData>
                </a:graphic>
              </wp:anchor>
            </w:drawing>
          </mc:Choice>
          <mc:Fallback>
            <w:pict>
              <v:rect id="Shape 182" o:spid="_x0000_s1207" style="position:absolute;margin-left:1.85pt;margin-top:-20.5499pt;width:208.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-253365</wp:posOffset>
                </wp:positionV>
                <wp:extent cx="2587625" cy="11684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7625" cy="116840"/>
                        </a:xfrm>
                        <a:prstGeom prst="rect">
                          <a:avLst/>
                        </a:prstGeom>
                        <a:solidFill>
                          <a:srgbClr val="DDDDDD"/>
                        </a:solidFill>
                      </wps:spPr>
                      <wps:bodyPr/>
                    </wps:wsp>
                  </a:graphicData>
                </a:graphic>
              </wp:anchor>
            </w:drawing>
          </mc:Choice>
          <mc:Fallback>
            <w:pict>
              <v:rect id="Shape 183" o:spid="_x0000_s1208" style="position:absolute;margin-left:4.2pt;margin-top:-19.9499pt;width:203.75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53340</wp:posOffset>
                </wp:positionH>
                <wp:positionV relativeFrom="paragraph">
                  <wp:posOffset>-136525</wp:posOffset>
                </wp:positionV>
                <wp:extent cx="2587625" cy="13335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7625" cy="133350"/>
                        </a:xfrm>
                        <a:prstGeom prst="rect">
                          <a:avLst/>
                        </a:prstGeom>
                        <a:solidFill>
                          <a:srgbClr val="DDDDDD"/>
                        </a:solidFill>
                      </wps:spPr>
                      <wps:bodyPr/>
                    </wps:wsp>
                  </a:graphicData>
                </a:graphic>
              </wp:anchor>
            </w:drawing>
          </mc:Choice>
          <mc:Fallback>
            <w:pict>
              <v:rect id="Shape 184" o:spid="_x0000_s1209" style="position:absolute;margin-left:4.2pt;margin-top:-10.7499pt;width:203.75pt;height:1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20320</wp:posOffset>
                </wp:positionH>
                <wp:positionV relativeFrom="paragraph">
                  <wp:posOffset>-267335</wp:posOffset>
                </wp:positionV>
                <wp:extent cx="264858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48585" cy="4763"/>
                        </a:xfrm>
                        <a:prstGeom prst="line">
                          <a:avLst/>
                        </a:prstGeom>
                        <a:solidFill>
                          <a:srgbClr val="FFFFFF"/>
                        </a:solidFill>
                        <a:ln w="11125">
                          <a:solidFill>
                            <a:srgbClr val="DDDDDD"/>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pt,-21.0499pt" to="210.15pt,-21.0499pt" o:allowincell="f" strokecolor="#DDDDDD" strokeweight="0.876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Foreign</w:t>
            </w:r>
          </w:p>
        </w:tc>
        <w:tc>
          <w:tcPr>
            <w:tcW w:w="60" w:type="dxa"/>
            <w:vAlign w:val="bottom"/>
          </w:tcPr>
          <w:p>
            <w:pPr>
              <w:spacing w:after="0"/>
              <w:rPr>
                <w:sz w:val="17"/>
                <w:szCs w:val="17"/>
                <w:color w:val="auto"/>
              </w:rPr>
            </w:pPr>
          </w:p>
        </w:tc>
        <w:tc>
          <w:tcPr>
            <w:tcW w:w="1220" w:type="dxa"/>
            <w:vAlign w:val="bottom"/>
            <w:gridSpan w:val="4"/>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4"/>
              </w:rPr>
              <w:t>(Losses) Gains</w:t>
            </w:r>
          </w:p>
        </w:tc>
        <w:tc>
          <w:tcPr>
            <w:tcW w:w="60" w:type="dxa"/>
            <w:vAlign w:val="bottom"/>
          </w:tcPr>
          <w:p>
            <w:pPr>
              <w:spacing w:after="0"/>
              <w:rPr>
                <w:sz w:val="17"/>
                <w:szCs w:val="17"/>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Pension and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340"/>
              <w:spacing w:after="0" w:line="167" w:lineRule="exact"/>
              <w:rPr>
                <w:sz w:val="20"/>
                <w:szCs w:val="20"/>
                <w:color w:val="auto"/>
              </w:rPr>
            </w:pPr>
            <w:r>
              <w:rPr>
                <w:rFonts w:ascii="Times New Roman" w:cs="Times New Roman" w:eastAsia="Times New Roman" w:hAnsi="Times New Roman"/>
                <w:sz w:val="17"/>
                <w:szCs w:val="17"/>
                <w:b w:val="1"/>
                <w:bCs w:val="1"/>
                <w:color w:val="auto"/>
                <w:w w:val="97"/>
              </w:rPr>
              <w:t>Currency</w:t>
            </w:r>
          </w:p>
        </w:tc>
        <w:tc>
          <w:tcPr>
            <w:tcW w:w="60" w:type="dxa"/>
            <w:vAlign w:val="bottom"/>
          </w:tcPr>
          <w:p>
            <w:pPr>
              <w:spacing w:after="0"/>
              <w:rPr>
                <w:sz w:val="14"/>
                <w:szCs w:val="14"/>
                <w:color w:val="auto"/>
              </w:rPr>
            </w:pPr>
          </w:p>
        </w:tc>
        <w:tc>
          <w:tcPr>
            <w:tcW w:w="1220" w:type="dxa"/>
            <w:vAlign w:val="bottom"/>
            <w:gridSpan w:val="4"/>
          </w:tcPr>
          <w:p>
            <w:pPr>
              <w:jc w:val="center"/>
              <w:ind w:right="140"/>
              <w:spacing w:after="0" w:line="167" w:lineRule="exact"/>
              <w:rPr>
                <w:sz w:val="20"/>
                <w:szCs w:val="20"/>
                <w:color w:val="auto"/>
              </w:rPr>
            </w:pPr>
            <w:r>
              <w:rPr>
                <w:rFonts w:ascii="Times New Roman" w:cs="Times New Roman" w:eastAsia="Times New Roman" w:hAnsi="Times New Roman"/>
                <w:sz w:val="17"/>
                <w:szCs w:val="17"/>
                <w:b w:val="1"/>
                <w:bCs w:val="1"/>
                <w:color w:val="auto"/>
                <w:w w:val="95"/>
              </w:rPr>
              <w:t>on Derivatives</w:t>
            </w:r>
          </w:p>
        </w:tc>
        <w:tc>
          <w:tcPr>
            <w:tcW w:w="60" w:type="dxa"/>
            <w:vAlign w:val="bottom"/>
          </w:tcPr>
          <w:p>
            <w:pPr>
              <w:spacing w:after="0"/>
              <w:rPr>
                <w:sz w:val="14"/>
                <w:szCs w:val="14"/>
                <w:color w:val="auto"/>
              </w:rPr>
            </w:pPr>
          </w:p>
        </w:tc>
        <w:tc>
          <w:tcPr>
            <w:tcW w:w="1280" w:type="dxa"/>
            <w:vAlign w:val="bottom"/>
            <w:gridSpan w:val="4"/>
          </w:tcPr>
          <w:p>
            <w:pPr>
              <w:jc w:val="center"/>
              <w:ind w:right="140"/>
              <w:spacing w:after="0" w:line="167" w:lineRule="exact"/>
              <w:rPr>
                <w:sz w:val="20"/>
                <w:szCs w:val="20"/>
                <w:color w:val="auto"/>
              </w:rPr>
            </w:pPr>
            <w:r>
              <w:rPr>
                <w:rFonts w:ascii="Times New Roman" w:cs="Times New Roman" w:eastAsia="Times New Roman" w:hAnsi="Times New Roman"/>
                <w:sz w:val="17"/>
                <w:szCs w:val="17"/>
                <w:b w:val="1"/>
                <w:bCs w:val="1"/>
                <w:color w:val="auto"/>
                <w:w w:val="97"/>
              </w:rPr>
              <w:t>Postretirement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jc w:val="center"/>
              <w:ind w:right="160"/>
              <w:spacing w:after="0" w:line="162" w:lineRule="exact"/>
              <w:rPr>
                <w:sz w:val="20"/>
                <w:szCs w:val="20"/>
                <w:color w:val="auto"/>
              </w:rPr>
            </w:pPr>
            <w:r>
              <w:rPr>
                <w:rFonts w:ascii="Times New Roman" w:cs="Times New Roman" w:eastAsia="Times New Roman" w:hAnsi="Times New Roman"/>
                <w:sz w:val="17"/>
                <w:szCs w:val="17"/>
                <w:b w:val="1"/>
                <w:bCs w:val="1"/>
                <w:color w:val="auto"/>
                <w:w w:val="94"/>
              </w:rPr>
              <w:t>Translation</w:t>
            </w:r>
          </w:p>
        </w:tc>
        <w:tc>
          <w:tcPr>
            <w:tcW w:w="60" w:type="dxa"/>
            <w:vAlign w:val="bottom"/>
          </w:tcPr>
          <w:p>
            <w:pPr>
              <w:spacing w:after="0"/>
              <w:rPr>
                <w:sz w:val="14"/>
                <w:szCs w:val="14"/>
                <w:color w:val="auto"/>
              </w:rPr>
            </w:pPr>
          </w:p>
        </w:tc>
        <w:tc>
          <w:tcPr>
            <w:tcW w:w="1220" w:type="dxa"/>
            <w:vAlign w:val="bottom"/>
            <w:gridSpan w:val="4"/>
          </w:tcPr>
          <w:p>
            <w:pPr>
              <w:ind w:left="80"/>
              <w:spacing w:after="0" w:line="162" w:lineRule="exact"/>
              <w:rPr>
                <w:sz w:val="20"/>
                <w:szCs w:val="20"/>
                <w:color w:val="auto"/>
              </w:rPr>
            </w:pPr>
            <w:r>
              <w:rPr>
                <w:rFonts w:ascii="Times New Roman" w:cs="Times New Roman" w:eastAsia="Times New Roman" w:hAnsi="Times New Roman"/>
                <w:sz w:val="17"/>
                <w:szCs w:val="17"/>
                <w:b w:val="1"/>
                <w:bCs w:val="1"/>
                <w:color w:val="auto"/>
              </w:rPr>
              <w:t>Qualifying as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340"/>
              <w:spacing w:after="0" w:line="162" w:lineRule="exact"/>
              <w:rPr>
                <w:sz w:val="20"/>
                <w:szCs w:val="20"/>
                <w:color w:val="auto"/>
              </w:rPr>
            </w:pPr>
            <w:r>
              <w:rPr>
                <w:rFonts w:ascii="Times New Roman" w:cs="Times New Roman" w:eastAsia="Times New Roman" w:hAnsi="Times New Roman"/>
                <w:sz w:val="17"/>
                <w:szCs w:val="17"/>
                <w:b w:val="1"/>
                <w:bCs w:val="1"/>
                <w:color w:val="auto"/>
                <w:w w:val="99"/>
              </w:rPr>
              <w:t>Liability</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Adjustments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Hedges</w:t>
            </w:r>
          </w:p>
        </w:tc>
        <w:tc>
          <w:tcPr>
            <w:tcW w:w="60" w:type="dxa"/>
            <w:vAlign w:val="bottom"/>
          </w:tcPr>
          <w:p>
            <w:pPr>
              <w:spacing w:after="0"/>
              <w:rPr>
                <w:sz w:val="19"/>
                <w:szCs w:val="19"/>
                <w:color w:val="auto"/>
              </w:rPr>
            </w:pPr>
          </w:p>
        </w:tc>
        <w:tc>
          <w:tcPr>
            <w:tcW w:w="1280" w:type="dxa"/>
            <w:vAlign w:val="bottom"/>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5"/>
              </w:rPr>
              <w:t>Adjustment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60" w:type="dxa"/>
            <w:vAlign w:val="bottom"/>
            <w:tcBorders>
              <w:top w:val="single" w:sz="8" w:color="auto"/>
            </w:tcBorders>
            <w:gridSpan w:val="3"/>
            <w:shd w:val="clear" w:color="auto" w:fill="DDDDDD"/>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auto"/>
            </w:tcBorders>
            <w:shd w:val="clear" w:color="auto" w:fill="DDDDDD"/>
          </w:tcPr>
          <w:p>
            <w:pPr>
              <w:spacing w:after="0"/>
              <w:rPr>
                <w:sz w:val="24"/>
                <w:szCs w:val="24"/>
                <w:color w:val="auto"/>
              </w:rPr>
            </w:pPr>
          </w:p>
        </w:tc>
        <w:tc>
          <w:tcPr>
            <w:tcW w:w="280" w:type="dxa"/>
            <w:vAlign w:val="bottom"/>
            <w:tcBorders>
              <w:top w:val="single" w:sz="8" w:color="auto"/>
            </w:tcBorders>
            <w:gridSpan w:val="2"/>
            <w:shd w:val="clear" w:color="auto" w:fill="DDDDDD"/>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auto"/>
            </w:tcBorders>
            <w:shd w:val="clear" w:color="auto" w:fill="DDDDDD"/>
          </w:tcPr>
          <w:p>
            <w:pPr>
              <w:spacing w:after="0"/>
              <w:rPr>
                <w:sz w:val="24"/>
                <w:szCs w:val="24"/>
                <w:color w:val="auto"/>
              </w:rPr>
            </w:pPr>
          </w:p>
        </w:tc>
        <w:tc>
          <w:tcPr>
            <w:tcW w:w="260" w:type="dxa"/>
            <w:vAlign w:val="bottom"/>
            <w:tcBorders>
              <w:top w:val="single" w:sz="8" w:color="auto"/>
            </w:tcBorders>
            <w:gridSpan w:val="2"/>
            <w:shd w:val="clear" w:color="auto" w:fill="DDDDDD"/>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60" w:type="dxa"/>
            <w:vAlign w:val="bottom"/>
            <w:tcBorders>
              <w:top w:val="single" w:sz="8" w:color="DDDDDD"/>
            </w:tcBorders>
            <w:shd w:val="clear" w:color="auto" w:fill="DDDDDD"/>
          </w:tcPr>
          <w:p>
            <w:pPr>
              <w:spacing w:after="0"/>
              <w:rPr>
                <w:sz w:val="24"/>
                <w:szCs w:val="24"/>
                <w:color w:val="auto"/>
              </w:rPr>
            </w:pPr>
          </w:p>
        </w:tc>
        <w:tc>
          <w:tcPr>
            <w:tcW w:w="20" w:type="dxa"/>
            <w:vAlign w:val="bottom"/>
            <w:tcBorders>
              <w:top w:val="single" w:sz="8" w:color="auto"/>
            </w:tcBorders>
            <w:shd w:val="clear" w:color="auto" w:fill="DDDDDD"/>
          </w:tcPr>
          <w:p>
            <w:pPr>
              <w:spacing w:after="0"/>
              <w:rPr>
                <w:sz w:val="24"/>
                <w:szCs w:val="24"/>
                <w:color w:val="auto"/>
              </w:rPr>
            </w:pPr>
          </w:p>
        </w:tc>
        <w:tc>
          <w:tcPr>
            <w:tcW w:w="320" w:type="dxa"/>
            <w:vAlign w:val="bottom"/>
            <w:tcBorders>
              <w:top w:val="single" w:sz="8" w:color="auto"/>
            </w:tcBorders>
            <w:gridSpan w:val="3"/>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auto"/>
            </w:tcBorders>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1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tcBorders>
              <w:bottom w:val="single" w:sz="8" w:color="auto"/>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tcBorders>
              <w:bottom w:val="single" w:sz="8" w:color="auto"/>
            </w:tcBorders>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2"/>
        </w:trPr>
        <w:tc>
          <w:tcPr>
            <w:tcW w:w="260" w:type="dxa"/>
            <w:vAlign w:val="bottom"/>
            <w:tcBorders>
              <w:bottom w:val="single" w:sz="8" w:color="auto"/>
            </w:tcBorders>
            <w:gridSpan w:val="3"/>
            <w:shd w:val="clear" w:color="auto" w:fill="DDDDDD"/>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80" w:type="dxa"/>
            <w:vAlign w:val="bottom"/>
            <w:tcBorders>
              <w:bottom w:val="single" w:sz="8" w:color="auto"/>
            </w:tcBorders>
            <w:gridSpan w:val="2"/>
            <w:shd w:val="clear" w:color="auto" w:fill="DDDDDD"/>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60" w:type="dxa"/>
            <w:vAlign w:val="bottom"/>
            <w:tcBorders>
              <w:bottom w:val="single" w:sz="8" w:color="auto"/>
            </w:tcBorders>
            <w:gridSpan w:val="2"/>
            <w:shd w:val="clear" w:color="auto" w:fill="DDDDDD"/>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320" w:type="dxa"/>
            <w:vAlign w:val="bottom"/>
            <w:tcBorders>
              <w:bottom w:val="single" w:sz="8" w:color="auto"/>
            </w:tcBorders>
            <w:gridSpan w:val="3"/>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Foreign</w:t>
            </w:r>
          </w:p>
        </w:tc>
        <w:tc>
          <w:tcPr>
            <w:tcW w:w="60" w:type="dxa"/>
            <w:vAlign w:val="bottom"/>
          </w:tcPr>
          <w:p>
            <w:pPr>
              <w:spacing w:after="0"/>
              <w:rPr>
                <w:sz w:val="24"/>
                <w:szCs w:val="2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(Losses) Gains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Pension and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180"/>
              <w:spacing w:after="0" w:line="167" w:lineRule="exact"/>
              <w:rPr>
                <w:sz w:val="20"/>
                <w:szCs w:val="20"/>
                <w:color w:val="auto"/>
              </w:rPr>
            </w:pPr>
            <w:r>
              <w:rPr>
                <w:rFonts w:ascii="Times New Roman" w:cs="Times New Roman" w:eastAsia="Times New Roman" w:hAnsi="Times New Roman"/>
                <w:sz w:val="17"/>
                <w:szCs w:val="17"/>
                <w:b w:val="1"/>
                <w:bCs w:val="1"/>
                <w:color w:val="auto"/>
                <w:w w:val="97"/>
              </w:rPr>
              <w:t>Currency</w:t>
            </w:r>
          </w:p>
        </w:tc>
        <w:tc>
          <w:tcPr>
            <w:tcW w:w="60" w:type="dxa"/>
            <w:vAlign w:val="bottom"/>
          </w:tcPr>
          <w:p>
            <w:pPr>
              <w:spacing w:after="0"/>
              <w:rPr>
                <w:sz w:val="14"/>
                <w:szCs w:val="14"/>
                <w:color w:val="auto"/>
              </w:rPr>
            </w:pPr>
          </w:p>
        </w:tc>
        <w:tc>
          <w:tcPr>
            <w:tcW w:w="1220" w:type="dxa"/>
            <w:vAlign w:val="bottom"/>
            <w:gridSpan w:val="4"/>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5"/>
              </w:rPr>
              <w:t>on Derivatives</w:t>
            </w:r>
          </w:p>
        </w:tc>
        <w:tc>
          <w:tcPr>
            <w:tcW w:w="60" w:type="dxa"/>
            <w:vAlign w:val="bottom"/>
          </w:tcPr>
          <w:p>
            <w:pPr>
              <w:spacing w:after="0"/>
              <w:rPr>
                <w:sz w:val="14"/>
                <w:szCs w:val="14"/>
                <w:color w:val="auto"/>
              </w:rPr>
            </w:pPr>
          </w:p>
        </w:tc>
        <w:tc>
          <w:tcPr>
            <w:tcW w:w="1280" w:type="dxa"/>
            <w:vAlign w:val="bottom"/>
            <w:gridSpan w:val="4"/>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7"/>
              </w:rPr>
              <w:t>Postretirement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7"/>
                <w:szCs w:val="17"/>
                <w:b w:val="1"/>
                <w:bCs w:val="1"/>
                <w:color w:val="auto"/>
                <w:w w:val="94"/>
              </w:rPr>
              <w:t>Translation</w:t>
            </w:r>
          </w:p>
        </w:tc>
        <w:tc>
          <w:tcPr>
            <w:tcW w:w="60" w:type="dxa"/>
            <w:vAlign w:val="bottom"/>
          </w:tcPr>
          <w:p>
            <w:pPr>
              <w:spacing w:after="0"/>
              <w:rPr>
                <w:sz w:val="14"/>
                <w:szCs w:val="14"/>
                <w:color w:val="auto"/>
              </w:rPr>
            </w:pPr>
          </w:p>
        </w:tc>
        <w:tc>
          <w:tcPr>
            <w:tcW w:w="1220" w:type="dxa"/>
            <w:vAlign w:val="bottom"/>
            <w:gridSpan w:val="4"/>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w w:val="97"/>
              </w:rPr>
              <w:t>Qualifying as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7"/>
                <w:szCs w:val="17"/>
                <w:b w:val="1"/>
                <w:bCs w:val="1"/>
                <w:color w:val="auto"/>
                <w:w w:val="99"/>
              </w:rPr>
              <w:t>Liability</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Adjustments</w:t>
            </w:r>
          </w:p>
        </w:tc>
        <w:tc>
          <w:tcPr>
            <w:tcW w:w="60" w:type="dxa"/>
            <w:vAlign w:val="bottom"/>
            <w:tcBorders>
              <w:bottom w:val="single" w:sz="8" w:color="DDDDDD"/>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Hedges</w:t>
            </w:r>
          </w:p>
        </w:tc>
        <w:tc>
          <w:tcPr>
            <w:tcW w:w="6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5"/>
              </w:rPr>
              <w:t>Adjustment</w:t>
            </w:r>
          </w:p>
        </w:tc>
        <w:tc>
          <w:tcPr>
            <w:tcW w:w="60" w:type="dxa"/>
            <w:vAlign w:val="bottom"/>
            <w:tcBorders>
              <w:bottom w:val="single" w:sz="8" w:color="DDDDDD"/>
            </w:tcBorders>
          </w:tcPr>
          <w:p>
            <w:pPr>
              <w:spacing w:after="0"/>
              <w:rPr>
                <w:sz w:val="19"/>
                <w:szCs w:val="19"/>
                <w:color w:val="auto"/>
              </w:rPr>
            </w:pPr>
          </w:p>
        </w:tc>
        <w:tc>
          <w:tcPr>
            <w:tcW w:w="20" w:type="dxa"/>
            <w:vAlign w:val="bottom"/>
            <w:tcBorders>
              <w:bottom w:val="single" w:sz="8" w:color="DDDDDD"/>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920" w:type="dxa"/>
            <w:vAlign w:val="bottom"/>
            <w:tcBorders>
              <w:bottom w:val="single" w:sz="8" w:color="auto"/>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Borders>
              <w:bottom w:val="single" w:sz="8" w:color="DDDDDD"/>
            </w:tcBorders>
          </w:tcPr>
          <w:p>
            <w:pPr>
              <w:spacing w:after="0"/>
              <w:rPr>
                <w:sz w:val="21"/>
                <w:szCs w:val="21"/>
                <w:color w:val="auto"/>
              </w:rPr>
            </w:pPr>
          </w:p>
        </w:tc>
        <w:tc>
          <w:tcPr>
            <w:tcW w:w="20" w:type="dxa"/>
            <w:vAlign w:val="bottom"/>
            <w:tcBorders>
              <w:bottom w:val="single" w:sz="8" w:color="DDDDD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422"/>
        </w:trPr>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Borders>
              <w:bottom w:val="single" w:sz="8" w:color="auto"/>
            </w:tcBorders>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ectPr>
          <w:pgSz w:w="11880" w:h="15480" w:orient="portrait"/>
          <w:cols w:equalWidth="0" w:num="2">
            <w:col w:w="4020" w:space="100"/>
            <w:col w:w="5240"/>
          </w:cols>
          <w:pgMar w:left="1260" w:top="1303" w:right="1260" w:bottom="254" w:gutter="0" w:footer="0" w:header="0"/>
        </w:sect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about reclassifications out of Accumulated other comprehensive loss to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(Loss) Income and Comprehensive (Loss) Income:</w:t>
      </w:r>
    </w:p>
    <w:p>
      <w:pPr>
        <w:spacing w:after="0" w:line="13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Affected Line Item in the</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Consolidated Statements of (Loss)</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60" w:type="dxa"/>
            <w:vAlign w:val="bottom"/>
            <w:gridSpan w:val="3"/>
            <w:vMerge w:val="restart"/>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2"/>
                <w:szCs w:val="12"/>
                <w:color w:val="auto"/>
              </w:rPr>
            </w:pP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Income and Comprehensive (Loss)</w:t>
            </w: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186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40" w:type="dxa"/>
            <w:vAlign w:val="bottom"/>
            <w:gridSpan w:val="2"/>
          </w:tcPr>
          <w:p>
            <w:pPr>
              <w:jc w:val="center"/>
              <w:ind w:right="40"/>
              <w:spacing w:after="0" w:line="153"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1"/>
        </w:trPr>
        <w:tc>
          <w:tcPr>
            <w:tcW w:w="60" w:type="dxa"/>
            <w:vAlign w:val="bottom"/>
            <w:tcBorders>
              <w:bottom w:val="single" w:sz="8" w:color="DDDDDD"/>
            </w:tcBorders>
          </w:tcPr>
          <w:p>
            <w:pPr>
              <w:spacing w:after="0" w:line="20" w:lineRule="exact"/>
              <w:rPr>
                <w:sz w:val="1"/>
                <w:szCs w:val="1"/>
                <w:color w:val="auto"/>
              </w:rPr>
            </w:pPr>
          </w:p>
        </w:tc>
        <w:tc>
          <w:tcPr>
            <w:tcW w:w="3400" w:type="dxa"/>
            <w:vAlign w:val="bottom"/>
            <w:tcBorders>
              <w:bottom w:val="single" w:sz="8" w:color="DDDDDD"/>
            </w:tcBorders>
            <w:gridSpan w:val="2"/>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0" w:type="dxa"/>
            <w:vAlign w:val="bottom"/>
            <w:shd w:val="clear" w:color="auto" w:fill="DDDDDD"/>
          </w:tcPr>
          <w:p>
            <w:pPr>
              <w:spacing w:after="0"/>
              <w:rPr>
                <w:sz w:val="16"/>
                <w:szCs w:val="16"/>
                <w:color w:val="auto"/>
              </w:rPr>
            </w:pPr>
          </w:p>
        </w:tc>
        <w:tc>
          <w:tcPr>
            <w:tcW w:w="3400" w:type="dxa"/>
            <w:vAlign w:val="bottom"/>
            <w:gridSpan w:val="2"/>
            <w:shd w:val="clear" w:color="auto" w:fill="DDDDDD"/>
          </w:tcPr>
          <w:p>
            <w:pPr>
              <w:spacing w:after="0" w:line="193" w:lineRule="exact"/>
              <w:rPr>
                <w:sz w:val="20"/>
                <w:szCs w:val="20"/>
                <w:color w:val="auto"/>
              </w:rPr>
            </w:pPr>
            <w:r>
              <w:rPr>
                <w:rFonts w:ascii="Times New Roman" w:cs="Times New Roman" w:eastAsia="Times New Roman" w:hAnsi="Times New Roman"/>
                <w:sz w:val="18"/>
                <w:szCs w:val="18"/>
                <w:color w:val="auto"/>
              </w:rPr>
              <w:t>(Losses) gains on derivatives qualifying as</w:t>
            </w: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2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72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230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0" w:type="dxa"/>
            <w:vAlign w:val="bottom"/>
            <w:shd w:val="clear" w:color="auto" w:fill="DDDDDD"/>
          </w:tcPr>
          <w:p>
            <w:pPr>
              <w:spacing w:after="0" w:line="20" w:lineRule="exact"/>
              <w:rPr>
                <w:sz w:val="1"/>
                <w:szCs w:val="1"/>
                <w:color w:val="auto"/>
              </w:rPr>
            </w:pPr>
          </w:p>
        </w:tc>
        <w:tc>
          <w:tcPr>
            <w:tcW w:w="3400" w:type="dxa"/>
            <w:vAlign w:val="bottom"/>
            <w:gridSpan w:val="2"/>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rPr>
              <w:t>hedges</w:t>
            </w:r>
          </w:p>
        </w:tc>
        <w:tc>
          <w:tcPr>
            <w:tcW w:w="4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40" w:type="dxa"/>
            <w:vAlign w:val="bottom"/>
            <w:shd w:val="clear" w:color="auto" w:fill="DDDDDD"/>
          </w:tcPr>
          <w:p>
            <w:pPr>
              <w:spacing w:after="0" w:line="20" w:lineRule="exact"/>
              <w:rPr>
                <w:sz w:val="1"/>
                <w:szCs w:val="1"/>
                <w:color w:val="auto"/>
              </w:rPr>
            </w:pPr>
          </w:p>
        </w:tc>
        <w:tc>
          <w:tcPr>
            <w:tcW w:w="82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260" w:type="dxa"/>
            <w:vAlign w:val="bottom"/>
            <w:shd w:val="clear" w:color="auto" w:fill="DDDDDD"/>
          </w:tcPr>
          <w:p>
            <w:pPr>
              <w:spacing w:after="0" w:line="20" w:lineRule="exact"/>
              <w:rPr>
                <w:sz w:val="1"/>
                <w:szCs w:val="1"/>
                <w:color w:val="auto"/>
              </w:rPr>
            </w:pPr>
          </w:p>
        </w:tc>
        <w:tc>
          <w:tcPr>
            <w:tcW w:w="80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720" w:type="dxa"/>
            <w:vAlign w:val="bottom"/>
            <w:shd w:val="clear" w:color="auto" w:fill="DDDDDD"/>
          </w:tcPr>
          <w:p>
            <w:pPr>
              <w:spacing w:after="0" w:line="20" w:lineRule="exact"/>
              <w:rPr>
                <w:sz w:val="1"/>
                <w:szCs w:val="1"/>
                <w:color w:val="auto"/>
              </w:rPr>
            </w:pPr>
          </w:p>
        </w:tc>
        <w:tc>
          <w:tcPr>
            <w:tcW w:w="340" w:type="dxa"/>
            <w:vAlign w:val="bottom"/>
            <w:shd w:val="clear" w:color="auto" w:fill="DDDDDD"/>
          </w:tcPr>
          <w:p>
            <w:pPr>
              <w:spacing w:after="0" w:line="20" w:lineRule="exact"/>
              <w:rPr>
                <w:sz w:val="1"/>
                <w:szCs w:val="1"/>
                <w:color w:val="auto"/>
              </w:rPr>
            </w:pPr>
          </w:p>
        </w:tc>
        <w:tc>
          <w:tcPr>
            <w:tcW w:w="20" w:type="dxa"/>
            <w:vAlign w:val="bottom"/>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2300" w:type="dxa"/>
            <w:vAlign w:val="bottom"/>
            <w:shd w:val="clear" w:color="auto" w:fill="DDDDDD"/>
          </w:tcPr>
          <w:p>
            <w:pPr>
              <w:spacing w:after="0" w:line="20" w:lineRule="exact"/>
              <w:rPr>
                <w:sz w:val="1"/>
                <w:szCs w:val="1"/>
                <w:color w:val="auto"/>
              </w:rPr>
            </w:pPr>
          </w:p>
        </w:tc>
        <w:tc>
          <w:tcPr>
            <w:tcW w:w="40" w:type="dxa"/>
            <w:vAlign w:val="bottom"/>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0" w:type="dxa"/>
            <w:vAlign w:val="bottom"/>
            <w:tcBorders>
              <w:bottom w:val="single" w:sz="8" w:color="DDDDDD"/>
            </w:tcBorders>
            <w:shd w:val="clear" w:color="auto" w:fill="DDDDDD"/>
          </w:tcPr>
          <w:p>
            <w:pPr>
              <w:spacing w:after="0"/>
              <w:rPr>
                <w:sz w:val="19"/>
                <w:szCs w:val="19"/>
                <w:color w:val="auto"/>
              </w:rPr>
            </w:pPr>
          </w:p>
        </w:tc>
        <w:tc>
          <w:tcPr>
            <w:tcW w:w="3400" w:type="dxa"/>
            <w:vAlign w:val="bottom"/>
            <w:gridSpan w:val="2"/>
            <w:vMerge w:val="continue"/>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2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72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20" w:type="dxa"/>
            <w:vAlign w:val="bottom"/>
            <w:tcBorders>
              <w:bottom w:val="single" w:sz="8" w:color="DDDDDD"/>
            </w:tcBorders>
            <w:shd w:val="clear" w:color="auto" w:fill="DDDDDD"/>
          </w:tcPr>
          <w:p>
            <w:pPr>
              <w:spacing w:after="0"/>
              <w:rPr>
                <w:sz w:val="19"/>
                <w:szCs w:val="19"/>
                <w:color w:val="auto"/>
              </w:rPr>
            </w:pPr>
          </w:p>
        </w:tc>
        <w:tc>
          <w:tcPr>
            <w:tcW w:w="60" w:type="dxa"/>
            <w:vAlign w:val="bottom"/>
            <w:tcBorders>
              <w:bottom w:val="single" w:sz="8" w:color="DDDDDD"/>
            </w:tcBorders>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2300" w:type="dxa"/>
            <w:vAlign w:val="bottom"/>
            <w:shd w:val="clear" w:color="auto" w:fill="DDDDDD"/>
          </w:tcPr>
          <w:p>
            <w:pPr>
              <w:spacing w:after="0"/>
              <w:rPr>
                <w:sz w:val="19"/>
                <w:szCs w:val="19"/>
                <w:color w:val="auto"/>
              </w:rPr>
            </w:pPr>
          </w:p>
        </w:tc>
        <w:tc>
          <w:tcPr>
            <w:tcW w:w="40" w:type="dxa"/>
            <w:vAlign w:val="bottom"/>
            <w:tcBorders>
              <w:bottom w:val="single" w:sz="8" w:color="DDDDDD"/>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0" w:type="dxa"/>
            <w:vAlign w:val="bottom"/>
          </w:tcPr>
          <w:p>
            <w:pPr>
              <w:spacing w:after="0"/>
              <w:rPr>
                <w:sz w:val="21"/>
                <w:szCs w:val="21"/>
                <w:color w:val="auto"/>
              </w:rPr>
            </w:pPr>
          </w:p>
        </w:tc>
        <w:tc>
          <w:tcPr>
            <w:tcW w:w="3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shd w:val="clear" w:color="auto" w:fill="DDDDDD"/>
          </w:tcPr>
          <w:p>
            <w:pPr>
              <w:spacing w:after="0"/>
              <w:rPr>
                <w:sz w:val="23"/>
                <w:szCs w:val="23"/>
                <w:color w:val="auto"/>
              </w:rPr>
            </w:pPr>
          </w:p>
        </w:tc>
        <w:tc>
          <w:tcPr>
            <w:tcW w:w="3440" w:type="dxa"/>
            <w:vAlign w:val="bottom"/>
            <w:gridSpan w:val="3"/>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380" w:type="dxa"/>
            <w:vAlign w:val="bottom"/>
            <w:gridSpan w:val="3"/>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51"/>
        </w:trPr>
        <w:tc>
          <w:tcPr>
            <w:tcW w:w="60" w:type="dxa"/>
            <w:vAlign w:val="bottom"/>
            <w:tcBorders>
              <w:top w:val="single" w:sz="8" w:color="DDDDDD"/>
              <w:bottom w:val="single" w:sz="8" w:color="DDDDDD"/>
            </w:tcBorders>
          </w:tcPr>
          <w:p>
            <w:pPr>
              <w:spacing w:after="0"/>
              <w:rPr>
                <w:sz w:val="21"/>
                <w:szCs w:val="21"/>
                <w:color w:val="auto"/>
              </w:rPr>
            </w:pPr>
          </w:p>
        </w:tc>
        <w:tc>
          <w:tcPr>
            <w:tcW w:w="3400" w:type="dxa"/>
            <w:vAlign w:val="bottom"/>
            <w:tcBorders>
              <w:bottom w:val="single" w:sz="8" w:color="DDDDDD"/>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Tax</w:t>
            </w:r>
          </w:p>
        </w:tc>
        <w:tc>
          <w:tcPr>
            <w:tcW w:w="40" w:type="dxa"/>
            <w:vAlign w:val="bottom"/>
            <w:tcBorders>
              <w:top w:val="single" w:sz="8" w:color="DDDDDD"/>
              <w:bottom w:val="single" w:sz="8" w:color="DDDDDD"/>
            </w:tcBorders>
          </w:tcPr>
          <w:p>
            <w:pPr>
              <w:spacing w:after="0"/>
              <w:rPr>
                <w:sz w:val="21"/>
                <w:szCs w:val="21"/>
                <w:color w:val="auto"/>
              </w:rPr>
            </w:pPr>
          </w:p>
        </w:tc>
        <w:tc>
          <w:tcPr>
            <w:tcW w:w="20" w:type="dxa"/>
            <w:vAlign w:val="bottom"/>
            <w:tcBorders>
              <w:top w:val="single" w:sz="8" w:color="DDDDDD"/>
              <w:bottom w:val="single" w:sz="8" w:color="DDDDD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DDDDDD"/>
              <w:bottom w:val="single" w:sz="8" w:color="auto"/>
            </w:tcBorders>
          </w:tcPr>
          <w:p>
            <w:pPr>
              <w:spacing w:after="0"/>
              <w:rPr>
                <w:sz w:val="21"/>
                <w:szCs w:val="21"/>
                <w:color w:val="auto"/>
              </w:rPr>
            </w:pPr>
          </w:p>
        </w:tc>
        <w:tc>
          <w:tcPr>
            <w:tcW w:w="40" w:type="dxa"/>
            <w:vAlign w:val="bottom"/>
            <w:tcBorders>
              <w:top w:val="single" w:sz="8" w:color="DDDDDD"/>
              <w:bottom w:val="single" w:sz="8" w:color="DDDDDD"/>
            </w:tcBorders>
          </w:tcPr>
          <w:p>
            <w:pPr>
              <w:spacing w:after="0"/>
              <w:rPr>
                <w:sz w:val="21"/>
                <w:szCs w:val="21"/>
                <w:color w:val="auto"/>
              </w:rPr>
            </w:pPr>
          </w:p>
        </w:tc>
        <w:tc>
          <w:tcPr>
            <w:tcW w:w="20" w:type="dxa"/>
            <w:vAlign w:val="bottom"/>
            <w:tcBorders>
              <w:top w:val="single" w:sz="8" w:color="DDDDDD"/>
              <w:bottom w:val="single" w:sz="8" w:color="DDDDD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DDDDDD"/>
              <w:bottom w:val="single" w:sz="8" w:color="auto"/>
            </w:tcBorders>
          </w:tcPr>
          <w:p>
            <w:pPr>
              <w:spacing w:after="0"/>
              <w:rPr>
                <w:sz w:val="21"/>
                <w:szCs w:val="21"/>
                <w:color w:val="auto"/>
              </w:rPr>
            </w:pPr>
          </w:p>
        </w:tc>
        <w:tc>
          <w:tcPr>
            <w:tcW w:w="60" w:type="dxa"/>
            <w:vAlign w:val="bottom"/>
            <w:tcBorders>
              <w:top w:val="single" w:sz="8" w:color="DDDDDD"/>
              <w:bottom w:val="single" w:sz="8" w:color="DDDDDD"/>
            </w:tcBorders>
          </w:tcPr>
          <w:p>
            <w:pPr>
              <w:spacing w:after="0"/>
              <w:rPr>
                <w:sz w:val="21"/>
                <w:szCs w:val="21"/>
                <w:color w:val="auto"/>
              </w:rPr>
            </w:pPr>
          </w:p>
        </w:tc>
        <w:tc>
          <w:tcPr>
            <w:tcW w:w="20" w:type="dxa"/>
            <w:vAlign w:val="bottom"/>
            <w:tcBorders>
              <w:top w:val="single" w:sz="8" w:color="DDDDDD"/>
              <w:bottom w:val="single" w:sz="8" w:color="DDDDDD"/>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DDDDDD"/>
              <w:bottom w:val="single" w:sz="8" w:color="auto"/>
            </w:tcBorders>
          </w:tcPr>
          <w:p>
            <w:pPr>
              <w:spacing w:after="0"/>
              <w:rPr>
                <w:sz w:val="21"/>
                <w:szCs w:val="21"/>
                <w:color w:val="auto"/>
              </w:rPr>
            </w:pPr>
          </w:p>
        </w:tc>
        <w:tc>
          <w:tcPr>
            <w:tcW w:w="60" w:type="dxa"/>
            <w:vAlign w:val="bottom"/>
            <w:tcBorders>
              <w:top w:val="single" w:sz="8" w:color="DDDDDD"/>
              <w:bottom w:val="single" w:sz="8" w:color="DDDDDD"/>
            </w:tcBorders>
          </w:tcPr>
          <w:p>
            <w:pPr>
              <w:spacing w:after="0"/>
              <w:rPr>
                <w:sz w:val="21"/>
                <w:szCs w:val="21"/>
                <w:color w:val="auto"/>
              </w:rPr>
            </w:pPr>
          </w:p>
        </w:tc>
        <w:tc>
          <w:tcPr>
            <w:tcW w:w="40" w:type="dxa"/>
            <w:vAlign w:val="bottom"/>
            <w:tcBorders>
              <w:top w:val="single" w:sz="8" w:color="DDDDDD"/>
              <w:bottom w:val="single" w:sz="8" w:color="DDDDDD"/>
            </w:tcBorders>
          </w:tcPr>
          <w:p>
            <w:pPr>
              <w:spacing w:after="0"/>
              <w:rPr>
                <w:sz w:val="21"/>
                <w:szCs w:val="21"/>
                <w:color w:val="auto"/>
              </w:rPr>
            </w:pPr>
          </w:p>
        </w:tc>
        <w:tc>
          <w:tcPr>
            <w:tcW w:w="2300" w:type="dxa"/>
            <w:vAlign w:val="bottom"/>
            <w:tcBorders>
              <w:bottom w:val="single" w:sz="8" w:color="DDDDDD"/>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Borders>
              <w:top w:val="single" w:sz="8" w:color="DDDDDD"/>
              <w:bottom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0" w:type="dxa"/>
            <w:vAlign w:val="bottom"/>
            <w:tcBorders>
              <w:bottom w:val="single" w:sz="8" w:color="DDDDDD"/>
            </w:tcBorders>
            <w:shd w:val="clear" w:color="auto" w:fill="DDDDDD"/>
          </w:tcPr>
          <w:p>
            <w:pPr>
              <w:spacing w:after="0"/>
              <w:rPr>
                <w:sz w:val="23"/>
                <w:szCs w:val="23"/>
                <w:color w:val="auto"/>
              </w:rPr>
            </w:pPr>
          </w:p>
        </w:tc>
        <w:tc>
          <w:tcPr>
            <w:tcW w:w="340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240" w:type="dxa"/>
            <w:vAlign w:val="bottom"/>
            <w:tcBorders>
              <w:bottom w:val="single" w:sz="8" w:color="auto"/>
            </w:tcBorders>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DDDDDD"/>
          </w:tcPr>
          <w:p>
            <w:pPr>
              <w:spacing w:after="0"/>
              <w:rPr>
                <w:sz w:val="23"/>
                <w:szCs w:val="23"/>
                <w:color w:val="auto"/>
              </w:rPr>
            </w:pP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DDDDDD"/>
            </w:tcBorders>
            <w:shd w:val="clear" w:color="auto" w:fill="DDDDDD"/>
          </w:tcPr>
          <w:p>
            <w:pPr>
              <w:spacing w:after="0"/>
              <w:rPr>
                <w:sz w:val="23"/>
                <w:szCs w:val="23"/>
                <w:color w:val="auto"/>
              </w:rPr>
            </w:pPr>
          </w:p>
        </w:tc>
        <w:tc>
          <w:tcPr>
            <w:tcW w:w="720" w:type="dxa"/>
            <w:vAlign w:val="bottom"/>
            <w:tcBorders>
              <w:bottom w:val="single" w:sz="8" w:color="auto"/>
            </w:tcBorders>
            <w:shd w:val="clear" w:color="auto" w:fill="DDDDDD"/>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40" w:type="dxa"/>
            <w:vAlign w:val="bottom"/>
            <w:tcBorders>
              <w:bottom w:val="single" w:sz="8" w:color="DDDDDD"/>
            </w:tcBorders>
            <w:shd w:val="clear" w:color="auto" w:fill="DDDDDD"/>
          </w:tcPr>
          <w:p>
            <w:pPr>
              <w:spacing w:after="0"/>
              <w:rPr>
                <w:sz w:val="23"/>
                <w:szCs w:val="23"/>
                <w:color w:val="auto"/>
              </w:rPr>
            </w:pPr>
          </w:p>
        </w:tc>
        <w:tc>
          <w:tcPr>
            <w:tcW w:w="23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net of income taxes</w:t>
            </w:r>
          </w:p>
        </w:tc>
        <w:tc>
          <w:tcPr>
            <w:tcW w:w="4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60" w:type="dxa"/>
            <w:vAlign w:val="bottom"/>
            <w:gridSpan w:val="4"/>
            <w:vMerge w:val="restart"/>
          </w:tcPr>
          <w:p>
            <w:pPr>
              <w:spacing w:after="0" w:line="175" w:lineRule="exact"/>
              <w:rPr>
                <w:sz w:val="20"/>
                <w:szCs w:val="20"/>
                <w:color w:val="auto"/>
              </w:rPr>
            </w:pPr>
            <w:r>
              <w:rPr>
                <w:rFonts w:ascii="Times New Roman" w:cs="Times New Roman" w:eastAsia="Times New Roman" w:hAnsi="Times New Roman"/>
                <w:sz w:val="18"/>
                <w:szCs w:val="18"/>
                <w:color w:val="auto"/>
              </w:rPr>
              <w:t>(Losses) gains on pension and postretirement</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0" w:type="dxa"/>
            <w:vAlign w:val="bottom"/>
          </w:tcPr>
          <w:p>
            <w:pPr>
              <w:spacing w:after="0"/>
              <w:rPr>
                <w:sz w:val="11"/>
                <w:szCs w:val="11"/>
                <w:color w:val="auto"/>
              </w:rPr>
            </w:pPr>
          </w:p>
        </w:tc>
        <w:tc>
          <w:tcPr>
            <w:tcW w:w="34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liability adjustments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60" w:type="dxa"/>
            <w:vAlign w:val="bottom"/>
            <w:shd w:val="clear" w:color="auto" w:fill="DDDDDD"/>
          </w:tcPr>
          <w:p>
            <w:pPr>
              <w:spacing w:after="0"/>
              <w:rPr>
                <w:sz w:val="23"/>
                <w:szCs w:val="23"/>
                <w:color w:val="auto"/>
              </w:rPr>
            </w:pPr>
          </w:p>
        </w:tc>
        <w:tc>
          <w:tcPr>
            <w:tcW w:w="3400" w:type="dxa"/>
            <w:vAlign w:val="bottom"/>
            <w:gridSpan w:val="2"/>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Prior service cost</w:t>
            </w: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720" w:type="dxa"/>
            <w:vAlign w:val="bottom"/>
            <w:shd w:val="clear" w:color="auto" w:fill="DDDDDD"/>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300" w:type="dxa"/>
            <w:vAlign w:val="bottom"/>
            <w:shd w:val="clear" w:color="auto" w:fill="DDDDDD"/>
          </w:tcPr>
          <w:p>
            <w:pPr>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60" w:type="dxa"/>
            <w:vAlign w:val="bottom"/>
          </w:tcPr>
          <w:p>
            <w:pPr>
              <w:spacing w:after="0"/>
              <w:rPr>
                <w:sz w:val="23"/>
                <w:szCs w:val="23"/>
                <w:color w:val="auto"/>
              </w:rPr>
            </w:pPr>
          </w:p>
        </w:tc>
        <w:tc>
          <w:tcPr>
            <w:tcW w:w="34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Actuarial losses</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0" w:type="dxa"/>
            <w:vAlign w:val="bottom"/>
            <w:shd w:val="clear" w:color="auto" w:fill="DDDDDD"/>
          </w:tcPr>
          <w:p>
            <w:pPr>
              <w:spacing w:after="0"/>
              <w:rPr>
                <w:sz w:val="23"/>
                <w:szCs w:val="23"/>
                <w:color w:val="auto"/>
              </w:rPr>
            </w:pPr>
          </w:p>
        </w:tc>
        <w:tc>
          <w:tcPr>
            <w:tcW w:w="3440" w:type="dxa"/>
            <w:vAlign w:val="bottom"/>
            <w:gridSpan w:val="3"/>
            <w:shd w:val="clear" w:color="auto" w:fill="DDDDDD"/>
          </w:tcPr>
          <w:p>
            <w:pPr>
              <w:ind w:left="320"/>
              <w:spacing w:after="0"/>
              <w:rPr>
                <w:sz w:val="20"/>
                <w:szCs w:val="20"/>
                <w:color w:val="auto"/>
              </w:rPr>
            </w:pPr>
            <w:r>
              <w:rPr>
                <w:rFonts w:ascii="Times New Roman" w:cs="Times New Roman" w:eastAsia="Times New Roman" w:hAnsi="Times New Roman"/>
                <w:sz w:val="18"/>
                <w:szCs w:val="18"/>
                <w:color w:val="auto"/>
              </w:rPr>
              <w:t>Other items</w:t>
            </w:r>
          </w:p>
        </w:tc>
        <w:tc>
          <w:tcPr>
            <w:tcW w:w="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3"/>
                <w:szCs w:val="23"/>
                <w:color w:val="auto"/>
              </w:rPr>
            </w:pPr>
          </w:p>
        </w:tc>
        <w:tc>
          <w:tcPr>
            <w:tcW w:w="4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0" w:type="dxa"/>
            <w:vAlign w:val="bottom"/>
            <w:shd w:val="clear" w:color="auto" w:fill="DDDDDD"/>
          </w:tcPr>
          <w:p>
            <w:pPr>
              <w:spacing w:after="0"/>
              <w:rPr>
                <w:sz w:val="23"/>
                <w:szCs w:val="23"/>
                <w:color w:val="auto"/>
              </w:rPr>
            </w:pPr>
          </w:p>
        </w:tc>
        <w:tc>
          <w:tcPr>
            <w:tcW w:w="720" w:type="dxa"/>
            <w:vAlign w:val="bottom"/>
            <w:shd w:val="clear" w:color="auto" w:fill="DDDDDD"/>
          </w:tcPr>
          <w:p>
            <w:pPr>
              <w:spacing w:after="0"/>
              <w:rPr>
                <w:sz w:val="23"/>
                <w:szCs w:val="23"/>
                <w:color w:val="auto"/>
              </w:rPr>
            </w:pPr>
          </w:p>
        </w:tc>
        <w:tc>
          <w:tcPr>
            <w:tcW w:w="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340" w:type="dxa"/>
            <w:vAlign w:val="bottom"/>
            <w:gridSpan w:val="2"/>
            <w:shd w:val="clear" w:color="auto" w:fill="DDDDDD"/>
          </w:tcPr>
          <w:p>
            <w:pPr>
              <w:ind w:left="40"/>
              <w:spacing w:after="0"/>
              <w:rPr>
                <w:sz w:val="20"/>
                <w:szCs w:val="20"/>
                <w:color w:val="auto"/>
              </w:rPr>
            </w:pPr>
            <w:r>
              <w:rPr>
                <w:rFonts w:ascii="Times New Roman" w:cs="Times New Roman" w:eastAsia="Times New Roman" w:hAnsi="Times New Roman"/>
                <w:sz w:val="12"/>
                <w:szCs w:val="12"/>
                <w:color w:val="auto"/>
              </w:rPr>
              <w:t>(2)</w:t>
            </w:r>
          </w:p>
        </w:tc>
        <w:tc>
          <w:tcPr>
            <w:tcW w:w="4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60" w:type="dxa"/>
            <w:vAlign w:val="bottom"/>
            <w:tcBorders>
              <w:bottom w:val="single" w:sz="8" w:color="DDDDDD"/>
            </w:tcBorders>
          </w:tcPr>
          <w:p>
            <w:pPr>
              <w:spacing w:after="0"/>
              <w:rPr>
                <w:sz w:val="23"/>
                <w:szCs w:val="23"/>
                <w:color w:val="auto"/>
              </w:rPr>
            </w:pPr>
          </w:p>
        </w:tc>
        <w:tc>
          <w:tcPr>
            <w:tcW w:w="3460" w:type="dxa"/>
            <w:vAlign w:val="bottom"/>
            <w:tcBorders>
              <w:bottom w:val="single" w:sz="8" w:color="DDDDDD"/>
            </w:tcBorders>
            <w:gridSpan w:val="4"/>
          </w:tcPr>
          <w:p>
            <w:pPr>
              <w:ind w:left="320"/>
              <w:spacing w:after="0"/>
              <w:rPr>
                <w:sz w:val="20"/>
                <w:szCs w:val="20"/>
                <w:color w:val="auto"/>
              </w:rPr>
            </w:pPr>
            <w:r>
              <w:rPr>
                <w:rFonts w:ascii="Times New Roman" w:cs="Times New Roman" w:eastAsia="Times New Roman" w:hAnsi="Times New Roman"/>
                <w:sz w:val="18"/>
                <w:szCs w:val="18"/>
                <w:color w:val="auto"/>
              </w:rPr>
              <w:t>Tax</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0" w:type="dxa"/>
            <w:vAlign w:val="bottom"/>
            <w:tcBorders>
              <w:bottom w:val="single" w:sz="8" w:color="DDDDDD"/>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tcPr>
          <w:p>
            <w:pPr>
              <w:spacing w:after="0"/>
              <w:rPr>
                <w:sz w:val="23"/>
                <w:szCs w:val="23"/>
                <w:color w:val="auto"/>
              </w:rPr>
            </w:pPr>
          </w:p>
        </w:tc>
        <w:tc>
          <w:tcPr>
            <w:tcW w:w="60" w:type="dxa"/>
            <w:vAlign w:val="bottom"/>
            <w:tcBorders>
              <w:bottom w:val="single" w:sz="8" w:color="DDDDDD"/>
            </w:tcBorders>
          </w:tcPr>
          <w:p>
            <w:pPr>
              <w:spacing w:after="0"/>
              <w:rPr>
                <w:sz w:val="23"/>
                <w:szCs w:val="23"/>
                <w:color w:val="auto"/>
              </w:rPr>
            </w:pPr>
          </w:p>
        </w:tc>
        <w:tc>
          <w:tcPr>
            <w:tcW w:w="2380" w:type="dxa"/>
            <w:vAlign w:val="bottom"/>
            <w:tcBorders>
              <w:bottom w:val="single" w:sz="8" w:color="DDDDDD"/>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56"/>
        </w:trPr>
        <w:tc>
          <w:tcPr>
            <w:tcW w:w="60" w:type="dxa"/>
            <w:vAlign w:val="bottom"/>
            <w:shd w:val="clear" w:color="auto" w:fill="DDDDDD"/>
          </w:tcPr>
          <w:p>
            <w:pPr>
              <w:spacing w:after="0"/>
              <w:rPr>
                <w:sz w:val="22"/>
                <w:szCs w:val="22"/>
                <w:color w:val="auto"/>
              </w:rPr>
            </w:pPr>
          </w:p>
        </w:tc>
        <w:tc>
          <w:tcPr>
            <w:tcW w:w="340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720" w:type="dxa"/>
            <w:vAlign w:val="bottom"/>
            <w:tcBorders>
              <w:bottom w:val="single" w:sz="8" w:color="auto"/>
            </w:tcBorders>
            <w:shd w:val="clear" w:color="auto" w:fill="DDDDDD"/>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auto"/>
            </w:tcBorders>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40" w:type="dxa"/>
            <w:vAlign w:val="bottom"/>
            <w:shd w:val="clear" w:color="auto" w:fill="DDDDDD"/>
          </w:tcPr>
          <w:p>
            <w:pPr>
              <w:spacing w:after="0"/>
              <w:rPr>
                <w:sz w:val="22"/>
                <w:szCs w:val="22"/>
                <w:color w:val="auto"/>
              </w:rPr>
            </w:pPr>
          </w:p>
        </w:tc>
        <w:tc>
          <w:tcPr>
            <w:tcW w:w="230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Total, net of income taxes</w:t>
            </w:r>
          </w:p>
        </w:tc>
        <w:tc>
          <w:tcPr>
            <w:tcW w:w="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60" w:type="dxa"/>
            <w:vAlign w:val="bottom"/>
            <w:gridSpan w:val="3"/>
            <w:vMerge w:val="restart"/>
          </w:tcPr>
          <w:p>
            <w:pPr>
              <w:jc w:val="right"/>
              <w:ind w:right="1360"/>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4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2226945</wp:posOffset>
                </wp:positionH>
                <wp:positionV relativeFrom="paragraph">
                  <wp:posOffset>-1281430</wp:posOffset>
                </wp:positionV>
                <wp:extent cx="68643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4763"/>
                        </a:xfrm>
                        <a:prstGeom prst="line">
                          <a:avLst/>
                        </a:prstGeom>
                        <a:solidFill>
                          <a:srgbClr val="FFFFFF"/>
                        </a:solidFill>
                        <a:ln w="2781">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35pt,-100.8999pt" to="229.4pt,-100.8999pt" o:allowincell="f" strokecolor="#FFFFFF" strokeweight="0.219pt"/>
            </w:pict>
          </mc:Fallback>
        </mc:AlternateContent>
        <mc:AlternateContent>
          <mc:Choice Requires="wps">
            <w:drawing>
              <wp:anchor simplePos="0" relativeHeight="251657728" behindDoc="1" locked="0" layoutInCell="0" allowOverlap="1">
                <wp:simplePos x="0" y="0"/>
                <wp:positionH relativeFrom="column">
                  <wp:posOffset>2957830</wp:posOffset>
                </wp:positionH>
                <wp:positionV relativeFrom="paragraph">
                  <wp:posOffset>-1281430</wp:posOffset>
                </wp:positionV>
                <wp:extent cx="68326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260" cy="4763"/>
                        </a:xfrm>
                        <a:prstGeom prst="line">
                          <a:avLst/>
                        </a:prstGeom>
                        <a:solidFill>
                          <a:srgbClr val="FFFFFF"/>
                        </a:solidFill>
                        <a:ln w="2781">
                          <a:solidFill>
                            <a:srgbClr val="FFFFFF"/>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9pt,-100.8999pt" to="286.7pt,-100.8999pt" o:allowincell="f" strokecolor="#FFFFFF" strokeweight="0.219pt"/>
            </w:pict>
          </mc:Fallback>
        </mc:AlternateContent>
        <mc:AlternateContent>
          <mc:Choice Requires="wps">
            <w:drawing>
              <wp:anchor simplePos="0" relativeHeight="251657728" behindDoc="1" locked="0" layoutInCell="0" allowOverlap="1">
                <wp:simplePos x="0" y="0"/>
                <wp:positionH relativeFrom="column">
                  <wp:posOffset>3685540</wp:posOffset>
                </wp:positionH>
                <wp:positionV relativeFrom="paragraph">
                  <wp:posOffset>-1281430</wp:posOffset>
                </wp:positionV>
                <wp:extent cx="68643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4763"/>
                        </a:xfrm>
                        <a:prstGeom prst="line">
                          <a:avLst/>
                        </a:prstGeom>
                        <a:solidFill>
                          <a:srgbClr val="FFFFFF"/>
                        </a:solidFill>
                        <a:ln w="2781">
                          <a:solidFill>
                            <a:srgbClr val="FFFFFF"/>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0.2pt,-100.8999pt" to="344.25pt,-100.8999pt" o:allowincell="f" strokecolor="#FFFFFF" strokeweight="0.219pt"/>
            </w:pict>
          </mc:Fallback>
        </mc:AlternateContent>
      </w:r>
    </w:p>
    <w:p>
      <w:pPr>
        <w:spacing w:after="0" w:line="9" w:lineRule="exact"/>
        <w:rPr>
          <w:sz w:val="20"/>
          <w:szCs w:val="20"/>
          <w:color w:val="auto"/>
        </w:rPr>
      </w:pPr>
    </w:p>
    <w:p>
      <w:pPr>
        <w:ind w:left="340" w:hanging="334"/>
        <w:spacing w:after="0" w:line="270" w:lineRule="auto"/>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amortization of prior service cost and actuarial loss is included in the computation of net periodic benefit cost. Refer to Note 15 to the Consolidated Financial Statements for additional information regarding net periodic benefit cost.</w:t>
      </w:r>
    </w:p>
    <w:p>
      <w:pPr>
        <w:spacing w:after="0" w:line="6"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certain amounts of pension income that were corrected in 2021.</w:t>
      </w:r>
    </w:p>
    <w:p>
      <w:pPr>
        <w:spacing w:after="0" w:line="2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tab/>
        <w:t>CONCENTRATIONS OF CREDIT RISK</w:t>
      </w:r>
    </w:p>
    <w:p>
      <w:pPr>
        <w:spacing w:after="0" w:line="124"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 across many sub-categories of its segments and geographical regions. The Company had no customer that accounted for more than 10% of its consolidated net sales for the years ended 2022, 2021 and 2020.</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104</w:t>
      </w:r>
    </w:p>
    <w:p>
      <w:pPr>
        <w:sectPr>
          <w:pgSz w:w="11880" w:h="15480" w:orient="portrait"/>
          <w:cols w:equalWidth="0" w:num="1">
            <w:col w:w="9360"/>
          </w:cols>
          <w:pgMar w:left="1260" w:top="1303" w:right="1260" w:bottom="254" w:gutter="0" w:footer="0" w:header="0"/>
          <w:type w:val="continuous"/>
        </w:sectPr>
      </w:pPr>
    </w:p>
    <w:bookmarkStart w:id="111" w:name="page112"/>
    <w:bookmarkEnd w:id="111"/>
    <w:p>
      <w:pPr>
        <w:spacing w:after="0" w:line="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19.</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Letters of Credit</w:t>
      </w:r>
    </w:p>
    <w:p>
      <w:pPr>
        <w:spacing w:after="0" w:line="124"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The Company has various bank guarantees, letters of credit and surety bonds which are available for use to support its ongoing business operations, satisfy governmental requirements associated with pending litigation in various jurisdictions and the payment of customs duties.</w:t>
      </w:r>
    </w:p>
    <w:p>
      <w:pPr>
        <w:spacing w:after="0" w:line="52"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At December 31, 2022, the Company had total bank guarantees, commercial guarantees, standby letters of credit and surety bonds of approximately $434 million with various financial institutions. Included in the above aggregate amount was a total of approximately $14 million for other assessments in Brazil for various income tax and indirect tax disputes related to fiscal years 1998-2011. There was a total of approximately $116 million outstanding under the bank guarantees, standby letters of credit and commercial guarantees as of December 31, 2022.</w:t>
      </w:r>
    </w:p>
    <w:p>
      <w:pPr>
        <w:spacing w:after="0" w:line="6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In order to challenge the assessments in these cases in Brazil, the Company has been required to, and has separately pledged assets, principally property, plant and equipment, to cover assessments in the amount of approximately $8 million as of December 31, 2022.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124" w:lineRule="exact"/>
        <w:rPr>
          <w:sz w:val="20"/>
          <w:szCs w:val="20"/>
          <w:color w:val="auto"/>
        </w:rPr>
      </w:pPr>
    </w:p>
    <w:p>
      <w:pPr>
        <w:jc w:val="both"/>
        <w:ind w:firstLine="328"/>
        <w:spacing w:after="0" w:line="263" w:lineRule="auto"/>
        <w:rPr>
          <w:sz w:val="20"/>
          <w:szCs w:val="20"/>
          <w:color w:val="auto"/>
        </w:rPr>
      </w:pPr>
      <w:r>
        <w:rPr>
          <w:rFonts w:ascii="Times New Roman" w:cs="Times New Roman" w:eastAsia="Times New Roman" w:hAnsi="Times New Roman"/>
          <w:sz w:val="18"/>
          <w:szCs w:val="18"/>
          <w:color w:val="auto"/>
        </w:rPr>
        <w:t>The Company has various lines of credit which are available to support its ongoing business operations. As of December 31, 2022, the Company had available lines of credit of approximately $1.859 billion with various financial institutions, in addition to the $902 million of capacity under the Credit Facility. There were total draw downs of approximately $297 million pursuant to these lines of credit as of December 31, 2022, including approximately $187 million related to the issuance of commercial paper and $100 million related to borrowings under the Amended Revolving Credit Facility. Refer to Note 9 for additional information.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4"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65"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880" w:h="15480" w:orient="portrait"/>
          <w:cols w:equalWidth="0" w:num="1">
            <w:col w:w="9360"/>
          </w:cols>
          <w:pgMar w:left="1260" w:top="1440" w:right="1260" w:bottom="254"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118" w:lineRule="exact"/>
        <w:rPr>
          <w:sz w:val="20"/>
          <w:szCs w:val="20"/>
          <w:color w:val="auto"/>
        </w:rPr>
      </w:pPr>
    </w:p>
    <w:p>
      <w:pPr>
        <w:jc w:val="both"/>
        <w:ind w:firstLine="329"/>
        <w:spacing w:after="0" w:line="256" w:lineRule="auto"/>
        <w:rPr>
          <w:sz w:val="20"/>
          <w:szCs w:val="20"/>
          <w:color w:val="auto"/>
        </w:rPr>
      </w:pPr>
      <w:r>
        <w:rPr>
          <w:rFonts w:ascii="Times New Roman" w:cs="Times New Roman" w:eastAsia="Times New Roman" w:hAnsi="Times New Roman"/>
          <w:sz w:val="18"/>
          <w:szCs w:val="18"/>
          <w:color w:val="auto"/>
        </w:rPr>
        <w:t xml:space="preserve">On August 12, 2019, Marc Jansen filed a putative securities class action against IFF, its then Chairman and CEO, and its then-CFO, in the United States District Court for the Southern District of New York. The lawsuit was filed after IFF disclosed that preliminary results of investigations indicated that Frutarom businesses operating principally in Russia and Ukraine had made improper payments to representatives of customers. On March 16, 2020, an amended complaint was filed, which added Frutarom and certain former officers of Frutarom as defendants. The amended complaint alleges, among other things, that defendants made materially false and misleading statements or omissions concerning IFF’s acquisition of Frutarom, the integration of the two companies, and the companies’ financial reporting and results. The amended complaint asserts claims under Section 10(b) of the Securities Exchange Act of 1934 and SEC Rule 10b-5, and under the Israeli Securities Act-1968, against all defendants, and under Section 20(a) of the Securities Exchange Act of 1934 against the individual defendants, on behalf of a putative class of persons and entities who purchased or otherwise acquired IFF securities on the New York Stock Exchange between May 7, 2018 and August 12, 2019 and persons and entities who purchased or otherwise acquired IFF securities on the Tel Aviv Stock Exchange between October 9, 2018 and August 12, 2019. The amended complaint seeks an award of unspecified compensatory damages, costs, and expenses. IFF, its officers, and Frutarom filed a motion to dismiss the case on June 26, 2020, which was granted on March 30, 2021. On April 28, 2021, lead plaintiffs filed a notice of appeal to the United States Court of Appeals for the Second Circuit. Lead plaintiffs are pursuing the appeal only against Frutarom and certain former officers of Frutarom. The parties have submitted their briefs to the Court of Appeals. The Second Circuit held oral argument on February 10, 2022. On September 30, 2022, the Second Circuit affirmed the dismissal of Plaintiffs' claims. On October 14, 2022, Plaintiffs filed a Petition for Rehearing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which the Second Circuit denied on January 4, 2023.</w:t>
      </w:r>
    </w:p>
    <w:p>
      <w:pPr>
        <w:spacing w:after="0" w:line="74" w:lineRule="exact"/>
        <w:rPr>
          <w:sz w:val="20"/>
          <w:szCs w:val="20"/>
          <w:color w:val="auto"/>
        </w:rPr>
      </w:pPr>
    </w:p>
    <w:p>
      <w:pPr>
        <w:jc w:val="both"/>
        <w:ind w:firstLine="329"/>
        <w:spacing w:after="0" w:line="256" w:lineRule="auto"/>
        <w:rPr>
          <w:sz w:val="20"/>
          <w:szCs w:val="20"/>
          <w:color w:val="auto"/>
        </w:rPr>
      </w:pPr>
      <w:r>
        <w:rPr>
          <w:rFonts w:ascii="Times New Roman" w:cs="Times New Roman" w:eastAsia="Times New Roman" w:hAnsi="Times New Roman"/>
          <w:sz w:val="18"/>
          <w:szCs w:val="18"/>
          <w:color w:val="auto"/>
        </w:rPr>
        <w:t>Two motions to approve securities class actions were filed in the Tel Aviv District Court, Israel, in August 2019, similarly alleging, among other things, false and misleading statements largely in connection with IFF’s acquisition of Frutarom and the above-mentioned improper payments. One motion (“Borg”) asserts claims under the U.S. federal securities laws against IFF, its former Chairman and CEO, and its former CFO. On November 8, 2020, IFF and its officers filed their response to the Borg motion. On April 20, 2021, Mr. Borg filed a motion to stay the proceeding pending an appellate decision in the U.S. proceeding. On June 15, 2021, August 11, 2021, November 9, 2021, January 9, 2022, April 7, 2022 and July 10, 2022, the U.S. lead plaintiffs filed update notices with the Israeli court regarding the appeal in the U.S. proceeding. The other motion (“Oman”) (following an initial amendment) asserted claims under the Israeli Securities Act-1968 against IFF, its former Chairman and CEO, and its former CFO, and against Frutarom and certain former Frutarom officers and directors, as well as claims under the Israeli Companies Act-1999 against certain former Frutarom officers and directors. On February 17, 2021, the court granted a motion by the Oman plaintiff to remove IFF and its officers from the motion and to add factual allegations from the US amended complaint. The amended Oman motion was filed on July 4, 2021. On August 29, 2021, the former Frutarom officers and certain former Frutarom directors filed a motion to dismiss the case. On September 30, 2021, Frutarom notified the court that it joins the legal arguments made in the motion to dismiss. On February 22, 2022, the court denied the motion to dismiss. On July 14, 2022, the court approved the parties’ motion to mediate the dispute, which postpones all case deadlines until after the mediation. Also stayed is a request to appeal the court’s denial of the motion to dismiss filed by the former Frutarom officers and certain former Frutarom directors. The parties held the first of multiple mediation meetings on September 13, 2022 and November 22, 2022.</w:t>
      </w:r>
    </w:p>
    <w:p>
      <w:pPr>
        <w:spacing w:after="0" w:line="295" w:lineRule="exact"/>
        <w:rPr>
          <w:sz w:val="20"/>
          <w:szCs w:val="20"/>
          <w:color w:val="auto"/>
        </w:rPr>
      </w:pPr>
    </w:p>
    <w:p>
      <w:pPr>
        <w:jc w:val="both"/>
        <w:ind w:firstLine="328"/>
        <w:spacing w:after="0" w:line="261" w:lineRule="auto"/>
        <w:rPr>
          <w:sz w:val="20"/>
          <w:szCs w:val="20"/>
          <w:color w:val="auto"/>
        </w:rPr>
      </w:pPr>
      <w:r>
        <w:rPr>
          <w:rFonts w:ascii="Times New Roman" w:cs="Times New Roman" w:eastAsia="Times New Roman" w:hAnsi="Times New Roman"/>
          <w:sz w:val="18"/>
          <w:szCs w:val="18"/>
          <w:color w:val="auto"/>
        </w:rPr>
        <w:t>On October 29, 2019, IFF and Frutarom filed a claim in the Tel Aviv District Court, Israel, against Ori Yehudai, the former President and CEO of Frutarom, and against certain former directors of Frutarom, challenging the bonus of US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 The parties agreed, pursuant to the court’s recommendation, to attempt to resolve the dispute through mediation, and a court decision is pending with regard to the order in which this claim and the class action described below will be heard.</w:t>
      </w:r>
    </w:p>
    <w:p>
      <w:pPr>
        <w:spacing w:after="0" w:line="65" w:lineRule="exact"/>
        <w:rPr>
          <w:sz w:val="20"/>
          <w:szCs w:val="20"/>
          <w:color w:val="auto"/>
        </w:rPr>
      </w:pPr>
    </w:p>
    <w:p>
      <w:pPr>
        <w:jc w:val="both"/>
        <w:ind w:firstLine="329"/>
        <w:spacing w:after="0" w:line="259" w:lineRule="auto"/>
        <w:rPr>
          <w:sz w:val="20"/>
          <w:szCs w:val="20"/>
          <w:color w:val="auto"/>
        </w:rPr>
      </w:pPr>
      <w:r>
        <w:rPr>
          <w:rFonts w:ascii="Times New Roman" w:cs="Times New Roman" w:eastAsia="Times New Roman" w:hAnsi="Times New Roman"/>
          <w:sz w:val="18"/>
          <w:szCs w:val="18"/>
          <w:color w:val="auto"/>
        </w:rPr>
        <w:t>On March 11, 2020, an IFF shareholder filed a motion to approve a class action in Israel against, among others, Frutarom, Yehudai, and Frutarom’s former board of directors, alleging that former minority shareholders of Frutarom were harmed as a result of the US $20 million bonus paid to Yehudai. The parties to this motion agreed to attempt to resolve the dispute through mediation to take place regarding the aforesaid claim against Yehudai. On July 27, 2021, counsel to the movant in the class action filed a notice with the court that the mediation process ended without an agreement. On August 26, 2021, a motion to dismiss the class action application was filed by Yehudai and certain former directors of Frutarom. On September 9, 2021, an additional motion to dismiss was filed by other former directors of Frutarom together with ICC Industries, Inc. and its affiliates. On December 9, 2021, the court denied the motions to dismiss. Responses to the class action motion were filed in May 2022, and applicant’s response was filed in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ectPr>
          <w:pgSz w:w="11880" w:h="15480" w:orient="portrait"/>
          <w:cols w:equalWidth="0" w:num="1">
            <w:col w:w="9360"/>
          </w:cols>
          <w:pgMar w:left="1260" w:top="1258" w:right="1260" w:bottom="254"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Investigation</w:t>
      </w:r>
    </w:p>
    <w:p>
      <w:pPr>
        <w:spacing w:after="0" w:line="118" w:lineRule="exact"/>
        <w:rPr>
          <w:sz w:val="20"/>
          <w:szCs w:val="20"/>
          <w:color w:val="auto"/>
        </w:rPr>
      </w:pPr>
    </w:p>
    <w:p>
      <w:pPr>
        <w:jc w:val="both"/>
        <w:ind w:firstLine="329"/>
        <w:spacing w:after="0" w:line="259" w:lineRule="auto"/>
        <w:rPr>
          <w:sz w:val="20"/>
          <w:szCs w:val="20"/>
          <w:color w:val="auto"/>
        </w:rPr>
      </w:pPr>
      <w:r>
        <w:rPr>
          <w:rFonts w:ascii="Times New Roman" w:cs="Times New Roman" w:eastAsia="Times New Roman" w:hAnsi="Times New Roman"/>
          <w:sz w:val="18"/>
          <w:szCs w:val="18"/>
          <w:color w:val="auto"/>
        </w:rPr>
        <w:t>On June 3, 2020, the Israel Police’s National Fraud Investigation Unit and the Israeli Securities Authority commenced an investigation into Frutarom and certain of its former executives, based on suspected bribery of foreign officials, money laundering, and violations of the Israeli Securities Act-1968. As part of the investigation, the National Fraud Investigation Unit and the Israeli Securities Authority have provided IFF and Frutarom with various orders, mainly requesting that IFF and Frutarom provide certain documents and materials. In addition, a seizure of assets was imposed on Frutarom and certain of its affiliates. IFF has been working to ensure compliance with such orders, all in accordance with, and subject to, Israeli law. On August 25, 2021, the Israeli Police informed Frutarom that they have decided to remove the temporary criminal seizure of assets order from the real estate assets of Frutarom and its related companies, which was done in parallel with the transfer of the case to the District Attorney’s Office in Israel.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 Facilities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Hangzhou Ingredients Plant</w:t>
      </w:r>
    </w:p>
    <w:p>
      <w:pPr>
        <w:spacing w:after="0" w:line="118" w:lineRule="exact"/>
        <w:rPr>
          <w:sz w:val="20"/>
          <w:szCs w:val="20"/>
          <w:color w:val="auto"/>
        </w:rPr>
      </w:pPr>
    </w:p>
    <w:p>
      <w:pPr>
        <w:jc w:val="both"/>
        <w:ind w:firstLine="328"/>
        <w:spacing w:after="0" w:line="260" w:lineRule="auto"/>
        <w:rPr>
          <w:sz w:val="20"/>
          <w:szCs w:val="20"/>
          <w:color w:val="auto"/>
        </w:rPr>
      </w:pPr>
      <w:r>
        <w:rPr>
          <w:rFonts w:ascii="Times New Roman" w:cs="Times New Roman" w:eastAsia="Times New Roman" w:hAnsi="Times New Roman"/>
          <w:sz w:val="18"/>
          <w:szCs w:val="18"/>
          <w:color w:val="auto"/>
        </w:rPr>
        <w:t>As previously disclosed, in 2014 the Company agreed to relocate an ingredients facility in Hangzhou, China to Jiande, China. In connection with such relocation, the Company entered into a land swap and relocation agreement with the local authority pursuant to which the Company agreed to transfer ownership of the land underlying the facility in exchange for various elements of compensation, including cash and land use rights for the new facility. The Company initially determined that the gain, if any, would be recognized upon final transfer of ownership. During the fourth quarter of 2019, the Company completed the final environmental cleanup activities and transferred ownership of the land to the local authority. The amount of the gain ultimately recognized in the fourth quarter of 2019 was $4 million. The amount was recorded as a component of Other income, net.</w:t>
      </w:r>
    </w:p>
    <w:p>
      <w:pPr>
        <w:spacing w:after="0" w:line="66" w:lineRule="exact"/>
        <w:rPr>
          <w:sz w:val="20"/>
          <w:szCs w:val="20"/>
          <w:color w:val="auto"/>
        </w:rPr>
      </w:pPr>
    </w:p>
    <w:p>
      <w:pPr>
        <w:ind w:right="1280" w:firstLine="329"/>
        <w:spacing w:after="0" w:line="380" w:lineRule="auto"/>
        <w:rPr>
          <w:sz w:val="20"/>
          <w:szCs w:val="20"/>
          <w:color w:val="auto"/>
        </w:rPr>
      </w:pPr>
      <w:r>
        <w:rPr>
          <w:rFonts w:ascii="Times New Roman" w:cs="Times New Roman" w:eastAsia="Times New Roman" w:hAnsi="Times New Roman"/>
          <w:sz w:val="18"/>
          <w:szCs w:val="18"/>
          <w:color w:val="auto"/>
        </w:rPr>
        <w:t xml:space="preserve">The net book value of the plant in Jiande, China was approximately $59 million as of December 31, 2022. </w:t>
      </w:r>
      <w:r>
        <w:rPr>
          <w:rFonts w:ascii="Times New Roman" w:cs="Times New Roman" w:eastAsia="Times New Roman" w:hAnsi="Times New Roman"/>
          <w:sz w:val="18"/>
          <w:szCs w:val="18"/>
          <w:i w:val="1"/>
          <w:iCs w:val="1"/>
          <w:color w:val="auto"/>
        </w:rPr>
        <w:t>Guangzhou Taste Plant</w:t>
      </w:r>
    </w:p>
    <w:p>
      <w:pPr>
        <w:spacing w:after="0" w:line="1"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During the fourth quarter of 2016, the Company was notified that certain governmental authorities have begun to evaluate a change in the zoning of the Guangzhou Taste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 To address the governmental authorities' requirements, the Company has been transferring certain production capabilities from the Guangzhou Taste plant to a newly built facility in Zhangjiagang.</w:t>
      </w:r>
    </w:p>
    <w:p>
      <w:pPr>
        <w:spacing w:after="0" w:line="66" w:lineRule="exact"/>
        <w:rPr>
          <w:sz w:val="20"/>
          <w:szCs w:val="20"/>
          <w:color w:val="auto"/>
        </w:rPr>
      </w:pPr>
    </w:p>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The net book value of the Guangzhou and Zhangjiagang Taste plants was approximately $51 million and $37 million, respectively, as of December 31, 2022.</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Guangzhou Scent Plant</w:t>
      </w:r>
    </w:p>
    <w:p>
      <w:pPr>
        <w:spacing w:after="0" w:line="118"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During the second quarter of 2019, the Company was notified that certain governmental authorities had changed the zoning where the Guangzhou Scent plant is located. The zoning change did not affect the current operations but prevents expansions or other increases in the operating capacity of the plant. The Company believes that it is possible that the zoning may be enforced in the future such that it would not be able to continue manufacturing at the existing site. The ultimate outcome of any change that the governmental authorities may propose, the timing of such a change, and the nature of any compensation arrangements that might be provided to the Company are uncertain.</w:t>
      </w:r>
    </w:p>
    <w:p>
      <w:pPr>
        <w:spacing w:after="0" w:line="66" w:lineRule="exact"/>
        <w:rPr>
          <w:sz w:val="20"/>
          <w:szCs w:val="20"/>
          <w:color w:val="auto"/>
        </w:rPr>
      </w:pPr>
    </w:p>
    <w:p>
      <w:pPr>
        <w:ind w:right="1260" w:firstLine="328"/>
        <w:spacing w:after="0" w:line="380" w:lineRule="auto"/>
        <w:rPr>
          <w:sz w:val="20"/>
          <w:szCs w:val="20"/>
          <w:color w:val="auto"/>
        </w:rPr>
      </w:pPr>
      <w:r>
        <w:rPr>
          <w:rFonts w:ascii="Times New Roman" w:cs="Times New Roman" w:eastAsia="Times New Roman" w:hAnsi="Times New Roman"/>
          <w:sz w:val="18"/>
          <w:szCs w:val="18"/>
          <w:color w:val="auto"/>
        </w:rPr>
        <w:t xml:space="preserve">The net book value of the Guangzhou Scent plant was approximately $7 million as of December 31, 2022. </w:t>
      </w:r>
      <w:r>
        <w:rPr>
          <w:rFonts w:ascii="Times New Roman" w:cs="Times New Roman" w:eastAsia="Times New Roman" w:hAnsi="Times New Roman"/>
          <w:sz w:val="18"/>
          <w:szCs w:val="18"/>
          <w:i w:val="1"/>
          <w:iCs w:val="1"/>
          <w:color w:val="auto"/>
        </w:rPr>
        <w:t>Zhejiang Ingredients Plant</w:t>
      </w:r>
    </w:p>
    <w:p>
      <w:pPr>
        <w:spacing w:after="0" w:line="1" w:lineRule="exact"/>
        <w:rPr>
          <w:sz w:val="20"/>
          <w:szCs w:val="20"/>
          <w:color w:val="auto"/>
        </w:rPr>
      </w:pPr>
    </w:p>
    <w:p>
      <w:pPr>
        <w:jc w:val="both"/>
        <w:ind w:firstLine="328"/>
        <w:spacing w:after="0" w:line="262" w:lineRule="auto"/>
        <w:rPr>
          <w:sz w:val="20"/>
          <w:szCs w:val="20"/>
          <w:color w:val="auto"/>
        </w:rPr>
      </w:pPr>
      <w:r>
        <w:rPr>
          <w:rFonts w:ascii="Times New Roman" w:cs="Times New Roman" w:eastAsia="Times New Roman" w:hAnsi="Times New Roman"/>
          <w:sz w:val="18"/>
          <w:szCs w:val="18"/>
          <w:color w:val="auto"/>
        </w:rPr>
        <w:t>In the fourth quarter of 2017, the Company concluded discussions with the government regarding the relocation of its Fragrance Ingredients plant in Zhejiang and, based on the agreements reached, expects to receive total compensation payments up to approximately $50 million. The relocation compensation will be paid to the Company over the period of the relocation. The Company received payments totaling $30 million through the end of 2019. In the third quarter of 2020, the Company received a payment of approximately $13 million. A final payment is expected to be received in March 2023 upon final delivery of the land to the government.</w:t>
      </w:r>
    </w:p>
    <w:p>
      <w:pPr>
        <w:spacing w:after="0" w:line="66"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Production at the facility ceased during 2019. In the second quarter of 2020, the Company transferred ownership of the site to the government. The land remediation activities have been completed in November 2022, however the Company is still in process of completing the final land restoration activities in order to restore the land to its original height, per the government’s request. This process is expected to be completed in February 2023 and final delivery of the land to the government is expected to be completed in March 2023.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ectPr>
          <w:pgSz w:w="11880" w:h="15480" w:orient="portrait"/>
          <w:cols w:equalWidth="0" w:num="1">
            <w:col w:w="9360"/>
          </w:cols>
          <w:pgMar w:left="1260" w:top="1258" w:right="1260" w:bottom="254" w:gutter="0" w:footer="0" w:header="0"/>
        </w:sectPr>
      </w:pPr>
    </w:p>
    <w:bookmarkStart w:id="114" w:name="page115"/>
    <w:bookmarkEnd w:id="114"/>
    <w:p>
      <w:pPr>
        <w:jc w:val="both"/>
        <w:ind w:firstLine="328"/>
        <w:spacing w:after="0" w:line="300" w:lineRule="auto"/>
        <w:rPr>
          <w:sz w:val="20"/>
          <w:szCs w:val="20"/>
          <w:color w:val="auto"/>
        </w:rPr>
      </w:pPr>
      <w:r>
        <w:rPr>
          <w:rFonts w:ascii="Times New Roman" w:cs="Times New Roman" w:eastAsia="Times New Roman" w:hAnsi="Times New Roman"/>
          <w:sz w:val="18"/>
          <w:szCs w:val="18"/>
          <w:color w:val="auto"/>
        </w:rPr>
        <w:t>During the second quarter of 2020, the remaining net book value of the plant was written off. Products previously manufactured at the Zhejiang Ingredients plant are now being produced at the Company’s Ingredients plant in Jiande.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China Operations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net book value of all plants in China was approximately $243 million as of December 31, 2022.</w:t>
      </w:r>
    </w:p>
    <w:p>
      <w:pPr>
        <w:spacing w:after="0" w:line="121" w:lineRule="exact"/>
        <w:rPr>
          <w:sz w:val="20"/>
          <w:szCs w:val="20"/>
          <w:color w:val="auto"/>
        </w:rPr>
      </w:pPr>
    </w:p>
    <w:p>
      <w:pPr>
        <w:jc w:val="both"/>
        <w:ind w:firstLine="328"/>
        <w:spacing w:after="0" w:line="276" w:lineRule="auto"/>
        <w:rPr>
          <w:sz w:val="20"/>
          <w:szCs w:val="20"/>
          <w:color w:val="auto"/>
        </w:rPr>
      </w:pPr>
      <w:r>
        <w:rPr>
          <w:rFonts w:ascii="Times New Roman" w:cs="Times New Roman" w:eastAsia="Times New Roman" w:hAnsi="Times New Roman"/>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Proceedings</w:t>
      </w:r>
    </w:p>
    <w:p>
      <w:pPr>
        <w:spacing w:after="0" w:line="124" w:lineRule="exact"/>
        <w:rPr>
          <w:sz w:val="20"/>
          <w:szCs w:val="20"/>
          <w:color w:val="auto"/>
        </w:rPr>
      </w:pPr>
    </w:p>
    <w:p>
      <w:pPr>
        <w:jc w:val="both"/>
        <w:ind w:firstLine="328"/>
        <w:spacing w:after="0" w:line="259" w:lineRule="auto"/>
        <w:rPr>
          <w:sz w:val="20"/>
          <w:szCs w:val="20"/>
          <w:color w:val="auto"/>
        </w:rPr>
      </w:pPr>
      <w:r>
        <w:rPr>
          <w:rFonts w:ascii="Times New Roman" w:cs="Times New Roman" w:eastAsia="Times New Roman" w:hAnsi="Times New Roman"/>
          <w:sz w:val="18"/>
          <w:szCs w:val="18"/>
          <w:color w:val="auto"/>
        </w:rPr>
        <w:t>The Company is reporting the following environmental matter in compliance with SEC requirements to disclose environmental proceedings where a governmental authority is a party and that involve potential monetary sanctions of $300,000 or greater. On May 27, 2022, the Solae, LLC Memphis site (“Solae”) was served an Administrative Order and Assessment (the “Order”) by the City of Memphis related to alleged wastewater discharge violations. Solae submitted an appeal of the Order on June 24, 2022. Discussions with the City regarding potential resolution of the violations and penalties related to said violations are ongoing. Additionally, the Solae facility has undertaken capital project efforts, some of which began prior to the issuance of the Order, that are anticipated to address, on a schedule consistent with the Order, deadlines for attaining compliance with current wastewater permit requirements. This matter is not expected to have a material adverse effect on the Company’s financial position, cash flows or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w:t>
      </w:r>
    </w:p>
    <w:p>
      <w:pPr>
        <w:spacing w:after="0" w:line="124" w:lineRule="exact"/>
        <w:rPr>
          <w:sz w:val="20"/>
          <w:szCs w:val="20"/>
          <w:color w:val="auto"/>
        </w:rPr>
      </w:pPr>
    </w:p>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57" w:lineRule="exact"/>
        <w:rPr>
          <w:sz w:val="20"/>
          <w:szCs w:val="20"/>
          <w:color w:val="auto"/>
        </w:rPr>
      </w:pPr>
    </w:p>
    <w:p>
      <w:pPr>
        <w:jc w:val="both"/>
        <w:ind w:firstLine="329"/>
        <w:spacing w:after="0" w:line="265" w:lineRule="auto"/>
        <w:rPr>
          <w:sz w:val="20"/>
          <w:szCs w:val="20"/>
          <w:color w:val="auto"/>
        </w:rPr>
      </w:pPr>
      <w:r>
        <w:rPr>
          <w:rFonts w:ascii="Times New Roman" w:cs="Times New Roman" w:eastAsia="Times New Roman" w:hAnsi="Times New Roman"/>
          <w:sz w:val="18"/>
          <w:szCs w:val="18"/>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approximately $22 million. The Brazilian matters take an extended period of time to proceed through the judicial process and there are a limited number of rulings to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Tax Credits</w:t>
      </w:r>
    </w:p>
    <w:p>
      <w:pPr>
        <w:spacing w:after="0" w:line="118"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In 2017 the Brazilian Supreme Court (“BSC”) ruled that Brazilian tax authorities should not include a value added tax known as “ICMS” in the calculation of certain indirect taxes (“PIS/COFINS”). By removing the ICMS from the calculation of the indirect tax base, the Court effectively eliminated a “tax on tax”. The Brazilian tax authorities filed an appeal seeking clarification of certain matters, including the amount of ICMS to which taxpayers would be entitled in order to reduce their indirect tax base (i.e. the gross rate or the net rate).</w:t>
      </w:r>
    </w:p>
    <w:p>
      <w:pPr>
        <w:spacing w:after="0" w:line="61"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In light of the BSC's decision, in November 2017, the Company filed suit consistent with the BSC decision to require that ICMS be excluded from the PIS/COFINS calculation and received a favorable preliminary decision that was confirmed by the BSC in September 2018. This preliminary ruling granted the Company the right to prospectively exclude ICMS amounts from the PIS/COFINS calculation, but left open the issue of whether the Company could recover the gross or net amount of ICMS amounts paid on PIS/COFINS for the period from November 2011 to December 2018.</w:t>
      </w:r>
    </w:p>
    <w:p>
      <w:pPr>
        <w:spacing w:after="0" w:line="61"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In January 2020, the Company was informed of a favorable ruling from the Brazilian tax authorities confirming that the Company was entitled to recover the overpayments of certain indirect taxes (known as PIS/COFINS) for the period from November 2011 to December 2018, plus interest on the amount of the overpayments. The overpayments arose from the inclusion of a value added tax known as ICMS in the calculation of the PIS/COFINS tax. The ruling did not, however, settle the question of whether the Company is eligible to recover overpayments based on the gross or the net amount of ICMS amounts paid on PIS/COFINS. The Company calculated the amount of overpayments using the gross method which yields a higher amount than the application of the net method. A final ruling on the gross versus net amount issue was made by the BSC who affirmed the use of the gross calculation with respect to claims submitted prior to March 2017. Although the Company had not submitted a claim until after March 2017, the Company believes that the Supreme Court, whilst confirming the use of the gross method of calculation, does not override the January 2020 ruling by the Brazilian tax authorities with respect to the timeframe for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ectPr>
          <w:pgSz w:w="11880" w:h="15480" w:orient="portrait"/>
          <w:cols w:equalWidth="0" w:num="1">
            <w:col w:w="9360"/>
          </w:cols>
          <w:pgMar w:left="1260" w:top="1255" w:right="1260" w:bottom="254" w:gutter="0" w:footer="0" w:header="0"/>
        </w:sectPr>
      </w:pPr>
    </w:p>
    <w:bookmarkStart w:id="115" w:name="page116"/>
    <w:bookmarkEnd w:id="115"/>
    <w:p>
      <w:pPr>
        <w:jc w:val="both"/>
        <w:ind w:firstLine="328"/>
        <w:spacing w:after="0" w:line="269" w:lineRule="auto"/>
        <w:rPr>
          <w:sz w:val="20"/>
          <w:szCs w:val="20"/>
          <w:color w:val="auto"/>
        </w:rPr>
      </w:pPr>
      <w:r>
        <w:rPr>
          <w:rFonts w:ascii="Times New Roman" w:cs="Times New Roman" w:eastAsia="Times New Roman" w:hAnsi="Times New Roman"/>
          <w:sz w:val="18"/>
          <w:szCs w:val="18"/>
          <w:color w:val="auto"/>
        </w:rPr>
        <w:t>In addition to the $8 million recognized in the fourth quarter of 2019, during the first quarter of 2020 the Company recognized $4 million as an additional recovery on the existing claim. During 2020, the Company also recognized $3 million related to a claim from another of its subsidiaries in Brazil. The income was recognized as a reduction in Selling and Administrative expenses.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Avicel® PH NF (Pharma Solutions)</w:t>
      </w:r>
    </w:p>
    <w:p>
      <w:pPr>
        <w:spacing w:after="0" w:line="118" w:lineRule="exact"/>
        <w:rPr>
          <w:sz w:val="20"/>
          <w:szCs w:val="20"/>
          <w:color w:val="auto"/>
        </w:rPr>
      </w:pPr>
    </w:p>
    <w:p>
      <w:pPr>
        <w:jc w:val="both"/>
        <w:ind w:firstLine="329"/>
        <w:spacing w:after="0" w:line="262" w:lineRule="auto"/>
        <w:rPr>
          <w:sz w:val="20"/>
          <w:szCs w:val="20"/>
          <w:color w:val="auto"/>
        </w:rPr>
      </w:pPr>
      <w:r>
        <w:rPr>
          <w:rFonts w:ascii="Times New Roman" w:cs="Times New Roman" w:eastAsia="Times New Roman" w:hAnsi="Times New Roman"/>
          <w:sz w:val="18"/>
          <w:szCs w:val="18"/>
          <w:color w:val="auto"/>
        </w:rPr>
        <w:t>The Company has determined that certain grades of microcrystalline cellulose (Avicel® PH 101, 102, and 200 NF and Avicel® RC-591 NF) were found to be out-of-specification. The Company does not expect the OOS conductivity issue to affect the functionality of Avicel® NF grades or to pose a human health hazard. Corrective actions have been implemented to improve operational and laboratory conditions. Based on the information available, as of December 31, 2022, payments associated with the issue were approximately $34 million, and the Company has a current accrual of approximately $19 million. The total amount of exposure may increase if additional customers present claims or other exposures are identified.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8"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$46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7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20.</w:t>
        <w:tab/>
        <w:t>REDEEMABLE NON-CONTROLLING INTERESTS</w:t>
      </w:r>
    </w:p>
    <w:p>
      <w:pPr>
        <w:spacing w:after="0" w:line="124" w:lineRule="exact"/>
        <w:rPr>
          <w:sz w:val="20"/>
          <w:szCs w:val="20"/>
          <w:color w:val="auto"/>
        </w:rPr>
      </w:pPr>
    </w:p>
    <w:p>
      <w:pPr>
        <w:jc w:val="both"/>
        <w:ind w:firstLine="328"/>
        <w:spacing w:after="0" w:line="265" w:lineRule="auto"/>
        <w:rPr>
          <w:sz w:val="20"/>
          <w:szCs w:val="20"/>
          <w:color w:val="auto"/>
        </w:rPr>
      </w:pPr>
      <w:r>
        <w:rPr>
          <w:rFonts w:ascii="Times New Roman" w:cs="Times New Roman" w:eastAsia="Times New Roman" w:hAnsi="Times New Roman"/>
          <w:sz w:val="18"/>
          <w:szCs w:val="18"/>
          <w:color w:val="auto"/>
        </w:rPr>
        <w:t>Through certain subsidiaries of the Company’s Frutarom acquisition, there are certain non-controlling interests that carry redemption features. The non-controlling interest holders have the right, over a stipulated period of time, to sell their respective interests to Frutarom, and Frutarom has the option to purchase these interests (subject to the same timing). In most cases, these options carry similar price and conditions of exercise, and will be settled on a pre-agreed formula based on a multiple of the average EBITDA of consecutive quarters to be achieved during the period ending prior to the exercise date.</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the Company's redeemable non-controlling interests: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00" w:type="dxa"/>
            <w:vAlign w:val="bottom"/>
            <w:tcBorders>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47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1600" w:type="dxa"/>
            <w:vAlign w:val="bottom"/>
            <w:tcBorders>
              <w:bottom w:val="single" w:sz="8" w:color="DDDDDD"/>
            </w:tcBorders>
          </w:tcPr>
          <w:p>
            <w:pPr>
              <w:spacing w:after="0"/>
              <w:rPr>
                <w:sz w:val="2"/>
                <w:szCs w:val="2"/>
                <w:color w:val="auto"/>
              </w:rPr>
            </w:pPr>
          </w:p>
        </w:tc>
        <w:tc>
          <w:tcPr>
            <w:tcW w:w="4740" w:type="dxa"/>
            <w:vAlign w:val="bottom"/>
            <w:tcBorders>
              <w:bottom w:val="single" w:sz="8" w:color="DDDDDD"/>
            </w:tcBorders>
            <w:vMerge w:val="continue"/>
          </w:tcPr>
          <w:p>
            <w:pPr>
              <w:spacing w:after="0"/>
              <w:rPr>
                <w:sz w:val="2"/>
                <w:szCs w:val="2"/>
                <w:color w:val="auto"/>
              </w:rPr>
            </w:pPr>
          </w:p>
        </w:tc>
        <w:tc>
          <w:tcPr>
            <w:tcW w:w="60" w:type="dxa"/>
            <w:vAlign w:val="bottom"/>
            <w:tcBorders>
              <w:bottom w:val="single" w:sz="8" w:color="DDDDDD"/>
            </w:tcBorders>
            <w:vMerge w:val="continue"/>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63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DDDDDD"/>
            </w:tcBorders>
          </w:tcPr>
          <w:p>
            <w:pPr>
              <w:spacing w:after="0"/>
              <w:rPr>
                <w:sz w:val="24"/>
                <w:szCs w:val="24"/>
                <w:color w:val="auto"/>
              </w:rPr>
            </w:pPr>
          </w:p>
        </w:tc>
        <w:tc>
          <w:tcPr>
            <w:tcW w:w="640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25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40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Share of profit or loss attributable to redeemable non-controlling interests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40" w:type="dxa"/>
            <w:vAlign w:val="bottom"/>
            <w:tcBorders>
              <w:bottom w:val="single" w:sz="8" w:color="DDDDDD"/>
            </w:tcBorders>
          </w:tcPr>
          <w:p>
            <w:pPr>
              <w:spacing w:after="0"/>
              <w:rPr>
                <w:sz w:val="24"/>
                <w:szCs w:val="24"/>
                <w:color w:val="auto"/>
              </w:rPr>
            </w:pPr>
          </w:p>
        </w:tc>
        <w:tc>
          <w:tcPr>
            <w:tcW w:w="640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Redemption value adjustment for the current period</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25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3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DDDDDD"/>
            </w:tcBorders>
          </w:tcPr>
          <w:p>
            <w:pPr>
              <w:spacing w:after="0"/>
              <w:rPr>
                <w:sz w:val="24"/>
                <w:szCs w:val="24"/>
                <w:color w:val="auto"/>
              </w:rPr>
            </w:pPr>
          </w:p>
        </w:tc>
        <w:tc>
          <w:tcPr>
            <w:tcW w:w="640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25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Borders>
              <w:bottom w:val="single" w:sz="8" w:color="DDDDDD"/>
            </w:tcBorders>
            <w:shd w:val="clear" w:color="auto" w:fill="DDDDDD"/>
          </w:tcPr>
          <w:p>
            <w:pPr>
              <w:spacing w:after="0"/>
              <w:rPr>
                <w:sz w:val="20"/>
                <w:szCs w:val="20"/>
                <w:color w:val="auto"/>
              </w:rPr>
            </w:pPr>
          </w:p>
        </w:tc>
        <w:tc>
          <w:tcPr>
            <w:tcW w:w="63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Exercises of redeemable non-controlling interests</w:t>
            </w:r>
          </w:p>
        </w:tc>
        <w:tc>
          <w:tcPr>
            <w:tcW w:w="60" w:type="dxa"/>
            <w:vAlign w:val="bottom"/>
            <w:tcBorders>
              <w:bottom w:val="single" w:sz="8" w:color="DDDDDD"/>
            </w:tcBorders>
            <w:shd w:val="clear" w:color="auto" w:fill="DDDDDD"/>
          </w:tcPr>
          <w:p>
            <w:pPr>
              <w:spacing w:after="0"/>
              <w:rPr>
                <w:sz w:val="20"/>
                <w:szCs w:val="20"/>
                <w:color w:val="auto"/>
              </w:rPr>
            </w:pPr>
          </w:p>
        </w:tc>
        <w:tc>
          <w:tcPr>
            <w:tcW w:w="40" w:type="dxa"/>
            <w:vAlign w:val="bottom"/>
            <w:tcBorders>
              <w:bottom w:val="single" w:sz="8" w:color="DDDDDD"/>
            </w:tcBorders>
            <w:shd w:val="clear" w:color="auto" w:fill="DDDDDD"/>
          </w:tcPr>
          <w:p>
            <w:pPr>
              <w:spacing w:after="0"/>
              <w:rPr>
                <w:sz w:val="20"/>
                <w:szCs w:val="20"/>
                <w:color w:val="auto"/>
              </w:rPr>
            </w:pPr>
          </w:p>
        </w:tc>
        <w:tc>
          <w:tcPr>
            <w:tcW w:w="20" w:type="dxa"/>
            <w:vAlign w:val="bottom"/>
            <w:tcBorders>
              <w:bottom w:val="single" w:sz="8" w:color="DDDDDD"/>
            </w:tcBorders>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spacing w:after="0"/>
              <w:rPr>
                <w:sz w:val="20"/>
                <w:szCs w:val="20"/>
                <w:color w:val="auto"/>
              </w:rPr>
            </w:pPr>
          </w:p>
        </w:tc>
        <w:tc>
          <w:tcPr>
            <w:tcW w:w="2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DDDDDD"/>
            </w:tcBorders>
          </w:tcPr>
          <w:p>
            <w:pPr>
              <w:spacing w:after="0"/>
              <w:rPr>
                <w:sz w:val="21"/>
                <w:szCs w:val="21"/>
                <w:color w:val="auto"/>
              </w:rPr>
            </w:pPr>
          </w:p>
        </w:tc>
        <w:tc>
          <w:tcPr>
            <w:tcW w:w="640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60" w:type="dxa"/>
            <w:vAlign w:val="bottom"/>
            <w:tcBorders>
              <w:bottom w:val="single" w:sz="8" w:color="DDDDDD"/>
            </w:tcBorders>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bottom w:val="single" w:sz="8" w:color="DDDDDD"/>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3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60" w:type="dxa"/>
            <w:vAlign w:val="bottom"/>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DDDDDD"/>
            </w:tcBorders>
          </w:tcPr>
          <w:p>
            <w:pPr>
              <w:spacing w:after="0"/>
              <w:rPr>
                <w:sz w:val="24"/>
                <w:szCs w:val="24"/>
                <w:color w:val="auto"/>
              </w:rPr>
            </w:pPr>
          </w:p>
        </w:tc>
        <w:tc>
          <w:tcPr>
            <w:tcW w:w="640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Share of profit or loss attributable to redeemable non-controlling interests</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25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40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Redemption value adjustment for the current period</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 w:type="dxa"/>
            <w:vAlign w:val="bottom"/>
            <w:tcBorders>
              <w:top w:val="single" w:sz="8" w:color="DDDDDD"/>
              <w:bottom w:val="single" w:sz="8" w:color="DDDDDD"/>
            </w:tcBorders>
          </w:tcPr>
          <w:p>
            <w:pPr>
              <w:spacing w:after="0"/>
              <w:rPr>
                <w:sz w:val="20"/>
                <w:szCs w:val="20"/>
                <w:color w:val="auto"/>
              </w:rPr>
            </w:pPr>
          </w:p>
        </w:tc>
        <w:tc>
          <w:tcPr>
            <w:tcW w:w="6340" w:type="dxa"/>
            <w:vAlign w:val="bottom"/>
            <w:tcBorders>
              <w:bottom w:val="single" w:sz="8" w:color="DDDDDD"/>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60" w:type="dxa"/>
            <w:vAlign w:val="bottom"/>
            <w:tcBorders>
              <w:top w:val="single" w:sz="8" w:color="DDDDDD"/>
              <w:bottom w:val="single" w:sz="8" w:color="DDDDDD"/>
            </w:tcBorders>
          </w:tcPr>
          <w:p>
            <w:pPr>
              <w:spacing w:after="0"/>
              <w:rPr>
                <w:sz w:val="20"/>
                <w:szCs w:val="20"/>
                <w:color w:val="auto"/>
              </w:rPr>
            </w:pPr>
          </w:p>
        </w:tc>
        <w:tc>
          <w:tcPr>
            <w:tcW w:w="40" w:type="dxa"/>
            <w:vAlign w:val="bottom"/>
            <w:tcBorders>
              <w:top w:val="single" w:sz="8" w:color="DDDDDD"/>
              <w:bottom w:val="single" w:sz="8" w:color="DDDDDD"/>
            </w:tcBorders>
          </w:tcPr>
          <w:p>
            <w:pPr>
              <w:spacing w:after="0"/>
              <w:rPr>
                <w:sz w:val="20"/>
                <w:szCs w:val="20"/>
                <w:color w:val="auto"/>
              </w:rPr>
            </w:pPr>
          </w:p>
        </w:tc>
        <w:tc>
          <w:tcPr>
            <w:tcW w:w="20" w:type="dxa"/>
            <w:vAlign w:val="bottom"/>
            <w:tcBorders>
              <w:top w:val="single" w:sz="8" w:color="DDDDDD"/>
              <w:bottom w:val="single" w:sz="8" w:color="DDDDDD"/>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DDDDDD"/>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640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0" w:type="dxa"/>
            <w:vAlign w:val="bottom"/>
            <w:tcBorders>
              <w:bottom w:val="single" w:sz="8" w:color="DDDDDD"/>
            </w:tcBorders>
          </w:tcPr>
          <w:p>
            <w:pPr>
              <w:spacing w:after="0"/>
              <w:rPr>
                <w:sz w:val="24"/>
                <w:szCs w:val="24"/>
                <w:color w:val="auto"/>
              </w:rPr>
            </w:pPr>
          </w:p>
        </w:tc>
        <w:tc>
          <w:tcPr>
            <w:tcW w:w="6400" w:type="dxa"/>
            <w:vAlign w:val="bottom"/>
            <w:tcBorders>
              <w:bottom w:val="single" w:sz="8" w:color="DDDDDD"/>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Impact of foreign exchange translation</w:t>
            </w:r>
          </w:p>
        </w:tc>
        <w:tc>
          <w:tcPr>
            <w:tcW w:w="40" w:type="dxa"/>
            <w:vAlign w:val="bottom"/>
            <w:tcBorders>
              <w:bottom w:val="single" w:sz="8" w:color="DDDDDD"/>
            </w:tcBorders>
          </w:tcPr>
          <w:p>
            <w:pPr>
              <w:spacing w:after="0"/>
              <w:rPr>
                <w:sz w:val="24"/>
                <w:szCs w:val="24"/>
                <w:color w:val="auto"/>
              </w:rPr>
            </w:pPr>
          </w:p>
        </w:tc>
        <w:tc>
          <w:tcPr>
            <w:tcW w:w="20" w:type="dxa"/>
            <w:vAlign w:val="bottom"/>
            <w:tcBorders>
              <w:bottom w:val="single" w:sz="8" w:color="DDDDDD"/>
            </w:tcBorders>
          </w:tcPr>
          <w:p>
            <w:pPr>
              <w:spacing w:after="0"/>
              <w:rPr>
                <w:sz w:val="24"/>
                <w:szCs w:val="24"/>
                <w:color w:val="auto"/>
              </w:rPr>
            </w:pPr>
          </w:p>
        </w:tc>
        <w:tc>
          <w:tcPr>
            <w:tcW w:w="300" w:type="dxa"/>
            <w:vAlign w:val="bottom"/>
            <w:tcBorders>
              <w:bottom w:val="single" w:sz="8" w:color="DDDDDD"/>
            </w:tcBorders>
          </w:tcPr>
          <w:p>
            <w:pPr>
              <w:spacing w:after="0"/>
              <w:rPr>
                <w:sz w:val="24"/>
                <w:szCs w:val="24"/>
                <w:color w:val="auto"/>
              </w:rPr>
            </w:pPr>
          </w:p>
        </w:tc>
        <w:tc>
          <w:tcPr>
            <w:tcW w:w="2520" w:type="dxa"/>
            <w:vAlign w:val="bottom"/>
            <w:tcBorders>
              <w:bottom w:val="single" w:sz="8" w:color="DDDDDD"/>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6400" w:type="dxa"/>
            <w:vAlign w:val="bottom"/>
            <w:gridSpan w:val="3"/>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Share of profit or loss attributable to redeemable non-controlling interests</w:t>
            </w:r>
          </w:p>
        </w:tc>
        <w:tc>
          <w:tcPr>
            <w:tcW w:w="4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spacing w:after="0"/>
              <w:rPr>
                <w:sz w:val="19"/>
                <w:szCs w:val="19"/>
                <w:color w:val="auto"/>
              </w:rPr>
            </w:pPr>
          </w:p>
        </w:tc>
        <w:tc>
          <w:tcPr>
            <w:tcW w:w="25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6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Redemption value adjustment for the current period</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340" w:type="dxa"/>
            <w:vAlign w:val="bottom"/>
            <w:tcBorders>
              <w:bottom w:val="single" w:sz="8" w:color="DDDDDD"/>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DDDDDD"/>
            </w:tcBorders>
          </w:tcPr>
          <w:p>
            <w:pPr>
              <w:spacing w:after="0"/>
              <w:rPr>
                <w:sz w:val="19"/>
                <w:szCs w:val="19"/>
                <w:color w:val="auto"/>
              </w:rPr>
            </w:pPr>
          </w:p>
        </w:tc>
        <w:tc>
          <w:tcPr>
            <w:tcW w:w="2520" w:type="dxa"/>
            <w:vAlign w:val="bottom"/>
            <w:tcBorders>
              <w:bottom w:val="single" w:sz="8" w:color="DDDDDD"/>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bottom w:val="single" w:sz="8" w:color="DDDDDD"/>
            </w:tcBorders>
            <w:shd w:val="clear" w:color="auto" w:fill="DDDDDD"/>
          </w:tcPr>
          <w:p>
            <w:pPr>
              <w:spacing w:after="0"/>
              <w:rPr>
                <w:sz w:val="21"/>
                <w:szCs w:val="21"/>
                <w:color w:val="auto"/>
              </w:rPr>
            </w:pPr>
          </w:p>
        </w:tc>
        <w:tc>
          <w:tcPr>
            <w:tcW w:w="63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18"/>
                <w:szCs w:val="18"/>
                <w:color w:val="auto"/>
              </w:rPr>
              <w:t>Exercises of redeemable non-controlling interests</w:t>
            </w:r>
          </w:p>
        </w:tc>
        <w:tc>
          <w:tcPr>
            <w:tcW w:w="60" w:type="dxa"/>
            <w:vAlign w:val="bottom"/>
            <w:tcBorders>
              <w:bottom w:val="single" w:sz="8" w:color="DDDDDD"/>
            </w:tcBorders>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300" w:type="dxa"/>
            <w:vAlign w:val="bottom"/>
            <w:tcBorders>
              <w:bottom w:val="single" w:sz="8" w:color="auto"/>
            </w:tcBorders>
            <w:shd w:val="clear" w:color="auto" w:fill="DDDDDD"/>
          </w:tcPr>
          <w:p>
            <w:pPr>
              <w:spacing w:after="0"/>
              <w:rPr>
                <w:sz w:val="21"/>
                <w:szCs w:val="21"/>
                <w:color w:val="auto"/>
              </w:rPr>
            </w:pPr>
          </w:p>
        </w:tc>
        <w:tc>
          <w:tcPr>
            <w:tcW w:w="25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bottom w:val="single" w:sz="8" w:color="auto"/>
            </w:tcBorders>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6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-1844675</wp:posOffset>
                </wp:positionV>
                <wp:extent cx="413512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5120" cy="4763"/>
                        </a:xfrm>
                        <a:prstGeom prst="line">
                          <a:avLst/>
                        </a:prstGeom>
                        <a:solidFill>
                          <a:srgbClr val="FFFFFF"/>
                        </a:solidFill>
                        <a:ln w="11125">
                          <a:solidFill>
                            <a:srgbClr val="FFFFFF"/>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45.2499pt" to="326.1pt,-145.2499pt" o:allowincell="f" strokecolor="#FFFFFF" strokeweight="0.876pt"/>
            </w:pict>
          </mc:Fallback>
        </mc:AlternateContent>
        <mc:AlternateContent>
          <mc:Choice Requires="wps">
            <w:drawing>
              <wp:anchor simplePos="0" relativeHeight="251657728" behindDoc="1" locked="0" layoutInCell="0" allowOverlap="1">
                <wp:simplePos x="0" y="0"/>
                <wp:positionH relativeFrom="column">
                  <wp:posOffset>6350</wp:posOffset>
                </wp:positionH>
                <wp:positionV relativeFrom="paragraph">
                  <wp:posOffset>-194310</wp:posOffset>
                </wp:positionV>
                <wp:extent cx="413512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35120" cy="4763"/>
                        </a:xfrm>
                        <a:prstGeom prst="line">
                          <a:avLst/>
                        </a:prstGeom>
                        <a:solidFill>
                          <a:srgbClr val="FFFFFF"/>
                        </a:solidFill>
                        <a:ln w="11112">
                          <a:solidFill>
                            <a:srgbClr val="FFFFFF"/>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15.2999pt" to="326.1pt,-15.2999pt" o:allowincell="f" strokecolor="#FFFFFF" strokeweight="0.87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109</w:t>
      </w:r>
    </w:p>
    <w:p>
      <w:pPr>
        <w:sectPr>
          <w:pgSz w:w="11880" w:h="15480" w:orient="portrait"/>
          <w:cols w:equalWidth="0" w:num="1">
            <w:col w:w="9360"/>
          </w:cols>
          <w:pgMar w:left="1260" w:top="1255" w:right="1260" w:bottom="254" w:gutter="0" w:footer="0" w:header="0"/>
        </w:sectPr>
      </w:pPr>
    </w:p>
    <w:bookmarkStart w:id="116" w:name="page117"/>
    <w:bookmarkEnd w:id="116"/>
    <w:p>
      <w:pPr>
        <w:ind w:left="4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NOTE 21.</w:t>
        <w:tab/>
        <w:t>ASSETS HELD FOR SALE</w:t>
      </w:r>
    </w:p>
    <w:p>
      <w:pPr>
        <w:spacing w:after="0" w:line="124" w:lineRule="exact"/>
        <w:rPr>
          <w:sz w:val="20"/>
          <w:szCs w:val="20"/>
          <w:color w:val="auto"/>
        </w:rPr>
      </w:pPr>
    </w:p>
    <w:p>
      <w:pPr>
        <w:jc w:val="both"/>
        <w:ind w:left="40" w:firstLine="328"/>
        <w:spacing w:after="0" w:line="269" w:lineRule="auto"/>
        <w:rPr>
          <w:sz w:val="20"/>
          <w:szCs w:val="20"/>
          <w:color w:val="auto"/>
        </w:rPr>
      </w:pPr>
      <w:r>
        <w:rPr>
          <w:rFonts w:ascii="Times New Roman" w:cs="Times New Roman" w:eastAsia="Times New Roman" w:hAnsi="Times New Roman"/>
          <w:sz w:val="18"/>
          <w:szCs w:val="18"/>
          <w:color w:val="auto"/>
        </w:rPr>
        <w:t>During the fourth quarter of 2022, the Company announced it had entered into an agreement to sell a portion of its Savory Solutions business, which is part of the Nourish segment. In addition, in the first quarter of 2023, the Company announced it had entered into an agreement to sell its Flavor Specialty Ingredients business within the Scent segment. Both transactions are subject to customary closing conditions and are expected to close in the second quarter and third quarter of 2023, respectively.</w:t>
      </w:r>
    </w:p>
    <w:p>
      <w:pPr>
        <w:spacing w:after="0" w:line="57"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The sales do not constitute a strategic shift of the Company’s operations and do not, and will not, have major effects on the Company’s operations and financial results; therefore, the transactions do not meet the discontinued operations criteria.</w:t>
      </w:r>
    </w:p>
    <w:p>
      <w:pPr>
        <w:spacing w:after="0" w:line="30" w:lineRule="exact"/>
        <w:rPr>
          <w:sz w:val="20"/>
          <w:szCs w:val="20"/>
          <w:color w:val="auto"/>
        </w:rPr>
      </w:pPr>
    </w:p>
    <w:p>
      <w:pPr>
        <w:jc w:val="both"/>
        <w:ind w:left="40" w:firstLine="328"/>
        <w:spacing w:after="0" w:line="265" w:lineRule="auto"/>
        <w:rPr>
          <w:sz w:val="20"/>
          <w:szCs w:val="20"/>
          <w:color w:val="auto"/>
        </w:rPr>
      </w:pPr>
      <w:r>
        <w:rPr>
          <w:rFonts w:ascii="Times New Roman" w:cs="Times New Roman" w:eastAsia="Times New Roman" w:hAnsi="Times New Roman"/>
          <w:sz w:val="18"/>
          <w:szCs w:val="18"/>
          <w:color w:val="auto"/>
        </w:rPr>
        <w:t>It was determined that the assets and liabilities of these businesses met the criteria to be presented as “held for sale.” As a result, as of December 31, 2022, such assets and liabilities were classified as held for sale and are reported on the Consolidated Balance Sheets. The Company expects that the sale proceeds less costs to sell will exceed the preliminary estimate of the carrying value of the net assets for both businesses. The carrying value is subject to change based on developments leading up to the closing date.</w:t>
      </w:r>
    </w:p>
    <w:p>
      <w:pPr>
        <w:spacing w:after="0" w:line="61" w:lineRule="exact"/>
        <w:rPr>
          <w:sz w:val="20"/>
          <w:szCs w:val="20"/>
          <w:color w:val="auto"/>
        </w:rPr>
      </w:pPr>
    </w:p>
    <w:p>
      <w:pPr>
        <w:jc w:val="both"/>
        <w:ind w:left="40" w:firstLine="328"/>
        <w:spacing w:after="0" w:line="300" w:lineRule="auto"/>
        <w:rPr>
          <w:sz w:val="20"/>
          <w:szCs w:val="20"/>
          <w:color w:val="auto"/>
        </w:rPr>
      </w:pPr>
      <w:r>
        <w:rPr>
          <w:rFonts w:ascii="Times New Roman" w:cs="Times New Roman" w:eastAsia="Times New Roman" w:hAnsi="Times New Roman"/>
          <w:sz w:val="18"/>
          <w:szCs w:val="18"/>
          <w:color w:val="auto"/>
        </w:rPr>
        <w:t>Included in the Company’s Consolidated Balance Sheets as of December 31, 2022 are the following carrying amounts of the assets and liabilities held for sale: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40" w:type="dxa"/>
            <w:vAlign w:val="bottom"/>
          </w:tcPr>
          <w:p>
            <w:pPr>
              <w:spacing w:after="0"/>
              <w:rPr>
                <w:sz w:val="17"/>
                <w:szCs w:val="17"/>
                <w:color w:val="auto"/>
              </w:rPr>
            </w:pPr>
          </w:p>
        </w:tc>
        <w:tc>
          <w:tcPr>
            <w:tcW w:w="2220" w:type="dxa"/>
            <w:vAlign w:val="bottom"/>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4"/>
        </w:trPr>
        <w:tc>
          <w:tcPr>
            <w:tcW w:w="40" w:type="dxa"/>
            <w:vAlign w:val="bottom"/>
            <w:tcBorders>
              <w:bottom w:val="single" w:sz="8" w:color="DDDDDD"/>
            </w:tcBorders>
          </w:tcPr>
          <w:p>
            <w:pPr>
              <w:spacing w:after="0"/>
              <w:rPr>
                <w:sz w:val="2"/>
                <w:szCs w:val="2"/>
                <w:color w:val="auto"/>
              </w:rPr>
            </w:pPr>
          </w:p>
        </w:tc>
        <w:tc>
          <w:tcPr>
            <w:tcW w:w="1600" w:type="dxa"/>
            <w:vAlign w:val="bottom"/>
            <w:tcBorders>
              <w:top w:val="single" w:sz="8" w:color="auto"/>
              <w:bottom w:val="single" w:sz="8" w:color="DDDDDD"/>
            </w:tcBorders>
          </w:tcPr>
          <w:p>
            <w:pPr>
              <w:spacing w:after="0"/>
              <w:rPr>
                <w:sz w:val="2"/>
                <w:szCs w:val="2"/>
                <w:color w:val="auto"/>
              </w:rPr>
            </w:pPr>
          </w:p>
        </w:tc>
        <w:tc>
          <w:tcPr>
            <w:tcW w:w="5100" w:type="dxa"/>
            <w:vAlign w:val="bottom"/>
            <w:tcBorders>
              <w:bottom w:val="single" w:sz="8" w:color="DDDDDD"/>
            </w:tcBorders>
          </w:tcPr>
          <w:p>
            <w:pPr>
              <w:spacing w:after="0"/>
              <w:rPr>
                <w:sz w:val="2"/>
                <w:szCs w:val="2"/>
                <w:color w:val="auto"/>
              </w:rPr>
            </w:pPr>
          </w:p>
        </w:tc>
        <w:tc>
          <w:tcPr>
            <w:tcW w:w="40" w:type="dxa"/>
            <w:vAlign w:val="bottom"/>
            <w:tcBorders>
              <w:bottom w:val="single" w:sz="8" w:color="DDDDDD"/>
            </w:tcBorders>
          </w:tcPr>
          <w:p>
            <w:pPr>
              <w:spacing w:after="0"/>
              <w:rPr>
                <w:sz w:val="2"/>
                <w:szCs w:val="2"/>
                <w:color w:val="auto"/>
              </w:rPr>
            </w:pPr>
          </w:p>
        </w:tc>
        <w:tc>
          <w:tcPr>
            <w:tcW w:w="2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67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22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7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DDDDDD"/>
          </w:tcPr>
          <w:p>
            <w:pPr>
              <w:spacing w:after="0"/>
              <w:rPr>
                <w:sz w:val="24"/>
                <w:szCs w:val="24"/>
                <w:color w:val="auto"/>
              </w:rPr>
            </w:pP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shd w:val="clear" w:color="auto" w:fill="DDDDDD"/>
          </w:tcPr>
          <w:p>
            <w:pPr>
              <w:spacing w:after="0"/>
              <w:rPr>
                <w:sz w:val="24"/>
                <w:szCs w:val="24"/>
                <w:color w:val="auto"/>
              </w:rPr>
            </w:pP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760" w:type="dxa"/>
            <w:vAlign w:val="bottom"/>
            <w:gridSpan w:val="4"/>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DDDDDD"/>
          </w:tcPr>
          <w:p>
            <w:pPr>
              <w:spacing w:after="0"/>
              <w:rPr>
                <w:sz w:val="24"/>
                <w:szCs w:val="24"/>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89"/>
        </w:trPr>
        <w:tc>
          <w:tcPr>
            <w:tcW w:w="40" w:type="dxa"/>
            <w:vAlign w:val="bottom"/>
            <w:tcBorders>
              <w:bottom w:val="single" w:sz="8" w:color="DDDDDD"/>
            </w:tcBorders>
          </w:tcPr>
          <w:p>
            <w:pPr>
              <w:spacing w:after="0"/>
              <w:rPr>
                <w:sz w:val="24"/>
                <w:szCs w:val="24"/>
                <w:color w:val="auto"/>
              </w:rPr>
            </w:pPr>
          </w:p>
        </w:tc>
        <w:tc>
          <w:tcPr>
            <w:tcW w:w="6760" w:type="dxa"/>
            <w:vAlign w:val="bottom"/>
            <w:tcBorders>
              <w:bottom w:val="single" w:sz="8" w:color="DDDDDD"/>
            </w:tcBorders>
            <w:gridSpan w:val="4"/>
          </w:tcPr>
          <w:p>
            <w:pPr>
              <w:ind w:left="220"/>
              <w:spacing w:after="0"/>
              <w:rPr>
                <w:sz w:val="20"/>
                <w:szCs w:val="20"/>
                <w:color w:val="auto"/>
              </w:rPr>
            </w:pPr>
            <w:r>
              <w:rPr>
                <w:rFonts w:ascii="Times New Roman" w:cs="Times New Roman" w:eastAsia="Times New Roman" w:hAnsi="Times New Roman"/>
                <w:sz w:val="18"/>
                <w:szCs w:val="18"/>
                <w:color w:val="auto"/>
              </w:rPr>
              <w:t>Total assets held-for-sale</w:t>
            </w:r>
          </w:p>
        </w:tc>
        <w:tc>
          <w:tcPr>
            <w:tcW w:w="3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05"/>
        </w:trPr>
        <w:tc>
          <w:tcPr>
            <w:tcW w:w="40" w:type="dxa"/>
            <w:vAlign w:val="bottom"/>
            <w:shd w:val="clear" w:color="auto" w:fill="DDDDDD"/>
          </w:tcPr>
          <w:p>
            <w:pPr>
              <w:spacing w:after="0"/>
              <w:rPr>
                <w:sz w:val="17"/>
                <w:szCs w:val="17"/>
                <w:color w:val="auto"/>
              </w:rPr>
            </w:pPr>
          </w:p>
        </w:tc>
        <w:tc>
          <w:tcPr>
            <w:tcW w:w="6760" w:type="dxa"/>
            <w:vAlign w:val="bottom"/>
            <w:gridSpan w:val="4"/>
            <w:shd w:val="clear" w:color="auto" w:fill="DDDDDD"/>
          </w:tcPr>
          <w:p>
            <w:pPr>
              <w:spacing w:after="0" w:line="20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6"/>
        </w:trPr>
        <w:tc>
          <w:tcPr>
            <w:tcW w:w="40" w:type="dxa"/>
            <w:vAlign w:val="bottom"/>
            <w:shd w:val="clear" w:color="auto" w:fill="DDDDDD"/>
          </w:tcPr>
          <w:p>
            <w:pPr>
              <w:spacing w:after="0"/>
              <w:rPr>
                <w:sz w:val="24"/>
                <w:szCs w:val="24"/>
                <w:color w:val="auto"/>
              </w:rPr>
            </w:pPr>
          </w:p>
        </w:tc>
        <w:tc>
          <w:tcPr>
            <w:tcW w:w="670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Deferred tax liability</w:t>
            </w:r>
            <w:r>
              <w:rPr>
                <w:rFonts w:ascii="Times New Roman" w:cs="Times New Roman" w:eastAsia="Times New Roman" w:hAnsi="Times New Roman"/>
                <w:sz w:val="11"/>
                <w:szCs w:val="11"/>
                <w:color w:val="auto"/>
              </w:rPr>
              <w:t>(1)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tcPr>
          <w:p>
            <w:pPr>
              <w:spacing w:after="0"/>
              <w:rPr>
                <w:sz w:val="23"/>
                <w:szCs w:val="23"/>
                <w:color w:val="auto"/>
              </w:rPr>
            </w:pPr>
          </w:p>
        </w:tc>
        <w:tc>
          <w:tcPr>
            <w:tcW w:w="6760" w:type="dxa"/>
            <w:vAlign w:val="bottom"/>
            <w:tcBorders>
              <w:bottom w:val="single" w:sz="8" w:color="DDDDDD"/>
            </w:tcBorders>
            <w:gridSpan w:val="4"/>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shd w:val="clear" w:color="auto" w:fill="DDDDDD"/>
          </w:tcPr>
          <w:p>
            <w:pPr>
              <w:spacing w:after="0"/>
              <w:rPr>
                <w:sz w:val="23"/>
                <w:szCs w:val="23"/>
                <w:color w:val="auto"/>
              </w:rPr>
            </w:pPr>
          </w:p>
        </w:tc>
        <w:tc>
          <w:tcPr>
            <w:tcW w:w="670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liabilities held-for-sale</w:t>
            </w:r>
          </w:p>
        </w:tc>
        <w:tc>
          <w:tcPr>
            <w:tcW w:w="40" w:type="dxa"/>
            <w:vAlign w:val="bottom"/>
            <w:tcBorders>
              <w:bottom w:val="single" w:sz="8" w:color="DDDDDD"/>
            </w:tcBorders>
            <w:shd w:val="clear" w:color="auto" w:fill="DDDDDD"/>
          </w:tcPr>
          <w:p>
            <w:pPr>
              <w:spacing w:after="0"/>
              <w:rPr>
                <w:sz w:val="23"/>
                <w:szCs w:val="23"/>
                <w:color w:val="auto"/>
              </w:rPr>
            </w:pPr>
          </w:p>
        </w:tc>
        <w:tc>
          <w:tcPr>
            <w:tcW w:w="20" w:type="dxa"/>
            <w:vAlign w:val="bottom"/>
            <w:tcBorders>
              <w:bottom w:val="single" w:sz="8" w:color="auto"/>
            </w:tcBorders>
            <w:shd w:val="clear" w:color="auto" w:fill="DDDDDD"/>
          </w:tcPr>
          <w:p>
            <w:pPr>
              <w:spacing w:after="0"/>
              <w:rPr>
                <w:sz w:val="23"/>
                <w:szCs w:val="23"/>
                <w:color w:val="auto"/>
              </w:rPr>
            </w:pPr>
          </w:p>
        </w:tc>
        <w:tc>
          <w:tcPr>
            <w:tcW w:w="34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Pr>
          <w:p>
            <w:pPr>
              <w:spacing w:after="0"/>
              <w:rPr>
                <w:sz w:val="15"/>
                <w:szCs w:val="15"/>
                <w:color w:val="auto"/>
              </w:rPr>
            </w:pPr>
          </w:p>
        </w:tc>
        <w:tc>
          <w:tcPr>
            <w:tcW w:w="67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80" w:hanging="334"/>
        <w:spacing w:after="0" w:line="275" w:lineRule="auto"/>
        <w:tabs>
          <w:tab w:leader="none" w:pos="3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currently analyzing the tax impact of the sale transaction and has included preliminary numbers for the deferred tax liability, which are subject to further updates.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Microbial Control</w:t>
      </w:r>
    </w:p>
    <w:p>
      <w:pPr>
        <w:spacing w:after="0" w:line="124" w:lineRule="exact"/>
        <w:rPr>
          <w:sz w:val="20"/>
          <w:szCs w:val="20"/>
          <w:color w:val="auto"/>
        </w:rPr>
      </w:pPr>
    </w:p>
    <w:p>
      <w:pPr>
        <w:jc w:val="both"/>
        <w:ind w:left="40" w:firstLine="328"/>
        <w:spacing w:after="0" w:line="276" w:lineRule="auto"/>
        <w:rPr>
          <w:sz w:val="20"/>
          <w:szCs w:val="20"/>
          <w:color w:val="auto"/>
        </w:rPr>
      </w:pPr>
      <w:r>
        <w:rPr>
          <w:rFonts w:ascii="Times New Roman" w:cs="Times New Roman" w:eastAsia="Times New Roman" w:hAnsi="Times New Roman"/>
          <w:sz w:val="18"/>
          <w:szCs w:val="18"/>
          <w:color w:val="auto"/>
        </w:rPr>
        <w:t>During the third quarter of 2021, the Company announced it had entered into an agreement to sell its Microbial Control business unit, which is a part of the Health &amp; Biosciences segment. The Company acquired the Microbial Control business unit as part of the Merger with N&amp;B. See Note 4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880" w:h="15480" w:orient="portrait"/>
          <w:cols w:equalWidth="0" w:num="1">
            <w:col w:w="9400"/>
          </w:cols>
          <w:pgMar w:left="1220" w:top="1252" w:right="1260" w:bottom="254" w:gutter="0" w:footer="0" w:header="0"/>
        </w:sectPr>
      </w:pPr>
    </w:p>
    <w:bookmarkStart w:id="117" w:name="page118"/>
    <w:bookmarkEnd w:id="117"/>
    <w:p>
      <w:pPr>
        <w:ind w:left="40" w:firstLine="328"/>
        <w:spacing w:after="0" w:line="300" w:lineRule="auto"/>
        <w:rPr>
          <w:sz w:val="20"/>
          <w:szCs w:val="20"/>
          <w:color w:val="auto"/>
        </w:rPr>
      </w:pPr>
      <w:r>
        <w:rPr>
          <w:rFonts w:ascii="Times New Roman" w:cs="Times New Roman" w:eastAsia="Times New Roman" w:hAnsi="Times New Roman"/>
          <w:sz w:val="18"/>
          <w:szCs w:val="18"/>
          <w:color w:val="auto"/>
        </w:rPr>
        <w:t>Included in the Company’s Consolidated Balance Sheets as of December 31, 2021 are the following carrying amounts of the assets and liabilities held for sale: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40" w:type="dxa"/>
            <w:vAlign w:val="bottom"/>
          </w:tcPr>
          <w:p>
            <w:pPr>
              <w:spacing w:after="0"/>
              <w:rPr>
                <w:sz w:val="17"/>
                <w:szCs w:val="17"/>
                <w:color w:val="auto"/>
              </w:rPr>
            </w:pPr>
          </w:p>
        </w:tc>
        <w:tc>
          <w:tcPr>
            <w:tcW w:w="2220" w:type="dxa"/>
            <w:vAlign w:val="bottom"/>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1600" w:type="dxa"/>
            <w:vAlign w:val="bottom"/>
            <w:tcBorders>
              <w:top w:val="single" w:sz="8" w:color="auto"/>
              <w:bottom w:val="single" w:sz="8" w:color="DDDDDD"/>
            </w:tcBorders>
          </w:tcPr>
          <w:p>
            <w:pPr>
              <w:spacing w:after="0" w:line="20" w:lineRule="exact"/>
              <w:rPr>
                <w:sz w:val="1"/>
                <w:szCs w:val="1"/>
                <w:color w:val="auto"/>
              </w:rPr>
            </w:pPr>
          </w:p>
        </w:tc>
        <w:tc>
          <w:tcPr>
            <w:tcW w:w="5140" w:type="dxa"/>
            <w:vAlign w:val="bottom"/>
            <w:tcBorders>
              <w:bottom w:val="single" w:sz="8" w:color="DDDDDD"/>
            </w:tcBorders>
          </w:tcPr>
          <w:p>
            <w:pPr>
              <w:spacing w:after="0" w:line="20" w:lineRule="exact"/>
              <w:rPr>
                <w:sz w:val="1"/>
                <w:szCs w:val="1"/>
                <w:color w:val="auto"/>
              </w:rPr>
            </w:pPr>
          </w:p>
        </w:tc>
        <w:tc>
          <w:tcPr>
            <w:tcW w:w="2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0" w:type="dxa"/>
            <w:vAlign w:val="bottom"/>
            <w:shd w:val="clear" w:color="auto" w:fill="DDDDDD"/>
          </w:tcPr>
          <w:p>
            <w:pPr>
              <w:spacing w:after="0"/>
              <w:rPr>
                <w:sz w:val="20"/>
                <w:szCs w:val="20"/>
                <w:color w:val="auto"/>
              </w:rPr>
            </w:pPr>
          </w:p>
        </w:tc>
        <w:tc>
          <w:tcPr>
            <w:tcW w:w="67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222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20" w:type="dxa"/>
            <w:vAlign w:val="bottom"/>
          </w:tcPr>
          <w:p>
            <w:pPr>
              <w:spacing w:after="0"/>
              <w:rPr>
                <w:sz w:val="23"/>
                <w:szCs w:val="23"/>
                <w:color w:val="auto"/>
              </w:rPr>
            </w:pP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7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7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7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shd w:val="clear" w:color="auto" w:fill="DDDDDD"/>
          </w:tcPr>
          <w:p>
            <w:pPr>
              <w:spacing w:after="0"/>
              <w:rPr>
                <w:sz w:val="23"/>
                <w:szCs w:val="23"/>
                <w:color w:val="auto"/>
              </w:rPr>
            </w:pP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tcPr>
          <w:p>
            <w:pPr>
              <w:spacing w:after="0"/>
              <w:rPr>
                <w:sz w:val="23"/>
                <w:szCs w:val="23"/>
                <w:color w:val="auto"/>
              </w:rPr>
            </w:pPr>
          </w:p>
        </w:tc>
        <w:tc>
          <w:tcPr>
            <w:tcW w:w="6760" w:type="dxa"/>
            <w:vAlign w:val="bottom"/>
            <w:tcBorders>
              <w:bottom w:val="single" w:sz="8" w:color="DDDDDD"/>
            </w:tcBorders>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23"/>
                <w:szCs w:val="23"/>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1"/>
        </w:trPr>
        <w:tc>
          <w:tcPr>
            <w:tcW w:w="40" w:type="dxa"/>
            <w:vAlign w:val="bottom"/>
            <w:tcBorders>
              <w:bottom w:val="single" w:sz="8" w:color="DDDDDD"/>
            </w:tcBorders>
            <w:shd w:val="clear" w:color="auto" w:fill="DDDDDD"/>
          </w:tcPr>
          <w:p>
            <w:pPr>
              <w:spacing w:after="0"/>
              <w:rPr>
                <w:sz w:val="23"/>
                <w:szCs w:val="23"/>
                <w:color w:val="auto"/>
              </w:rPr>
            </w:pPr>
          </w:p>
        </w:tc>
        <w:tc>
          <w:tcPr>
            <w:tcW w:w="6760" w:type="dxa"/>
            <w:vAlign w:val="bottom"/>
            <w:tcBorders>
              <w:bottom w:val="single" w:sz="8" w:color="DDDDDD"/>
            </w:tcBorders>
            <w:gridSpan w:val="3"/>
            <w:shd w:val="clear" w:color="auto" w:fill="DDDDDD"/>
          </w:tcPr>
          <w:p>
            <w:pPr>
              <w:ind w:left="220"/>
              <w:spacing w:after="0"/>
              <w:rPr>
                <w:sz w:val="20"/>
                <w:szCs w:val="20"/>
                <w:color w:val="auto"/>
              </w:rPr>
            </w:pPr>
            <w:r>
              <w:rPr>
                <w:rFonts w:ascii="Times New Roman" w:cs="Times New Roman" w:eastAsia="Times New Roman" w:hAnsi="Times New Roman"/>
                <w:sz w:val="18"/>
                <w:szCs w:val="18"/>
                <w:color w:val="auto"/>
              </w:rPr>
              <w:t>Total assets held-for-sale</w:t>
            </w:r>
          </w:p>
        </w:tc>
        <w:tc>
          <w:tcPr>
            <w:tcW w:w="340" w:type="dxa"/>
            <w:vAlign w:val="bottom"/>
            <w:tcBorders>
              <w:bottom w:val="single" w:sz="8" w:color="auto"/>
            </w:tcBorders>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Pr>
          <w:p>
            <w:pPr>
              <w:spacing w:after="0"/>
              <w:rPr>
                <w:sz w:val="16"/>
                <w:szCs w:val="16"/>
                <w:color w:val="auto"/>
              </w:rPr>
            </w:pPr>
          </w:p>
        </w:tc>
        <w:tc>
          <w:tcPr>
            <w:tcW w:w="676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0" w:type="dxa"/>
            <w:vAlign w:val="bottom"/>
            <w:shd w:val="clear" w:color="auto" w:fill="DDDDDD"/>
          </w:tcPr>
          <w:p>
            <w:pPr>
              <w:spacing w:after="0"/>
              <w:rPr>
                <w:sz w:val="23"/>
                <w:szCs w:val="23"/>
                <w:color w:val="auto"/>
              </w:rPr>
            </w:pPr>
          </w:p>
        </w:tc>
        <w:tc>
          <w:tcPr>
            <w:tcW w:w="67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DDDDDD"/>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23"/>
                <w:szCs w:val="23"/>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4"/>
        </w:trPr>
        <w:tc>
          <w:tcPr>
            <w:tcW w:w="40" w:type="dxa"/>
            <w:vAlign w:val="bottom"/>
            <w:shd w:val="clear" w:color="auto" w:fill="DDDDDD"/>
          </w:tcPr>
          <w:p>
            <w:pPr>
              <w:spacing w:after="0"/>
              <w:rPr>
                <w:sz w:val="23"/>
                <w:szCs w:val="23"/>
                <w:color w:val="auto"/>
              </w:rPr>
            </w:pPr>
          </w:p>
        </w:tc>
        <w:tc>
          <w:tcPr>
            <w:tcW w:w="6760" w:type="dxa"/>
            <w:vAlign w:val="bottom"/>
            <w:gridSpan w:val="3"/>
            <w:shd w:val="clear" w:color="auto" w:fill="DDDDDD"/>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DDDDDD"/>
          </w:tcPr>
          <w:p>
            <w:pPr>
              <w:spacing w:after="0"/>
              <w:rPr>
                <w:sz w:val="23"/>
                <w:szCs w:val="23"/>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liabilities held-for-sale</w:t>
            </w:r>
          </w:p>
        </w:tc>
        <w:tc>
          <w:tcPr>
            <w:tcW w:w="340" w:type="dxa"/>
            <w:vAlign w:val="bottom"/>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111</w:t>
      </w:r>
    </w:p>
    <w:p>
      <w:pPr>
        <w:sectPr>
          <w:pgSz w:w="11880" w:h="15480" w:orient="portrait"/>
          <w:cols w:equalWidth="0" w:num="1">
            <w:col w:w="9400"/>
          </w:cols>
          <w:pgMar w:left="1220" w:top="1255" w:right="1260" w:bottom="254" w:gutter="0" w:footer="0" w:header="0"/>
        </w:sectPr>
      </w:pPr>
    </w:p>
    <w:bookmarkStart w:id="118" w:name="page119"/>
    <w:bookmarkEnd w:id="118"/>
    <w:p>
      <w:pPr>
        <w:ind w:left="320"/>
        <w:spacing w:after="0"/>
        <w:rPr>
          <w:sz w:val="20"/>
          <w:szCs w:val="20"/>
          <w:color w:val="auto"/>
        </w:rPr>
      </w:pPr>
      <w:r>
        <w:rPr>
          <w:rFonts w:ascii="Times New Roman" w:cs="Times New Roman" w:eastAsia="Times New Roman" w:hAnsi="Times New Roman"/>
          <w:sz w:val="18"/>
          <w:szCs w:val="18"/>
          <w:color w:val="auto"/>
        </w:rPr>
        <w:t>(a)(3) EXHIBITS</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rPr>
          <w:sz w:val="20"/>
          <w:szCs w:val="20"/>
          <w:color w:val="auto"/>
        </w:rPr>
      </w:pPr>
      <w:r>
        <w:rPr>
          <w:rFonts w:ascii="Times New Roman" w:cs="Times New Roman" w:eastAsia="Times New Roman" w:hAnsi="Times New Roman"/>
          <w:sz w:val="18"/>
          <w:szCs w:val="18"/>
          <w:b w:val="1"/>
          <w:bCs w:val="1"/>
          <w:color w:val="auto"/>
        </w:rPr>
        <w:t>Number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440055</wp:posOffset>
                </wp:positionH>
                <wp:positionV relativeFrom="paragraph">
                  <wp:posOffset>36195</wp:posOffset>
                </wp:positionV>
                <wp:extent cx="513270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2705" cy="4763"/>
                        </a:xfrm>
                        <a:prstGeom prst="line">
                          <a:avLst/>
                        </a:prstGeom>
                        <a:solidFill>
                          <a:srgbClr val="FFFFFF"/>
                        </a:solidFill>
                        <a:ln w="11124">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5pt,2.85pt" to="438.8pt,2.85pt" o:allowincell="f" strokecolor="#000000" strokeweight="0.8759pt"/>
            </w:pict>
          </mc:Fallback>
        </mc:AlternateContent>
      </w:r>
    </w:p>
    <w:p>
      <w:pPr>
        <w:spacing w:after="0" w:line="47" w:lineRule="exact"/>
        <w:rPr>
          <w:sz w:val="20"/>
          <w:szCs w:val="20"/>
          <w:color w:val="auto"/>
        </w:rPr>
      </w:pPr>
    </w:p>
    <w:p>
      <w:pPr>
        <w:ind w:left="740" w:right="360" w:hanging="348"/>
        <w:spacing w:after="0" w:line="237" w:lineRule="auto"/>
        <w:rPr>
          <w:sz w:val="20"/>
          <w:szCs w:val="20"/>
          <w:color w:val="auto"/>
        </w:rPr>
      </w:pPr>
      <w:r>
        <w:rPr>
          <w:rFonts w:ascii="Times New Roman" w:cs="Times New Roman" w:eastAsia="Times New Roman" w:hAnsi="Times New Roman"/>
          <w:sz w:val="18"/>
          <w:szCs w:val="18"/>
          <w:color w:val="auto"/>
        </w:rPr>
        <w:t>2.1 Agreement and Plan of Merger, dated May 7, 2018, by and among the Registrant, Frutarom Industries Ltd. and Icon Newco Ltd., incorporated by reference to Exhibit 2.1 to the Registrant’s Current Report on Form 8-K filed on May 9, 2018.</w:t>
      </w:r>
    </w:p>
    <w:p>
      <w:pPr>
        <w:spacing w:after="0" w:line="30" w:lineRule="exact"/>
        <w:rPr>
          <w:sz w:val="20"/>
          <w:szCs w:val="20"/>
          <w:color w:val="auto"/>
        </w:rPr>
      </w:pPr>
    </w:p>
    <w:p>
      <w:pPr>
        <w:ind w:left="740" w:right="640" w:hanging="348"/>
        <w:spacing w:after="0" w:line="237" w:lineRule="auto"/>
        <w:rPr>
          <w:sz w:val="20"/>
          <w:szCs w:val="20"/>
          <w:color w:val="auto"/>
        </w:rPr>
      </w:pPr>
      <w:r>
        <w:rPr>
          <w:rFonts w:ascii="Times New Roman" w:cs="Times New Roman" w:eastAsia="Times New Roman" w:hAnsi="Times New Roman"/>
          <w:sz w:val="18"/>
          <w:szCs w:val="18"/>
          <w:color w:val="auto"/>
        </w:rPr>
        <w:t>2.2 Amendment No. 1 to Agreement and Plan of Merger, dated August 25, 2018, by and among International Flavors &amp; Fragrances, Inc., Frutarom Industries Ltd. and Icon Newco Ltd. incorporated by reference to Exhibit 2.1 to the Registrant’s Current Report on Form 8-K filed on August 27, 2018.</w:t>
      </w:r>
    </w:p>
    <w:p>
      <w:pPr>
        <w:spacing w:after="0" w:line="30" w:lineRule="exact"/>
        <w:rPr>
          <w:sz w:val="20"/>
          <w:szCs w:val="20"/>
          <w:color w:val="auto"/>
        </w:rPr>
      </w:pPr>
    </w:p>
    <w:p>
      <w:pPr>
        <w:jc w:val="both"/>
        <w:ind w:left="740" w:right="340" w:hanging="348"/>
        <w:spacing w:after="0" w:line="237" w:lineRule="auto"/>
        <w:rPr>
          <w:sz w:val="20"/>
          <w:szCs w:val="20"/>
          <w:color w:val="auto"/>
        </w:rPr>
      </w:pPr>
      <w:r>
        <w:rPr>
          <w:rFonts w:ascii="Times New Roman" w:cs="Times New Roman" w:eastAsia="Times New Roman" w:hAnsi="Times New Roman"/>
          <w:sz w:val="18"/>
          <w:szCs w:val="18"/>
          <w:color w:val="auto"/>
        </w:rPr>
        <w:t>2.3 Agreement and Plan of Merger, dated December 15, 2019, by and among DuPont de Nemours Inc., Nutrition &amp; Biosciences, Inc., International Flavors &amp; Fragrances Inc. and Neptune Merger Sub I Inc., incorporated by reference to Exhibit 2.1 to the Registrant’s Current Report on Form 8-K filed on December 18, 2019.</w:t>
      </w:r>
    </w:p>
    <w:p>
      <w:pPr>
        <w:spacing w:after="0" w:line="30" w:lineRule="exact"/>
        <w:rPr>
          <w:sz w:val="20"/>
          <w:szCs w:val="20"/>
          <w:color w:val="auto"/>
        </w:rPr>
      </w:pPr>
    </w:p>
    <w:p>
      <w:pPr>
        <w:jc w:val="both"/>
        <w:ind w:left="740" w:right="400" w:hanging="348"/>
        <w:spacing w:after="0" w:line="237" w:lineRule="auto"/>
        <w:rPr>
          <w:sz w:val="20"/>
          <w:szCs w:val="20"/>
          <w:color w:val="auto"/>
        </w:rPr>
      </w:pPr>
      <w:r>
        <w:rPr>
          <w:rFonts w:ascii="Times New Roman" w:cs="Times New Roman" w:eastAsia="Times New Roman" w:hAnsi="Times New Roman"/>
          <w:sz w:val="18"/>
          <w:szCs w:val="18"/>
          <w:color w:val="auto"/>
        </w:rPr>
        <w:t>2.4 Separation and Distribution Agreement, dated as of December 15, 2019, by and among DuPont de Nemours Inc., Nutrition &amp; Biosciences, Inc. and International Flavors &amp; Fragrances Inc., incorporated by reference to Exhibit 2.2 to the Registrant’s Current Report on Form 8-K filed on December 18, 2019.</w:t>
      </w:r>
    </w:p>
    <w:p>
      <w:pPr>
        <w:spacing w:after="0" w:line="30" w:lineRule="exact"/>
        <w:rPr>
          <w:sz w:val="20"/>
          <w:szCs w:val="20"/>
          <w:color w:val="auto"/>
        </w:rPr>
      </w:pPr>
    </w:p>
    <w:p>
      <w:pPr>
        <w:ind w:left="740" w:right="460" w:hanging="461"/>
        <w:spacing w:after="0" w:line="230" w:lineRule="auto"/>
        <w:rPr>
          <w:sz w:val="20"/>
          <w:szCs w:val="20"/>
          <w:color w:val="auto"/>
        </w:rPr>
      </w:pPr>
      <w:r>
        <w:rPr>
          <w:rFonts w:ascii="Times New Roman" w:cs="Times New Roman" w:eastAsia="Times New Roman" w:hAnsi="Times New Roman"/>
          <w:sz w:val="18"/>
          <w:szCs w:val="18"/>
          <w:color w:val="auto"/>
        </w:rPr>
        <w:t>2.4(i) Amendment No. 1 to the Separation and Distribution Agreement, dated January 22, 2021, by and among DuPont de Nemours, Inc., Nutrition &amp; Biosciences, Inc., International Flavors &amp; Fragrances Inc. and Neptune Merger Sub II LLC, incorporated by reference to Exhibit 2.1 to the Registrant’s Current Report on Form 8-K filed on January 25, 2021.</w:t>
      </w:r>
    </w:p>
    <w:p>
      <w:pPr>
        <w:spacing w:after="0" w:line="25" w:lineRule="exact"/>
        <w:rPr>
          <w:sz w:val="20"/>
          <w:szCs w:val="20"/>
          <w:color w:val="auto"/>
        </w:rPr>
      </w:pPr>
    </w:p>
    <w:p>
      <w:pPr>
        <w:ind w:left="740" w:right="460" w:hanging="512"/>
        <w:spacing w:after="0" w:line="231" w:lineRule="auto"/>
        <w:rPr>
          <w:sz w:val="20"/>
          <w:szCs w:val="20"/>
          <w:color w:val="auto"/>
        </w:rPr>
      </w:pPr>
      <w:r>
        <w:rPr>
          <w:rFonts w:ascii="Times New Roman" w:cs="Times New Roman" w:eastAsia="Times New Roman" w:hAnsi="Times New Roman"/>
          <w:sz w:val="18"/>
          <w:szCs w:val="18"/>
          <w:color w:val="auto"/>
        </w:rPr>
        <w:t>2.4(ii) Amendment No. 2 to the Separation and Distribution Agreement, dated February 1, 2021, by and among DuPont de Nemours, Inc., Nutrition &amp; Biosciences, Inc., International Flavors &amp; Fragrances Inc. and Neptune Merger Sub II LLC, incorporated by reference to Exhibit 2.4 to the Registrant’s Current Report on Form 8-K filed on February 3, 2021.</w:t>
      </w:r>
    </w:p>
    <w:p>
      <w:pPr>
        <w:spacing w:after="0" w:line="26" w:lineRule="exact"/>
        <w:rPr>
          <w:sz w:val="20"/>
          <w:szCs w:val="20"/>
          <w:color w:val="auto"/>
        </w:rPr>
      </w:pPr>
    </w:p>
    <w:p>
      <w:pPr>
        <w:ind w:left="740" w:right="720" w:hanging="348"/>
        <w:spacing w:after="0" w:line="259" w:lineRule="auto"/>
        <w:rPr>
          <w:sz w:val="20"/>
          <w:szCs w:val="20"/>
          <w:color w:val="auto"/>
        </w:rPr>
      </w:pPr>
      <w:r>
        <w:rPr>
          <w:rFonts w:ascii="Times New Roman" w:cs="Times New Roman" w:eastAsia="Times New Roman" w:hAnsi="Times New Roman"/>
          <w:sz w:val="18"/>
          <w:szCs w:val="18"/>
          <w:color w:val="auto"/>
        </w:rPr>
        <w:t>3.1 Restated Certificate of Incorporation of the Registrant, incorporated by reference to Exhibit 10(g) to the Registrant’s Quarterly Report on Form 10-Q filed on August 12, 2002.</w:t>
      </w:r>
    </w:p>
    <w:p>
      <w:pPr>
        <w:spacing w:after="0" w:line="4" w:lineRule="exact"/>
        <w:rPr>
          <w:sz w:val="20"/>
          <w:szCs w:val="20"/>
          <w:color w:val="auto"/>
        </w:rPr>
      </w:pPr>
    </w:p>
    <w:p>
      <w:pPr>
        <w:ind w:left="740" w:right="780" w:hanging="348"/>
        <w:spacing w:after="0" w:line="259" w:lineRule="auto"/>
        <w:rPr>
          <w:sz w:val="20"/>
          <w:szCs w:val="20"/>
          <w:color w:val="auto"/>
        </w:rPr>
      </w:pPr>
      <w:r>
        <w:rPr>
          <w:rFonts w:ascii="Times New Roman" w:cs="Times New Roman" w:eastAsia="Times New Roman" w:hAnsi="Times New Roman"/>
          <w:sz w:val="18"/>
          <w:szCs w:val="18"/>
          <w:color w:val="auto"/>
        </w:rPr>
        <w:t>3.2 Bylaws of International Flavors &amp; Fragrances Inc., effective as of December 13, 2022, incorporated by reference to Exhibit 3.1 to the Registrant's Current Report on Form 8-K filed on December 19, 2022.</w:t>
      </w:r>
    </w:p>
    <w:p>
      <w:pPr>
        <w:spacing w:after="0" w:line="4" w:lineRule="exact"/>
        <w:rPr>
          <w:sz w:val="20"/>
          <w:szCs w:val="20"/>
          <w:color w:val="auto"/>
        </w:rPr>
      </w:pPr>
    </w:p>
    <w:p>
      <w:pPr>
        <w:jc w:val="both"/>
        <w:ind w:left="740" w:right="400" w:hanging="348"/>
        <w:spacing w:after="0" w:line="237" w:lineRule="auto"/>
        <w:rPr>
          <w:sz w:val="20"/>
          <w:szCs w:val="20"/>
          <w:color w:val="auto"/>
        </w:rPr>
      </w:pPr>
      <w:r>
        <w:rPr>
          <w:rFonts w:ascii="Times New Roman" w:cs="Times New Roman" w:eastAsia="Times New Roman" w:hAnsi="Times New Roman"/>
          <w:sz w:val="18"/>
          <w:szCs w:val="18"/>
          <w:color w:val="auto"/>
        </w:rPr>
        <w:t>4.1 Indenture, dated as of April 4, 2013, between the Registrant and U.S. Bank National Association, as Trustee (including the form of Notes), incorporated by reference to Exhibit 4.1 to the Registrant’s Current Report on Form 8-K filed on April 4, 2013.</w:t>
      </w:r>
    </w:p>
    <w:p>
      <w:pPr>
        <w:spacing w:after="0" w:line="30" w:lineRule="exact"/>
        <w:rPr>
          <w:sz w:val="20"/>
          <w:szCs w:val="20"/>
          <w:color w:val="auto"/>
        </w:rPr>
      </w:pPr>
    </w:p>
    <w:p>
      <w:pPr>
        <w:ind w:left="740" w:right="340" w:hanging="348"/>
        <w:spacing w:after="0" w:line="237" w:lineRule="auto"/>
        <w:rPr>
          <w:sz w:val="20"/>
          <w:szCs w:val="20"/>
          <w:color w:val="auto"/>
        </w:rPr>
      </w:pPr>
      <w:r>
        <w:rPr>
          <w:rFonts w:ascii="Times New Roman" w:cs="Times New Roman" w:eastAsia="Times New Roman" w:hAnsi="Times New Roman"/>
          <w:sz w:val="18"/>
          <w:szCs w:val="18"/>
          <w:color w:val="auto"/>
        </w:rPr>
        <w:t>4.2 Indenture, dated as of March 2, 2016, between the Registrant and U.S. Bank National Association, as Trustee (including the form of Debt Security), incorporated by reference to Exhibit 4.1 to the Registrant’s Registration Statement on Form S-3 (Registration No. 333-209889) filed on March 2, 2016.</w:t>
      </w:r>
    </w:p>
    <w:p>
      <w:pPr>
        <w:spacing w:after="0" w:line="30" w:lineRule="exact"/>
        <w:rPr>
          <w:sz w:val="20"/>
          <w:szCs w:val="20"/>
          <w:color w:val="auto"/>
        </w:rPr>
      </w:pPr>
    </w:p>
    <w:p>
      <w:pPr>
        <w:ind w:left="740" w:right="540" w:hanging="348"/>
        <w:spacing w:after="0" w:line="237" w:lineRule="auto"/>
        <w:rPr>
          <w:sz w:val="20"/>
          <w:szCs w:val="20"/>
          <w:color w:val="auto"/>
        </w:rPr>
      </w:pPr>
      <w:r>
        <w:rPr>
          <w:rFonts w:ascii="Times New Roman" w:cs="Times New Roman" w:eastAsia="Times New Roman" w:hAnsi="Times New Roman"/>
          <w:sz w:val="18"/>
          <w:szCs w:val="18"/>
          <w:color w:val="auto"/>
        </w:rPr>
        <w:t>4.3 First Supplemental Indenture, dated as of March 14, 2016, between the Registrant and U.S. Bank National Association, as Trustee (including the form of Notes), incorporated by reference to Exhibit 4.7 to the Registrant’s Current Report on Form 8-K filed on March 14, 2016.</w:t>
      </w:r>
    </w:p>
    <w:p>
      <w:pPr>
        <w:spacing w:after="0" w:line="30" w:lineRule="exact"/>
        <w:rPr>
          <w:sz w:val="20"/>
          <w:szCs w:val="20"/>
          <w:color w:val="auto"/>
        </w:rPr>
      </w:pPr>
    </w:p>
    <w:p>
      <w:pPr>
        <w:ind w:left="740" w:right="480" w:hanging="348"/>
        <w:spacing w:after="0" w:line="235" w:lineRule="auto"/>
        <w:rPr>
          <w:sz w:val="20"/>
          <w:szCs w:val="20"/>
          <w:color w:val="auto"/>
        </w:rPr>
      </w:pPr>
      <w:r>
        <w:rPr>
          <w:rFonts w:ascii="Times New Roman" w:cs="Times New Roman" w:eastAsia="Times New Roman" w:hAnsi="Times New Roman"/>
          <w:sz w:val="18"/>
          <w:szCs w:val="18"/>
          <w:color w:val="auto"/>
        </w:rPr>
        <w:t>4.4 Second Supplemental Indenture, dated as of May 18, 2017, between the Registrant and U.S. Bank National Association, as Trustee (including the form of Notes), incorporated by reference to Exhibit 4.7 to the Registrant’s Current Report on Form 8-K filed on May 18, 2017.</w:t>
      </w:r>
    </w:p>
    <w:p>
      <w:pPr>
        <w:spacing w:after="0" w:line="31" w:lineRule="exact"/>
        <w:rPr>
          <w:sz w:val="20"/>
          <w:szCs w:val="20"/>
          <w:color w:val="auto"/>
        </w:rPr>
      </w:pPr>
    </w:p>
    <w:p>
      <w:pPr>
        <w:ind w:left="740" w:right="400" w:hanging="348"/>
        <w:spacing w:after="0" w:line="237" w:lineRule="auto"/>
        <w:rPr>
          <w:sz w:val="20"/>
          <w:szCs w:val="20"/>
          <w:color w:val="auto"/>
        </w:rPr>
      </w:pPr>
      <w:r>
        <w:rPr>
          <w:rFonts w:ascii="Times New Roman" w:cs="Times New Roman" w:eastAsia="Times New Roman" w:hAnsi="Times New Roman"/>
          <w:sz w:val="18"/>
          <w:szCs w:val="18"/>
          <w:color w:val="auto"/>
        </w:rPr>
        <w:t>4.5 Third Supplemental Indenture, dated as of September 17, 2018, between International Flavors &amp; Fragrances Inc. and U.S. Bank National Association, as trustee, incorporated by reference to Exhibit 4.5 to the Registrant’s Current Report on Form 8-K filed on September 17, 2018.</w:t>
      </w:r>
    </w:p>
    <w:p>
      <w:pPr>
        <w:spacing w:after="0" w:line="30" w:lineRule="exact"/>
        <w:rPr>
          <w:sz w:val="20"/>
          <w:szCs w:val="20"/>
          <w:color w:val="auto"/>
        </w:rPr>
      </w:pPr>
    </w:p>
    <w:p>
      <w:pPr>
        <w:ind w:left="740" w:right="680" w:hanging="348"/>
        <w:spacing w:after="0" w:line="261" w:lineRule="auto"/>
        <w:rPr>
          <w:sz w:val="20"/>
          <w:szCs w:val="20"/>
          <w:color w:val="auto"/>
        </w:rPr>
      </w:pPr>
      <w:r>
        <w:rPr>
          <w:rFonts w:ascii="Times New Roman" w:cs="Times New Roman" w:eastAsia="Times New Roman" w:hAnsi="Times New Roman"/>
          <w:sz w:val="18"/>
          <w:szCs w:val="18"/>
          <w:color w:val="auto"/>
        </w:rPr>
        <w:t>4.6 Form of Amortizing Note, incorporated by reference to Exhibit 4.5 to the Registrant’s Current Report on Form 8-K filed on September 17, 2018.</w:t>
      </w:r>
    </w:p>
    <w:p>
      <w:pPr>
        <w:spacing w:after="0" w:line="1" w:lineRule="exact"/>
        <w:rPr>
          <w:sz w:val="20"/>
          <w:szCs w:val="20"/>
          <w:color w:val="auto"/>
        </w:rPr>
      </w:pPr>
    </w:p>
    <w:p>
      <w:pPr>
        <w:ind w:left="740" w:right="480" w:hanging="348"/>
        <w:spacing w:after="0" w:line="231" w:lineRule="auto"/>
        <w:rPr>
          <w:sz w:val="20"/>
          <w:szCs w:val="20"/>
          <w:color w:val="auto"/>
        </w:rPr>
      </w:pPr>
      <w:r>
        <w:rPr>
          <w:rFonts w:ascii="Times New Roman" w:cs="Times New Roman" w:eastAsia="Times New Roman" w:hAnsi="Times New Roman"/>
          <w:sz w:val="18"/>
          <w:szCs w:val="18"/>
          <w:color w:val="auto"/>
        </w:rPr>
        <w:t>4.7 Purchase Contract Agreement, dated September 17, 2018, between International Flavors &amp; Fragrances Inc. and U.S. Bank National Association, as purchase contract agent, as attorney-in-fact for holders of the purchase contracts referred to therein and as trustee under the indenture referred to therein, incorporated by reference to Exhibit 4.1 to the Registrant’s Current Report on Form 8-K filed on September 17, 2018.</w:t>
      </w:r>
    </w:p>
    <w:p>
      <w:pPr>
        <w:spacing w:after="0" w:line="26" w:lineRule="exact"/>
        <w:rPr>
          <w:sz w:val="20"/>
          <w:szCs w:val="20"/>
          <w:color w:val="auto"/>
        </w:rPr>
      </w:pPr>
    </w:p>
    <w:p>
      <w:pPr>
        <w:ind w:left="740" w:right="440" w:hanging="348"/>
        <w:spacing w:after="0" w:line="259" w:lineRule="auto"/>
        <w:rPr>
          <w:sz w:val="20"/>
          <w:szCs w:val="20"/>
          <w:color w:val="auto"/>
        </w:rPr>
      </w:pPr>
      <w:r>
        <w:rPr>
          <w:rFonts w:ascii="Times New Roman" w:cs="Times New Roman" w:eastAsia="Times New Roman" w:hAnsi="Times New Roman"/>
          <w:sz w:val="18"/>
          <w:szCs w:val="18"/>
          <w:color w:val="auto"/>
        </w:rPr>
        <w:t>4.8 Form of Unit, incorporated by reference to Exhibit 4.1 to the Registrant’s Current Report on Form 8-K filed on September 17, 2018.</w:t>
      </w:r>
    </w:p>
    <w:p>
      <w:pPr>
        <w:spacing w:after="0" w:line="4" w:lineRule="exact"/>
        <w:rPr>
          <w:sz w:val="20"/>
          <w:szCs w:val="20"/>
          <w:color w:val="auto"/>
        </w:rPr>
      </w:pPr>
    </w:p>
    <w:p>
      <w:pPr>
        <w:ind w:left="740" w:right="580" w:hanging="348"/>
        <w:spacing w:after="0" w:line="259" w:lineRule="auto"/>
        <w:rPr>
          <w:sz w:val="20"/>
          <w:szCs w:val="20"/>
          <w:color w:val="auto"/>
        </w:rPr>
      </w:pPr>
      <w:r>
        <w:rPr>
          <w:rFonts w:ascii="Times New Roman" w:cs="Times New Roman" w:eastAsia="Times New Roman" w:hAnsi="Times New Roman"/>
          <w:sz w:val="18"/>
          <w:szCs w:val="18"/>
          <w:color w:val="auto"/>
        </w:rPr>
        <w:t>4.9 Form of Purchase Contract, incorporated by reference to Exhibit 4.1 to the Registrant’s Current Report on Form 8-K filed on September 17, 2018.</w:t>
      </w:r>
    </w:p>
    <w:p>
      <w:pPr>
        <w:spacing w:after="0" w:line="4" w:lineRule="exact"/>
        <w:rPr>
          <w:sz w:val="20"/>
          <w:szCs w:val="20"/>
          <w:color w:val="auto"/>
        </w:rPr>
      </w:pPr>
    </w:p>
    <w:p>
      <w:pPr>
        <w:ind w:left="740" w:right="320" w:hanging="439"/>
        <w:spacing w:after="0" w:line="237" w:lineRule="auto"/>
        <w:rPr>
          <w:sz w:val="20"/>
          <w:szCs w:val="20"/>
          <w:color w:val="auto"/>
        </w:rPr>
      </w:pPr>
      <w:r>
        <w:rPr>
          <w:rFonts w:ascii="Times New Roman" w:cs="Times New Roman" w:eastAsia="Times New Roman" w:hAnsi="Times New Roman"/>
          <w:sz w:val="18"/>
          <w:szCs w:val="18"/>
          <w:color w:val="auto"/>
        </w:rPr>
        <w:t>4.10 Fourth Supplemental Indenture, dated as of September 25, 2018, between International Flavors &amp; Fragrances Inc. and U.S. Bank National Association, as trustee, incorporated by reference to Exhibit 4.2 to the Registrant’s Current Report on Form 8-K filed on September 25, 2018.</w:t>
      </w:r>
    </w:p>
    <w:p>
      <w:pPr>
        <w:spacing w:after="0" w:line="30" w:lineRule="exact"/>
        <w:rPr>
          <w:sz w:val="20"/>
          <w:szCs w:val="20"/>
          <w:color w:val="auto"/>
        </w:rPr>
      </w:pPr>
    </w:p>
    <w:p>
      <w:pPr>
        <w:ind w:left="740" w:right="380" w:hanging="439"/>
        <w:spacing w:after="0" w:line="259" w:lineRule="auto"/>
        <w:rPr>
          <w:sz w:val="20"/>
          <w:szCs w:val="20"/>
          <w:color w:val="auto"/>
        </w:rPr>
      </w:pPr>
      <w:r>
        <w:rPr>
          <w:rFonts w:ascii="Times New Roman" w:cs="Times New Roman" w:eastAsia="Times New Roman" w:hAnsi="Times New Roman"/>
          <w:sz w:val="18"/>
          <w:szCs w:val="18"/>
          <w:color w:val="auto"/>
        </w:rPr>
        <w:t>4.11 Form of Global Note for the 2021 Notes, incorporated by reference to Exhibit 4.2 to the Registrant’s Current Report on Form 8-K filed on September 25, 2018.</w:t>
      </w:r>
    </w:p>
    <w:p>
      <w:pPr>
        <w:spacing w:after="0" w:line="4" w:lineRule="exact"/>
        <w:rPr>
          <w:sz w:val="20"/>
          <w:szCs w:val="20"/>
          <w:color w:val="auto"/>
        </w:rPr>
      </w:pPr>
    </w:p>
    <w:p>
      <w:pPr>
        <w:ind w:left="740" w:right="380" w:hanging="439"/>
        <w:spacing w:after="0" w:line="259" w:lineRule="auto"/>
        <w:rPr>
          <w:sz w:val="20"/>
          <w:szCs w:val="20"/>
          <w:color w:val="auto"/>
        </w:rPr>
      </w:pPr>
      <w:r>
        <w:rPr>
          <w:rFonts w:ascii="Times New Roman" w:cs="Times New Roman" w:eastAsia="Times New Roman" w:hAnsi="Times New Roman"/>
          <w:sz w:val="18"/>
          <w:szCs w:val="18"/>
          <w:color w:val="auto"/>
        </w:rPr>
        <w:t>4.12 Form of Global Note for the 2026 Notes, incorporated by reference to Exhibit 4.2 to the Registrant’s Current Report on Form 8-K filed on September 25, 2018.</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880" w:h="15480" w:orient="portrait"/>
          <w:cols w:equalWidth="0" w:num="1">
            <w:col w:w="9040"/>
          </w:cols>
          <w:pgMar w:left="1400" w:top="1255" w:right="1440" w:bottom="254"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rPr>
          <w:sz w:val="20"/>
          <w:szCs w:val="20"/>
          <w:color w:val="auto"/>
        </w:rPr>
      </w:pPr>
      <w:r>
        <w:rPr>
          <w:rFonts w:ascii="Times New Roman" w:cs="Times New Roman" w:eastAsia="Times New Roman" w:hAnsi="Times New Roman"/>
          <w:sz w:val="18"/>
          <w:szCs w:val="18"/>
          <w:b w:val="1"/>
          <w:bCs w:val="1"/>
          <w:color w:val="auto"/>
        </w:rPr>
        <w:t>Number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440055</wp:posOffset>
                </wp:positionH>
                <wp:positionV relativeFrom="paragraph">
                  <wp:posOffset>36195</wp:posOffset>
                </wp:positionV>
                <wp:extent cx="513270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2705"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5pt,2.85pt" to="438.8pt,2.85pt" o:allowincell="f" strokecolor="#000000" strokeweight="0.875pt"/>
            </w:pict>
          </mc:Fallback>
        </mc:AlternateContent>
      </w:r>
    </w:p>
    <w:p>
      <w:pPr>
        <w:spacing w:after="0" w:line="65" w:lineRule="exact"/>
        <w:rPr>
          <w:sz w:val="20"/>
          <w:szCs w:val="20"/>
          <w:color w:val="auto"/>
        </w:rPr>
      </w:pPr>
    </w:p>
    <w:p>
      <w:pPr>
        <w:ind w:left="740" w:right="460" w:hanging="439"/>
        <w:spacing w:after="0" w:line="237" w:lineRule="auto"/>
        <w:rPr>
          <w:sz w:val="20"/>
          <w:szCs w:val="20"/>
          <w:color w:val="auto"/>
        </w:rPr>
      </w:pPr>
      <w:r>
        <w:rPr>
          <w:rFonts w:ascii="Times New Roman" w:cs="Times New Roman" w:eastAsia="Times New Roman" w:hAnsi="Times New Roman"/>
          <w:sz w:val="18"/>
          <w:szCs w:val="18"/>
          <w:color w:val="auto"/>
        </w:rPr>
        <w:t>4.13 Fifth Supplemental Indenture, dated as of September 26, 2018, between International Flavors &amp; Fragrances Inc. and U.S. Bank National Association, as trustee, incorporated by reference to Exhibit 4.2 to the Registrant’s Current Report on Form 8-K filed on September 26, 2018.</w:t>
      </w:r>
    </w:p>
    <w:p>
      <w:pPr>
        <w:spacing w:after="0" w:line="30" w:lineRule="exact"/>
        <w:rPr>
          <w:sz w:val="20"/>
          <w:szCs w:val="20"/>
          <w:color w:val="auto"/>
        </w:rPr>
      </w:pPr>
    </w:p>
    <w:p>
      <w:pPr>
        <w:ind w:left="740" w:right="380" w:hanging="439"/>
        <w:spacing w:after="0" w:line="259" w:lineRule="auto"/>
        <w:rPr>
          <w:sz w:val="20"/>
          <w:szCs w:val="20"/>
          <w:color w:val="auto"/>
        </w:rPr>
      </w:pPr>
      <w:r>
        <w:rPr>
          <w:rFonts w:ascii="Times New Roman" w:cs="Times New Roman" w:eastAsia="Times New Roman" w:hAnsi="Times New Roman"/>
          <w:sz w:val="18"/>
          <w:szCs w:val="18"/>
          <w:color w:val="auto"/>
        </w:rPr>
        <w:t>4.14 Form of Global Note for the 2020 Notes, incorporated by reference to Exhibit 4.2 to the Registrant’s Current Report on Form 8-K filed on September 26, 2018.</w:t>
      </w:r>
    </w:p>
    <w:p>
      <w:pPr>
        <w:spacing w:after="0" w:line="4" w:lineRule="exact"/>
        <w:rPr>
          <w:sz w:val="20"/>
          <w:szCs w:val="20"/>
          <w:color w:val="auto"/>
        </w:rPr>
      </w:pPr>
    </w:p>
    <w:p>
      <w:pPr>
        <w:ind w:left="740" w:right="380" w:hanging="439"/>
        <w:spacing w:after="0" w:line="261" w:lineRule="auto"/>
        <w:rPr>
          <w:sz w:val="20"/>
          <w:szCs w:val="20"/>
          <w:color w:val="auto"/>
        </w:rPr>
      </w:pPr>
      <w:r>
        <w:rPr>
          <w:rFonts w:ascii="Times New Roman" w:cs="Times New Roman" w:eastAsia="Times New Roman" w:hAnsi="Times New Roman"/>
          <w:sz w:val="18"/>
          <w:szCs w:val="18"/>
          <w:color w:val="auto"/>
        </w:rPr>
        <w:t>4.15 Form of Global Note for the 2028 Notes, incorporated by reference to Exhibit 4.2 to the Registrant’s Current Report on Form 8-K filed on September 26, 2018.</w:t>
      </w:r>
    </w:p>
    <w:p>
      <w:pPr>
        <w:spacing w:after="0" w:line="1" w:lineRule="exact"/>
        <w:rPr>
          <w:sz w:val="20"/>
          <w:szCs w:val="20"/>
          <w:color w:val="auto"/>
        </w:rPr>
      </w:pPr>
    </w:p>
    <w:p>
      <w:pPr>
        <w:ind w:left="740" w:right="900" w:hanging="439"/>
        <w:spacing w:after="0" w:line="263" w:lineRule="auto"/>
        <w:rPr>
          <w:sz w:val="20"/>
          <w:szCs w:val="20"/>
          <w:color w:val="auto"/>
        </w:rPr>
      </w:pPr>
      <w:r>
        <w:rPr>
          <w:rFonts w:ascii="Times New Roman" w:cs="Times New Roman" w:eastAsia="Times New Roman" w:hAnsi="Times New Roman"/>
          <w:sz w:val="18"/>
          <w:szCs w:val="18"/>
          <w:color w:val="auto"/>
        </w:rPr>
        <w:t>4.16 Form of Global Notes for the 2048 Notes, incorporated by reference to Exhibit 4.2 to the Registrant’s Current Report on Form 8-K filed on September 26, 2018.</w:t>
      </w:r>
    </w:p>
    <w:p>
      <w:pPr>
        <w:spacing w:after="0" w:line="2" w:lineRule="exact"/>
        <w:rPr>
          <w:sz w:val="20"/>
          <w:szCs w:val="20"/>
          <w:color w:val="auto"/>
        </w:rPr>
      </w:pPr>
    </w:p>
    <w:p>
      <w:pPr>
        <w:ind w:left="740" w:right="880" w:hanging="439"/>
        <w:spacing w:after="0" w:line="237" w:lineRule="auto"/>
        <w:rPr>
          <w:sz w:val="20"/>
          <w:szCs w:val="20"/>
          <w:color w:val="auto"/>
        </w:rPr>
      </w:pPr>
      <w:r>
        <w:rPr>
          <w:rFonts w:ascii="Times New Roman" w:cs="Times New Roman" w:eastAsia="Times New Roman" w:hAnsi="Times New Roman"/>
          <w:sz w:val="18"/>
          <w:szCs w:val="18"/>
          <w:color w:val="auto"/>
        </w:rPr>
        <w:t>4.17 Indenture, dated as of September 16, 2020, between the N&amp;B and U.S. Bank National Association, as Trustee (including the form of Notes), incorporated by reference to Exhibit 99.16 to the Registrant’s Registration Statement on Form S-4 (Registration No. 333-238072) filed on October 5, 2020.</w:t>
      </w:r>
    </w:p>
    <w:p>
      <w:pPr>
        <w:spacing w:after="0" w:line="30" w:lineRule="exact"/>
        <w:rPr>
          <w:sz w:val="20"/>
          <w:szCs w:val="20"/>
          <w:color w:val="auto"/>
        </w:rPr>
      </w:pPr>
    </w:p>
    <w:p>
      <w:pPr>
        <w:ind w:left="740" w:right="660" w:hanging="439"/>
        <w:spacing w:after="0" w:line="266" w:lineRule="auto"/>
        <w:rPr>
          <w:sz w:val="20"/>
          <w:szCs w:val="20"/>
          <w:color w:val="auto"/>
        </w:rPr>
      </w:pPr>
      <w:r>
        <w:rPr>
          <w:rFonts w:ascii="Times New Roman" w:cs="Times New Roman" w:eastAsia="Times New Roman" w:hAnsi="Times New Roman"/>
          <w:sz w:val="18"/>
          <w:szCs w:val="18"/>
          <w:color w:val="auto"/>
        </w:rPr>
        <w:t>4.18 First Supplemental Indenture, dated as of February 1, 2021, among Nutrition &amp; Biosciences, Inc., International Flavors &amp; Fragrances Inc. and U.S. Bank National Association, as Trustee. Incorporated by reference to Exhibit 4.2 to the Registrant’s Current Report on Form 8-K filed on February 4, 2021.</w:t>
      </w:r>
    </w:p>
    <w:p>
      <w:pPr>
        <w:spacing w:after="0" w:line="8" w:lineRule="exact"/>
        <w:rPr>
          <w:sz w:val="20"/>
          <w:szCs w:val="20"/>
          <w:color w:val="auto"/>
        </w:rPr>
      </w:pPr>
    </w:p>
    <w:p>
      <w:pPr>
        <w:ind w:left="740" w:right="720" w:hanging="439"/>
        <w:spacing w:after="0" w:line="237" w:lineRule="auto"/>
        <w:rPr>
          <w:sz w:val="20"/>
          <w:szCs w:val="20"/>
          <w:color w:val="auto"/>
        </w:rPr>
      </w:pPr>
      <w:r>
        <w:rPr>
          <w:rFonts w:ascii="Times New Roman" w:cs="Times New Roman" w:eastAsia="Times New Roman" w:hAnsi="Times New Roman"/>
          <w:sz w:val="18"/>
          <w:szCs w:val="18"/>
          <w:color w:val="auto"/>
        </w:rPr>
        <w:t>4.19 Second Supplemental Indenture, dated as of March 4, 2021, among Nutrition &amp; Biosciences, Inc., International Flavors &amp; Fragrances Inc. and U.S. Bank National Association, as trustee, incorporated by reference to Exhibit 4.1 to the Registrant's Current Report on Form 8-K filed on March 4, 2021.</w:t>
      </w:r>
    </w:p>
    <w:p>
      <w:pPr>
        <w:spacing w:after="0" w:line="30" w:lineRule="exact"/>
        <w:rPr>
          <w:sz w:val="20"/>
          <w:szCs w:val="20"/>
          <w:color w:val="auto"/>
        </w:rPr>
      </w:pPr>
    </w:p>
    <w:p>
      <w:pPr>
        <w:ind w:left="740" w:right="340" w:hanging="439"/>
        <w:spacing w:after="0" w:line="230" w:lineRule="auto"/>
        <w:rPr>
          <w:sz w:val="20"/>
          <w:szCs w:val="20"/>
          <w:color w:val="auto"/>
        </w:rPr>
      </w:pPr>
      <w:r>
        <w:rPr>
          <w:rFonts w:ascii="Times New Roman" w:cs="Times New Roman" w:eastAsia="Times New Roman" w:hAnsi="Times New Roman"/>
          <w:sz w:val="18"/>
          <w:szCs w:val="18"/>
          <w:color w:val="auto"/>
        </w:rPr>
        <w:t>4.20 Icon Debt Assumption Supplement, dated as of March 4, 2021, among Neptune Merger Sub II LLC (as successor by merger to Nutrition &amp; Biosciences, Inc.) and International Flavors &amp; Fragrances Inc., and as acknowledged by Morgan Stanley Senior Funding, Inc., as administrative agent, incorporated by reference to Exhibit 4.2 to the Registrant’s Current Report on Form 8-K filed on March 4, 2021.</w:t>
      </w:r>
    </w:p>
    <w:p>
      <w:pPr>
        <w:spacing w:after="0" w:line="25" w:lineRule="exact"/>
        <w:rPr>
          <w:sz w:val="20"/>
          <w:szCs w:val="20"/>
          <w:color w:val="auto"/>
        </w:rPr>
      </w:pPr>
    </w:p>
    <w:p>
      <w:pPr>
        <w:ind w:left="740" w:right="680" w:hanging="439"/>
        <w:spacing w:after="0" w:line="259" w:lineRule="auto"/>
        <w:rPr>
          <w:sz w:val="20"/>
          <w:szCs w:val="20"/>
          <w:color w:val="auto"/>
        </w:rPr>
      </w:pPr>
      <w:r>
        <w:rPr>
          <w:rFonts w:ascii="Times New Roman" w:cs="Times New Roman" w:eastAsia="Times New Roman" w:hAnsi="Times New Roman"/>
          <w:sz w:val="18"/>
          <w:szCs w:val="18"/>
          <w:color w:val="auto"/>
        </w:rPr>
        <w:t>4.21 Description of Securities, incorporated by reference to Exhibit 4.17 to the Registrant's Annual Report on Form 10-K filed on March 3, 2020.</w:t>
      </w:r>
    </w:p>
    <w:p>
      <w:pPr>
        <w:spacing w:after="0" w:line="4" w:lineRule="exact"/>
        <w:rPr>
          <w:sz w:val="20"/>
          <w:szCs w:val="20"/>
          <w:color w:val="auto"/>
        </w:rPr>
      </w:pPr>
    </w:p>
    <w:p>
      <w:pPr>
        <w:ind w:left="740" w:right="680" w:hanging="506"/>
        <w:spacing w:after="0" w:line="261" w:lineRule="auto"/>
        <w:rPr>
          <w:sz w:val="20"/>
          <w:szCs w:val="20"/>
          <w:color w:val="auto"/>
        </w:rPr>
      </w:pPr>
      <w:r>
        <w:rPr>
          <w:rFonts w:ascii="Times New Roman" w:cs="Times New Roman" w:eastAsia="Times New Roman" w:hAnsi="Times New Roman"/>
          <w:sz w:val="18"/>
          <w:szCs w:val="18"/>
          <w:color w:val="auto"/>
        </w:rPr>
        <w:t>*10.1 Letter Agreement, dated as of May 26, 2014, between the Registrant and Andreas Fibig, incorporated by reference to Exhibit 10.1 to the Registrant’s Current Report on Form 8-K filed on May 28, 2014.</w:t>
      </w:r>
    </w:p>
    <w:p>
      <w:pPr>
        <w:spacing w:after="0" w:line="1" w:lineRule="exact"/>
        <w:rPr>
          <w:sz w:val="20"/>
          <w:szCs w:val="20"/>
          <w:color w:val="auto"/>
        </w:rPr>
      </w:pPr>
    </w:p>
    <w:p>
      <w:pPr>
        <w:ind w:left="740" w:right="440" w:hanging="506"/>
        <w:spacing w:after="0" w:line="237" w:lineRule="auto"/>
        <w:rPr>
          <w:sz w:val="20"/>
          <w:szCs w:val="20"/>
          <w:color w:val="auto"/>
        </w:rPr>
      </w:pPr>
      <w:r>
        <w:rPr>
          <w:rFonts w:ascii="Times New Roman" w:cs="Times New Roman" w:eastAsia="Times New Roman" w:hAnsi="Times New Roman"/>
          <w:sz w:val="18"/>
          <w:szCs w:val="18"/>
          <w:color w:val="auto"/>
        </w:rPr>
        <w:t>*10.2 Letter Agreement between International Flavors &amp; Fragrances Inc. and Franklin K. Clyburn, Jr., effective January 18, 2022, incorporated by reference to Exhibit 10.1 to the Registrant’s Current Report on Form 8-K filed on January 20, 2022.</w:t>
      </w:r>
    </w:p>
    <w:p>
      <w:pPr>
        <w:spacing w:after="0" w:line="30" w:lineRule="exact"/>
        <w:rPr>
          <w:sz w:val="20"/>
          <w:szCs w:val="20"/>
          <w:color w:val="auto"/>
        </w:rPr>
      </w:pPr>
    </w:p>
    <w:p>
      <w:pPr>
        <w:ind w:left="740" w:right="480" w:hanging="506"/>
        <w:spacing w:after="0" w:line="261" w:lineRule="auto"/>
        <w:rPr>
          <w:sz w:val="20"/>
          <w:szCs w:val="20"/>
          <w:color w:val="auto"/>
        </w:rPr>
      </w:pPr>
      <w:r>
        <w:rPr>
          <w:rFonts w:ascii="Times New Roman" w:cs="Times New Roman" w:eastAsia="Times New Roman" w:hAnsi="Times New Roman"/>
          <w:sz w:val="18"/>
          <w:szCs w:val="18"/>
          <w:color w:val="auto"/>
        </w:rPr>
        <w:t>*10.3 Supplemental Retirement Plan, incorporated by reference to Exhibit 10.5 to the Registrant’s Annual Report on Form 10-K filed on February 27, 2008.</w:t>
      </w:r>
    </w:p>
    <w:p>
      <w:pPr>
        <w:spacing w:after="0" w:line="1" w:lineRule="exact"/>
        <w:rPr>
          <w:sz w:val="20"/>
          <w:szCs w:val="20"/>
          <w:color w:val="auto"/>
        </w:rPr>
      </w:pPr>
    </w:p>
    <w:p>
      <w:pPr>
        <w:ind w:left="740" w:right="900" w:hanging="506"/>
        <w:spacing w:after="0" w:line="263" w:lineRule="auto"/>
        <w:rPr>
          <w:sz w:val="20"/>
          <w:szCs w:val="20"/>
          <w:color w:val="auto"/>
        </w:rPr>
      </w:pPr>
      <w:r>
        <w:rPr>
          <w:rFonts w:ascii="Times New Roman" w:cs="Times New Roman" w:eastAsia="Times New Roman" w:hAnsi="Times New Roman"/>
          <w:sz w:val="18"/>
          <w:szCs w:val="18"/>
          <w:color w:val="auto"/>
        </w:rPr>
        <w:t>*10.4 2021 Stock Award and Incentive Plan, incorporated by reference to Annex 1 to the Registrant’s Proxy Statement filed with the Commission on March 23, 2021.</w:t>
      </w:r>
    </w:p>
    <w:p>
      <w:pPr>
        <w:spacing w:after="0" w:line="2" w:lineRule="exact"/>
        <w:rPr>
          <w:sz w:val="20"/>
          <w:szCs w:val="20"/>
          <w:color w:val="auto"/>
        </w:rPr>
      </w:pPr>
    </w:p>
    <w:p>
      <w:pPr>
        <w:ind w:left="740" w:right="520" w:hanging="506"/>
        <w:spacing w:after="0" w:line="237" w:lineRule="auto"/>
        <w:rPr>
          <w:sz w:val="20"/>
          <w:szCs w:val="20"/>
          <w:color w:val="auto"/>
        </w:rPr>
      </w:pPr>
      <w:r>
        <w:rPr>
          <w:rFonts w:ascii="Times New Roman" w:cs="Times New Roman" w:eastAsia="Times New Roman" w:hAnsi="Times New Roman"/>
          <w:sz w:val="18"/>
          <w:szCs w:val="18"/>
          <w:color w:val="auto"/>
        </w:rPr>
        <w:t>*10.5 Form of Restricted Stock Units Agreement – Non-Employee Director under the 2021 Stock Award and Incentive Plan, incorporated by reference to Exhibit 10.5 to the Registrant’s Annual Report on Form 10-K, filed on February 28, 2022.</w:t>
      </w:r>
    </w:p>
    <w:p>
      <w:pPr>
        <w:spacing w:after="0" w:line="26" w:lineRule="exact"/>
        <w:rPr>
          <w:sz w:val="20"/>
          <w:szCs w:val="20"/>
          <w:color w:val="auto"/>
        </w:rPr>
      </w:pPr>
    </w:p>
    <w:p>
      <w:pPr>
        <w:ind w:left="740" w:right="360" w:hanging="506"/>
        <w:spacing w:after="0" w:line="237" w:lineRule="auto"/>
        <w:rPr>
          <w:sz w:val="20"/>
          <w:szCs w:val="20"/>
          <w:color w:val="auto"/>
        </w:rPr>
      </w:pPr>
      <w:r>
        <w:rPr>
          <w:rFonts w:ascii="Times New Roman" w:cs="Times New Roman" w:eastAsia="Times New Roman" w:hAnsi="Times New Roman"/>
          <w:sz w:val="18"/>
          <w:szCs w:val="18"/>
          <w:color w:val="auto"/>
        </w:rPr>
        <w:t>*10.6 Form of Restricted Stock Units Award Agreement under the 2021 Stock Award and Incentive Plan, incorporated by reference to Exhibit 10.6 to the Registrant’s Annual Report on Form 10-K, filed on February 28, 2022.</w:t>
      </w:r>
    </w:p>
    <w:p>
      <w:pPr>
        <w:spacing w:after="0" w:line="30" w:lineRule="exact"/>
        <w:rPr>
          <w:sz w:val="20"/>
          <w:szCs w:val="20"/>
          <w:color w:val="auto"/>
        </w:rPr>
      </w:pPr>
    </w:p>
    <w:p>
      <w:pPr>
        <w:ind w:left="740" w:right="360" w:hanging="506"/>
        <w:spacing w:after="0" w:line="237" w:lineRule="auto"/>
        <w:rPr>
          <w:sz w:val="20"/>
          <w:szCs w:val="20"/>
          <w:color w:val="auto"/>
        </w:rPr>
      </w:pPr>
      <w:r>
        <w:rPr>
          <w:rFonts w:ascii="Times New Roman" w:cs="Times New Roman" w:eastAsia="Times New Roman" w:hAnsi="Times New Roman"/>
          <w:sz w:val="18"/>
          <w:szCs w:val="18"/>
          <w:color w:val="auto"/>
        </w:rPr>
        <w:t>*10.7 Form of Equity Choice Program Award Agreement under the 2021 Stock Award and Incentive Plan, incorporated by reference to Exhibit 10.7 to the Registrant’s Annual Report on Form 10-K, filed on February 28, 2022.</w:t>
      </w:r>
    </w:p>
    <w:p>
      <w:pPr>
        <w:spacing w:after="0" w:line="30" w:lineRule="exact"/>
        <w:rPr>
          <w:sz w:val="20"/>
          <w:szCs w:val="20"/>
          <w:color w:val="auto"/>
        </w:rPr>
      </w:pPr>
    </w:p>
    <w:p>
      <w:pPr>
        <w:ind w:left="740" w:right="540" w:hanging="506"/>
        <w:spacing w:after="0" w:line="237" w:lineRule="auto"/>
        <w:rPr>
          <w:sz w:val="20"/>
          <w:szCs w:val="20"/>
          <w:color w:val="auto"/>
        </w:rPr>
      </w:pPr>
      <w:r>
        <w:rPr>
          <w:rFonts w:ascii="Times New Roman" w:cs="Times New Roman" w:eastAsia="Times New Roman" w:hAnsi="Times New Roman"/>
          <w:sz w:val="18"/>
          <w:szCs w:val="18"/>
          <w:color w:val="auto"/>
        </w:rPr>
        <w:t>*10.8 Form of Performance-Based Restricted Stock Units Award Agreement under the 2021 Stock Award and Incentive Plan, incorporated by reference to Exhibit 10.8 to the Registrant’s Annual Report on Form 10-K, filed on February 28, 2022.</w:t>
      </w:r>
    </w:p>
    <w:p>
      <w:pPr>
        <w:spacing w:after="0" w:line="30" w:lineRule="exact"/>
        <w:rPr>
          <w:sz w:val="20"/>
          <w:szCs w:val="20"/>
          <w:color w:val="auto"/>
        </w:rPr>
      </w:pPr>
    </w:p>
    <w:p>
      <w:pPr>
        <w:ind w:left="740" w:right="420" w:hanging="506"/>
        <w:spacing w:after="0" w:line="259" w:lineRule="auto"/>
        <w:rPr>
          <w:sz w:val="20"/>
          <w:szCs w:val="20"/>
          <w:color w:val="auto"/>
        </w:rPr>
      </w:pPr>
      <w:r>
        <w:rPr>
          <w:rFonts w:ascii="Times New Roman" w:cs="Times New Roman" w:eastAsia="Times New Roman" w:hAnsi="Times New Roman"/>
          <w:sz w:val="18"/>
          <w:szCs w:val="18"/>
          <w:color w:val="auto"/>
        </w:rPr>
        <w:t>*10.9 2015 Stock Award and Incentive Plan, as amended and restated February 7, 2017, incorporated by reference to Exhibit 10.13 to the Registrant’s Annual Report on Form 10-K filed on February 28, 2017.</w:t>
      </w:r>
    </w:p>
    <w:p>
      <w:pPr>
        <w:spacing w:after="0" w:line="4" w:lineRule="exact"/>
        <w:rPr>
          <w:sz w:val="20"/>
          <w:szCs w:val="20"/>
          <w:color w:val="auto"/>
        </w:rPr>
      </w:pPr>
    </w:p>
    <w:p>
      <w:pPr>
        <w:ind w:left="740" w:right="560" w:hanging="597"/>
        <w:spacing w:after="0" w:line="237" w:lineRule="auto"/>
        <w:rPr>
          <w:sz w:val="20"/>
          <w:szCs w:val="20"/>
          <w:color w:val="auto"/>
        </w:rPr>
      </w:pPr>
      <w:r>
        <w:rPr>
          <w:rFonts w:ascii="Times New Roman" w:cs="Times New Roman" w:eastAsia="Times New Roman" w:hAnsi="Times New Roman"/>
          <w:sz w:val="18"/>
          <w:szCs w:val="18"/>
          <w:color w:val="auto"/>
        </w:rPr>
        <w:t>*10.10 Form of Annual Incentive Plan Award Agreement under the 2015 Stock Award and Incentive Plan, incorporated by reference to Exhibit 10.3 to the Registrant’s Quarterly Report on Form 10-Q filed on May 12, 2015.</w:t>
      </w:r>
    </w:p>
    <w:p>
      <w:pPr>
        <w:spacing w:after="0" w:line="30" w:lineRule="exact"/>
        <w:rPr>
          <w:sz w:val="20"/>
          <w:szCs w:val="20"/>
          <w:color w:val="auto"/>
        </w:rPr>
      </w:pPr>
    </w:p>
    <w:p>
      <w:pPr>
        <w:ind w:left="740" w:right="560" w:hanging="590"/>
        <w:spacing w:after="0" w:line="237" w:lineRule="auto"/>
        <w:rPr>
          <w:sz w:val="20"/>
          <w:szCs w:val="20"/>
          <w:color w:val="auto"/>
        </w:rPr>
      </w:pPr>
      <w:r>
        <w:rPr>
          <w:rFonts w:ascii="Times New Roman" w:cs="Times New Roman" w:eastAsia="Times New Roman" w:hAnsi="Times New Roman"/>
          <w:sz w:val="18"/>
          <w:szCs w:val="18"/>
          <w:color w:val="auto"/>
        </w:rPr>
        <w:t>*10.11 Form of Long-Term Incentive Plan Award Agreement under the 2015 Stock Award and Incentive Plan, incorporated by reference to Exhibit 10.4 to the Registrant’s Quarterly Report on Form 10-Q filed on May 12, 2015.</w:t>
      </w:r>
    </w:p>
    <w:p>
      <w:pPr>
        <w:spacing w:after="0" w:line="30" w:lineRule="exact"/>
        <w:rPr>
          <w:sz w:val="20"/>
          <w:szCs w:val="20"/>
          <w:color w:val="auto"/>
        </w:rPr>
      </w:pPr>
    </w:p>
    <w:p>
      <w:pPr>
        <w:ind w:left="740" w:right="560" w:hanging="597"/>
        <w:spacing w:after="0" w:line="237" w:lineRule="auto"/>
        <w:rPr>
          <w:sz w:val="20"/>
          <w:szCs w:val="20"/>
          <w:color w:val="auto"/>
        </w:rPr>
      </w:pPr>
      <w:r>
        <w:rPr>
          <w:rFonts w:ascii="Times New Roman" w:cs="Times New Roman" w:eastAsia="Times New Roman" w:hAnsi="Times New Roman"/>
          <w:sz w:val="18"/>
          <w:szCs w:val="18"/>
          <w:color w:val="auto"/>
        </w:rPr>
        <w:t>*10.12 Form of Equity Choice Program Award Agreement under the 2015 Stock Award and Incentive Plan, incorporated by reference to Exhibit 10.5 to the Registrant’s Quarterly Report on Form 10-Q filed on May 12, 2015.</w:t>
      </w: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880" w:h="15480" w:orient="portrait"/>
          <w:cols w:equalWidth="0" w:num="1">
            <w:col w:w="9040"/>
          </w:cols>
          <w:pgMar w:left="1400" w:top="1277" w:right="1440" w:bottom="254"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rPr>
          <w:sz w:val="20"/>
          <w:szCs w:val="20"/>
          <w:color w:val="auto"/>
        </w:rPr>
      </w:pPr>
      <w:r>
        <w:rPr>
          <w:rFonts w:ascii="Times New Roman" w:cs="Times New Roman" w:eastAsia="Times New Roman" w:hAnsi="Times New Roman"/>
          <w:sz w:val="18"/>
          <w:szCs w:val="18"/>
          <w:b w:val="1"/>
          <w:bCs w:val="1"/>
          <w:color w:val="auto"/>
        </w:rPr>
        <w:t>Number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440055</wp:posOffset>
                </wp:positionH>
                <wp:positionV relativeFrom="paragraph">
                  <wp:posOffset>36195</wp:posOffset>
                </wp:positionV>
                <wp:extent cx="513270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2705"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5pt,2.85pt" to="438.8pt,2.85pt" o:allowincell="f" strokecolor="#000000" strokeweight="0.875pt"/>
            </w:pict>
          </mc:Fallback>
        </mc:AlternateContent>
      </w:r>
    </w:p>
    <w:p>
      <w:pPr>
        <w:spacing w:after="0" w:line="65" w:lineRule="exact"/>
        <w:rPr>
          <w:sz w:val="20"/>
          <w:szCs w:val="20"/>
          <w:color w:val="auto"/>
        </w:rPr>
      </w:pPr>
    </w:p>
    <w:p>
      <w:pPr>
        <w:ind w:left="740" w:right="560" w:hanging="597"/>
        <w:spacing w:after="0" w:line="237" w:lineRule="auto"/>
        <w:rPr>
          <w:sz w:val="20"/>
          <w:szCs w:val="20"/>
          <w:color w:val="auto"/>
        </w:rPr>
      </w:pPr>
      <w:r>
        <w:rPr>
          <w:rFonts w:ascii="Times New Roman" w:cs="Times New Roman" w:eastAsia="Times New Roman" w:hAnsi="Times New Roman"/>
          <w:sz w:val="18"/>
          <w:szCs w:val="18"/>
          <w:color w:val="auto"/>
        </w:rPr>
        <w:t>*10.13 Form of Restricted Stock Units Award Agreement under the 2015 Stock Award and Incentive Plan, incorporated by reference to Exhibit 10.6 to the Registrant’s Quarterly Report on Form 10-Q filed on May 12, 2015.</w:t>
      </w:r>
    </w:p>
    <w:p>
      <w:pPr>
        <w:spacing w:after="0" w:line="30" w:lineRule="exact"/>
        <w:rPr>
          <w:sz w:val="20"/>
          <w:szCs w:val="20"/>
          <w:color w:val="auto"/>
        </w:rPr>
      </w:pPr>
    </w:p>
    <w:p>
      <w:pPr>
        <w:jc w:val="both"/>
        <w:ind w:left="740" w:right="400" w:hanging="597"/>
        <w:spacing w:after="0" w:line="237" w:lineRule="auto"/>
        <w:rPr>
          <w:sz w:val="20"/>
          <w:szCs w:val="20"/>
          <w:color w:val="auto"/>
        </w:rPr>
      </w:pPr>
      <w:r>
        <w:rPr>
          <w:rFonts w:ascii="Times New Roman" w:cs="Times New Roman" w:eastAsia="Times New Roman" w:hAnsi="Times New Roman"/>
          <w:sz w:val="18"/>
          <w:szCs w:val="18"/>
          <w:color w:val="auto"/>
        </w:rPr>
        <w:t>*10.14 Form of Non-Employee Director Restricted Stock Units Award Agreement under the 2015 Stock Award and Incentive Plan, incorporated by reference to Exhibit 10.7 to the Registrant’s Quarterly Report on Form 10-Q filed on May 12, 2015.</w:t>
      </w:r>
    </w:p>
    <w:p>
      <w:pPr>
        <w:spacing w:after="0" w:line="30" w:lineRule="exact"/>
        <w:rPr>
          <w:sz w:val="20"/>
          <w:szCs w:val="20"/>
          <w:color w:val="auto"/>
        </w:rPr>
      </w:pPr>
    </w:p>
    <w:p>
      <w:pPr>
        <w:jc w:val="both"/>
        <w:ind w:left="740" w:right="940" w:hanging="597"/>
        <w:spacing w:after="0" w:line="237" w:lineRule="auto"/>
        <w:rPr>
          <w:sz w:val="20"/>
          <w:szCs w:val="20"/>
          <w:color w:val="auto"/>
        </w:rPr>
      </w:pPr>
      <w:r>
        <w:rPr>
          <w:rFonts w:ascii="Times New Roman" w:cs="Times New Roman" w:eastAsia="Times New Roman" w:hAnsi="Times New Roman"/>
          <w:sz w:val="18"/>
          <w:szCs w:val="18"/>
          <w:color w:val="auto"/>
        </w:rPr>
        <w:t>*10.15 Form of Equity Choice Program Award Agreement under the 2015 Stock Award and Incentive Plan, incorporated by reference to Exhibit 10.1 to the Registrant’s Quarterly Report on Form 10-Q filed on November 9, 2015.</w:t>
      </w:r>
    </w:p>
    <w:p>
      <w:pPr>
        <w:spacing w:after="0" w:line="30" w:lineRule="exact"/>
        <w:rPr>
          <w:sz w:val="20"/>
          <w:szCs w:val="20"/>
          <w:color w:val="auto"/>
        </w:rPr>
      </w:pPr>
    </w:p>
    <w:p>
      <w:pPr>
        <w:ind w:left="740" w:right="500" w:hanging="597"/>
        <w:spacing w:after="0" w:line="237" w:lineRule="auto"/>
        <w:rPr>
          <w:sz w:val="20"/>
          <w:szCs w:val="20"/>
          <w:color w:val="auto"/>
        </w:rPr>
      </w:pPr>
      <w:r>
        <w:rPr>
          <w:rFonts w:ascii="Times New Roman" w:cs="Times New Roman" w:eastAsia="Times New Roman" w:hAnsi="Times New Roman"/>
          <w:sz w:val="18"/>
          <w:szCs w:val="18"/>
          <w:color w:val="auto"/>
        </w:rPr>
        <w:t>*10.16 Form of Long-Term Incentive Plan Award Agreement under the 2015 Stock Award and Incentive Plan, incorporated by reference to Exhibit 10.25 to the Registrant’s Annual Report on Form 10-K filed on March 1, 2016.</w:t>
      </w:r>
    </w:p>
    <w:p>
      <w:pPr>
        <w:spacing w:after="0" w:line="30" w:lineRule="exact"/>
        <w:rPr>
          <w:sz w:val="20"/>
          <w:szCs w:val="20"/>
          <w:color w:val="auto"/>
        </w:rPr>
      </w:pPr>
    </w:p>
    <w:p>
      <w:pPr>
        <w:ind w:left="740" w:right="480" w:hanging="597"/>
        <w:spacing w:after="0" w:line="237" w:lineRule="auto"/>
        <w:rPr>
          <w:sz w:val="20"/>
          <w:szCs w:val="20"/>
          <w:color w:val="auto"/>
        </w:rPr>
      </w:pPr>
      <w:r>
        <w:rPr>
          <w:rFonts w:ascii="Times New Roman" w:cs="Times New Roman" w:eastAsia="Times New Roman" w:hAnsi="Times New Roman"/>
          <w:sz w:val="18"/>
          <w:szCs w:val="18"/>
          <w:color w:val="auto"/>
        </w:rPr>
        <w:t>*10.17 Amended and Restated Executive Severance Policy, as amended through and including November 1, 2017, incorporated by reference to Exhibit 10.17 to the Registrant’s Annual Report on Form 10-K filed on February 27, 2018 (the “Executive Severance Policy”).</w:t>
      </w:r>
    </w:p>
    <w:p>
      <w:pPr>
        <w:spacing w:after="0" w:line="30" w:lineRule="exact"/>
        <w:rPr>
          <w:sz w:val="20"/>
          <w:szCs w:val="20"/>
          <w:color w:val="auto"/>
        </w:rPr>
      </w:pPr>
    </w:p>
    <w:p>
      <w:pPr>
        <w:ind w:left="740" w:right="860" w:hanging="597"/>
        <w:spacing w:after="0" w:line="259" w:lineRule="auto"/>
        <w:rPr>
          <w:sz w:val="20"/>
          <w:szCs w:val="20"/>
          <w:color w:val="auto"/>
        </w:rPr>
      </w:pPr>
      <w:r>
        <w:rPr>
          <w:rFonts w:ascii="Times New Roman" w:cs="Times New Roman" w:eastAsia="Times New Roman" w:hAnsi="Times New Roman"/>
          <w:sz w:val="18"/>
          <w:szCs w:val="18"/>
          <w:color w:val="auto"/>
        </w:rPr>
        <w:t>*10.18 Amendment to the Executive Severance Policy dated November 3, 2020, incorporated by reference to Exhibit 10.18 to the Registrant’s Annual Report on Form 10-K filed on February 22, 2021.</w:t>
      </w:r>
    </w:p>
    <w:p>
      <w:pPr>
        <w:spacing w:after="0" w:line="4" w:lineRule="exact"/>
        <w:rPr>
          <w:sz w:val="20"/>
          <w:szCs w:val="20"/>
          <w:color w:val="auto"/>
        </w:rPr>
      </w:pPr>
    </w:p>
    <w:p>
      <w:pPr>
        <w:ind w:left="740" w:right="860" w:hanging="597"/>
        <w:spacing w:after="0" w:line="259" w:lineRule="auto"/>
        <w:rPr>
          <w:sz w:val="20"/>
          <w:szCs w:val="20"/>
          <w:color w:val="auto"/>
        </w:rPr>
      </w:pPr>
      <w:r>
        <w:rPr>
          <w:rFonts w:ascii="Times New Roman" w:cs="Times New Roman" w:eastAsia="Times New Roman" w:hAnsi="Times New Roman"/>
          <w:sz w:val="18"/>
          <w:szCs w:val="18"/>
          <w:color w:val="auto"/>
        </w:rPr>
        <w:t>*10.19 Form of Director/Officer Indemnification Agreement, incorporated by reference to Exhibit 10.1 to the Registrant’s Current Report on Form 8-K filed on July 28, 2008.</w:t>
      </w:r>
    </w:p>
    <w:p>
      <w:pPr>
        <w:spacing w:after="0" w:line="4" w:lineRule="exact"/>
        <w:rPr>
          <w:sz w:val="20"/>
          <w:szCs w:val="20"/>
          <w:color w:val="auto"/>
        </w:rPr>
      </w:pPr>
    </w:p>
    <w:p>
      <w:pPr>
        <w:ind w:left="740" w:right="500" w:hanging="597"/>
        <w:spacing w:after="0" w:line="259" w:lineRule="auto"/>
        <w:rPr>
          <w:sz w:val="20"/>
          <w:szCs w:val="20"/>
          <w:color w:val="auto"/>
        </w:rPr>
      </w:pPr>
      <w:r>
        <w:rPr>
          <w:rFonts w:ascii="Times New Roman" w:cs="Times New Roman" w:eastAsia="Times New Roman" w:hAnsi="Times New Roman"/>
          <w:sz w:val="18"/>
          <w:szCs w:val="18"/>
          <w:color w:val="auto"/>
        </w:rPr>
        <w:t>*10.20 Form of Executive Death Benefit Program - Plan Agreement, incorporated by reference to Exhibit 10.27 to the Registrant’s Annual Report on Form 10-K filed on February 28, 2012.</w:t>
      </w:r>
    </w:p>
    <w:p>
      <w:pPr>
        <w:spacing w:after="0" w:line="4" w:lineRule="exact"/>
        <w:rPr>
          <w:sz w:val="20"/>
          <w:szCs w:val="20"/>
          <w:color w:val="auto"/>
        </w:rPr>
      </w:pPr>
    </w:p>
    <w:p>
      <w:pPr>
        <w:jc w:val="both"/>
        <w:ind w:left="740" w:right="620" w:hanging="769"/>
        <w:spacing w:after="0" w:line="237" w:lineRule="auto"/>
        <w:rPr>
          <w:sz w:val="20"/>
          <w:szCs w:val="20"/>
          <w:color w:val="auto"/>
        </w:rPr>
      </w:pPr>
      <w:r>
        <w:rPr>
          <w:rFonts w:ascii="Times New Roman" w:cs="Times New Roman" w:eastAsia="Times New Roman" w:hAnsi="Times New Roman"/>
          <w:sz w:val="18"/>
          <w:szCs w:val="18"/>
          <w:color w:val="auto"/>
        </w:rPr>
        <w:t>*10.21(i) Deferred Compensation Plan, as amended and restated December 12, 2011, incorporated by reference to Exhibit 10.28 to the Registrant’s Annual Report on Form 10-K filed on February 28, 2012 (the “Deferred Compensation Plan”).</w:t>
      </w:r>
    </w:p>
    <w:p>
      <w:pPr>
        <w:spacing w:after="0" w:line="30" w:lineRule="exact"/>
        <w:rPr>
          <w:sz w:val="20"/>
          <w:szCs w:val="20"/>
          <w:color w:val="auto"/>
        </w:rPr>
      </w:pPr>
    </w:p>
    <w:p>
      <w:pPr>
        <w:ind w:left="740" w:right="780" w:hanging="820"/>
        <w:spacing w:after="0" w:line="259" w:lineRule="auto"/>
        <w:rPr>
          <w:sz w:val="20"/>
          <w:szCs w:val="20"/>
          <w:color w:val="auto"/>
        </w:rPr>
      </w:pPr>
      <w:r>
        <w:rPr>
          <w:rFonts w:ascii="Times New Roman" w:cs="Times New Roman" w:eastAsia="Times New Roman" w:hAnsi="Times New Roman"/>
          <w:sz w:val="18"/>
          <w:szCs w:val="18"/>
          <w:color w:val="auto"/>
        </w:rPr>
        <w:t>*10.21(ii) First Amendment to the Deferred Compensation Plan dated as of December 31, 2020, incorporated by reference to Exhibit 10.22 to the Registrant’s Annual Report on Form 10-K filed on February 22, 2021.</w:t>
      </w:r>
    </w:p>
    <w:p>
      <w:pPr>
        <w:ind w:left="140"/>
        <w:spacing w:after="0" w:line="217" w:lineRule="auto"/>
        <w:rPr>
          <w:sz w:val="20"/>
          <w:szCs w:val="20"/>
          <w:color w:val="auto"/>
        </w:rPr>
      </w:pPr>
      <w:r>
        <w:rPr>
          <w:rFonts w:ascii="Times New Roman" w:cs="Times New Roman" w:eastAsia="Times New Roman" w:hAnsi="Times New Roman"/>
          <w:sz w:val="18"/>
          <w:szCs w:val="18"/>
          <w:color w:val="auto"/>
        </w:rPr>
        <w:t>*10.22 Deferred Compensation Plan (the “2023 Deferred Compensation Plan”), incorporated by reference to Exhibit</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4.3 to the Registrant's Registration Statement on Form S-8 filed on November 29, 2022.</w:t>
      </w:r>
    </w:p>
    <w:p>
      <w:pPr>
        <w:spacing w:after="0" w:line="64" w:lineRule="exact"/>
        <w:rPr>
          <w:sz w:val="20"/>
          <w:szCs w:val="20"/>
          <w:color w:val="auto"/>
        </w:rPr>
      </w:pPr>
    </w:p>
    <w:p>
      <w:pPr>
        <w:ind w:left="740" w:right="400" w:hanging="678"/>
        <w:spacing w:after="0" w:line="224" w:lineRule="auto"/>
        <w:rPr>
          <w:sz w:val="20"/>
          <w:szCs w:val="20"/>
          <w:color w:val="auto"/>
        </w:rPr>
      </w:pPr>
      <w:r>
        <w:rPr>
          <w:rFonts w:ascii="Times New Roman" w:cs="Times New Roman" w:eastAsia="Times New Roman" w:hAnsi="Times New Roman"/>
          <w:sz w:val="18"/>
          <w:szCs w:val="18"/>
          <w:color w:val="auto"/>
        </w:rPr>
        <w:t>10.23(i) Credit Agreement, dated as of November 9, 2011, amended and restated as of December 2, 2016, among the Registrant, International Flavors &amp; Fragrances (Luxembourg) S.à.r.l., International Flavors &amp; Fragrances (Nederland) Holding B.V., International Flavors &amp; Fragrances I.F.F. (Nederland) B.V. and International Flavors &amp; Fragrances (Greater Asia) PTE. Ltd., as borrowers, the banks, financial institutions and other institutional lenders party thereto, and Citibank, N.A., as administrative agent, incorporated by reference to Exhibit 10.28 to the Registrant’s Current Report on Form 8-K filed on December 5, 2016.</w:t>
      </w:r>
    </w:p>
    <w:p>
      <w:pPr>
        <w:spacing w:after="0" w:line="27" w:lineRule="exact"/>
        <w:rPr>
          <w:sz w:val="20"/>
          <w:szCs w:val="20"/>
          <w:color w:val="auto"/>
        </w:rPr>
      </w:pPr>
    </w:p>
    <w:p>
      <w:pPr>
        <w:ind w:left="740" w:right="400" w:hanging="729"/>
        <w:spacing w:after="0" w:line="226" w:lineRule="auto"/>
        <w:rPr>
          <w:sz w:val="20"/>
          <w:szCs w:val="20"/>
          <w:color w:val="auto"/>
        </w:rPr>
      </w:pPr>
      <w:r>
        <w:rPr>
          <w:rFonts w:ascii="Times New Roman" w:cs="Times New Roman" w:eastAsia="Times New Roman" w:hAnsi="Times New Roman"/>
          <w:sz w:val="18"/>
          <w:szCs w:val="18"/>
          <w:color w:val="auto"/>
        </w:rPr>
        <w:t>10.23(ii) Amendment No. 1 to Credit Agreement, dated as of May 21, 2018, among the Registrant, International Flavors &amp; Fragrances (Nederland) Holding B.V., International Flavors &amp; Fragrances I.F.F. (Nederland) B.V. and International Flavors &amp; Fragrances (Greater Asia) PTE. Ltd., as borrowers, the lenders signatory thereto and Citibank, N.A., as administrative agent, incorporated by reference to Exhibit 10.1 to the Registrant’s Current Report on Form 8-K filed on May 24, 2018.</w:t>
      </w:r>
    </w:p>
    <w:p>
      <w:pPr>
        <w:spacing w:after="0" w:line="23" w:lineRule="exact"/>
        <w:rPr>
          <w:sz w:val="20"/>
          <w:szCs w:val="20"/>
          <w:color w:val="auto"/>
        </w:rPr>
      </w:pPr>
    </w:p>
    <w:p>
      <w:pPr>
        <w:ind w:left="740" w:right="400" w:hanging="780"/>
        <w:spacing w:after="0" w:line="226" w:lineRule="auto"/>
        <w:rPr>
          <w:sz w:val="20"/>
          <w:szCs w:val="20"/>
          <w:color w:val="auto"/>
        </w:rPr>
      </w:pPr>
      <w:r>
        <w:rPr>
          <w:rFonts w:ascii="Times New Roman" w:cs="Times New Roman" w:eastAsia="Times New Roman" w:hAnsi="Times New Roman"/>
          <w:sz w:val="18"/>
          <w:szCs w:val="18"/>
          <w:color w:val="auto"/>
        </w:rPr>
        <w:t>10.23(iii) Amendment No. 2 to Credit Agreement, dated as of June 6, 2018, among the Registrant, International Flavors &amp; Fragrances (Nederland) Holding B.V., International Flavors &amp; Fragrances I.F.F. (Nederland) B.V. and International Flavors &amp; Fragrances (Greater Asia) PTE. Ltd., as borrowers, the lenders signatory thereto and Citibank, N.A., as administrative agent, incorporated by reference to Exhibit 10.2 to the Registrant’s Current Report on Form 8-K filed on June 8, 2018.</w:t>
      </w:r>
    </w:p>
    <w:p>
      <w:pPr>
        <w:spacing w:after="0" w:line="23" w:lineRule="exact"/>
        <w:rPr>
          <w:sz w:val="20"/>
          <w:szCs w:val="20"/>
          <w:color w:val="auto"/>
        </w:rPr>
      </w:pPr>
    </w:p>
    <w:p>
      <w:pPr>
        <w:ind w:left="740" w:right="400" w:hanging="769"/>
        <w:spacing w:after="0" w:line="227" w:lineRule="auto"/>
        <w:rPr>
          <w:sz w:val="20"/>
          <w:szCs w:val="20"/>
          <w:color w:val="auto"/>
        </w:rPr>
      </w:pPr>
      <w:r>
        <w:rPr>
          <w:rFonts w:ascii="Times New Roman" w:cs="Times New Roman" w:eastAsia="Times New Roman" w:hAnsi="Times New Roman"/>
          <w:sz w:val="18"/>
          <w:szCs w:val="18"/>
          <w:color w:val="auto"/>
        </w:rPr>
        <w:t>10.23(iv) Amendment No. 3 to Credit Agreement, dated as of July 13, 2018, among the Registrant, International Flavors &amp; Fragrances (Nederland) Holding B.V., International Flavors &amp; Fragrances I.F.F. (Nederland) B.V. and International Flavors &amp; Fragrances (Greater Asia) PTE. Ltd., as borrowers, the lenders signatory thereto and Citibank, N.A., as administrative agent, incorporated by reference to Exhibit 10.4 to the Registrant’s Quarterly Report on Form 10-Q filed on August 7, 2018.</w:t>
      </w:r>
    </w:p>
    <w:p>
      <w:pPr>
        <w:spacing w:after="0" w:line="19" w:lineRule="exact"/>
        <w:rPr>
          <w:sz w:val="20"/>
          <w:szCs w:val="20"/>
          <w:color w:val="auto"/>
        </w:rPr>
      </w:pPr>
    </w:p>
    <w:p>
      <w:pPr>
        <w:ind w:left="740" w:right="780" w:hanging="683"/>
        <w:spacing w:after="0" w:line="227" w:lineRule="auto"/>
        <w:rPr>
          <w:sz w:val="20"/>
          <w:szCs w:val="20"/>
          <w:color w:val="auto"/>
        </w:rPr>
      </w:pPr>
      <w:r>
        <w:rPr>
          <w:rFonts w:ascii="Times New Roman" w:cs="Times New Roman" w:eastAsia="Times New Roman" w:hAnsi="Times New Roman"/>
          <w:sz w:val="18"/>
          <w:szCs w:val="18"/>
          <w:color w:val="auto"/>
        </w:rPr>
        <w:t>10.23(v) Amendment No. 4 to Credit Agreement, dated as of January 17, 2020 among International Flavors &amp; Fragrances Inc., International Flavors &amp; Fragrances (Nederland) Holding B.V., International Flavors &amp; Fragrances I.F.F. (Nederland) B.V. and International Flavors &amp; Fragrances (Greater Asia) PTE. Ltd., as borrowers, the lenders signatory thereto and Citibank, N.A., as administrative agent, incorporated by reference to Exhibit 10.1 to the Registrant’s Current Report on Form 8-K filed on January 22, 2020.</w:t>
      </w:r>
    </w:p>
    <w:p>
      <w:pPr>
        <w:spacing w:after="0" w:line="23" w:lineRule="exact"/>
        <w:rPr>
          <w:sz w:val="20"/>
          <w:szCs w:val="20"/>
          <w:color w:val="auto"/>
        </w:rPr>
      </w:pPr>
    </w:p>
    <w:p>
      <w:pPr>
        <w:ind w:left="740" w:right="340" w:hanging="735"/>
        <w:spacing w:after="0" w:line="226" w:lineRule="auto"/>
        <w:rPr>
          <w:sz w:val="20"/>
          <w:szCs w:val="20"/>
          <w:color w:val="auto"/>
        </w:rPr>
      </w:pPr>
      <w:r>
        <w:rPr>
          <w:rFonts w:ascii="Times New Roman" w:cs="Times New Roman" w:eastAsia="Times New Roman" w:hAnsi="Times New Roman"/>
          <w:sz w:val="18"/>
          <w:szCs w:val="18"/>
          <w:color w:val="auto"/>
        </w:rPr>
        <w:t>10.23(vi) Second Amended and Restated Credit Agreement, dated as of August 25, 2020 among International Flavors &amp; Fragrances Inc., International Flavors &amp; Fragrances (Nederland) Holding B.V. and International Flavors &amp; Fragrances I.F.F. (Nederland) B.V., as borrowers, the lenders signatory thereto and Citibank, N.A., as administrative agent, incorporated by reference to Exhibit 10.1 to the Registrant’s Current Report on Form 8-K filed on August 28, 2020.</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114</w:t>
      </w:r>
    </w:p>
    <w:p>
      <w:pPr>
        <w:sectPr>
          <w:pgSz w:w="11880" w:h="15480" w:orient="portrait"/>
          <w:cols w:equalWidth="0" w:num="1">
            <w:col w:w="9040"/>
          </w:cols>
          <w:pgMar w:left="1400" w:top="1277" w:right="1440" w:bottom="254"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rPr>
          <w:sz w:val="20"/>
          <w:szCs w:val="20"/>
          <w:color w:val="auto"/>
        </w:rPr>
      </w:pPr>
      <w:r>
        <w:rPr>
          <w:rFonts w:ascii="Times New Roman" w:cs="Times New Roman" w:eastAsia="Times New Roman" w:hAnsi="Times New Roman"/>
          <w:sz w:val="18"/>
          <w:szCs w:val="18"/>
          <w:b w:val="1"/>
          <w:bCs w:val="1"/>
          <w:color w:val="auto"/>
        </w:rPr>
        <w:t>Number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440055</wp:posOffset>
                </wp:positionH>
                <wp:positionV relativeFrom="paragraph">
                  <wp:posOffset>36195</wp:posOffset>
                </wp:positionV>
                <wp:extent cx="513270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2705"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5pt,2.85pt" to="438.8pt,2.85pt" o:allowincell="f" strokecolor="#000000" strokeweight="0.875pt"/>
            </w:pict>
          </mc:Fallback>
        </mc:AlternateContent>
      </w:r>
    </w:p>
    <w:p>
      <w:pPr>
        <w:spacing w:after="0" w:line="69" w:lineRule="exact"/>
        <w:rPr>
          <w:sz w:val="20"/>
          <w:szCs w:val="20"/>
          <w:color w:val="auto"/>
        </w:rPr>
      </w:pPr>
    </w:p>
    <w:p>
      <w:pPr>
        <w:ind w:left="740" w:right="520" w:hanging="819"/>
        <w:spacing w:after="0" w:line="248" w:lineRule="auto"/>
        <w:rPr>
          <w:sz w:val="20"/>
          <w:szCs w:val="20"/>
          <w:color w:val="auto"/>
        </w:rPr>
      </w:pPr>
      <w:r>
        <w:rPr>
          <w:rFonts w:ascii="Times New Roman" w:cs="Times New Roman" w:eastAsia="Times New Roman" w:hAnsi="Times New Roman"/>
          <w:sz w:val="18"/>
          <w:szCs w:val="18"/>
          <w:color w:val="auto"/>
        </w:rPr>
        <w:t>10.23(vii) Third Amended and Restated Credit Agreement, dated as of July 28, 2021 among International Flavors &amp; Fragrances Inc., International Flavors &amp; Fragrances (Nederland) Holding B.V. and International Flavors &amp; Fragrances I.F.F. (Nederland) B.V., as borrowers, the lenders signatory thereto and Citibank, N.A., as administrative agent, incorporated by reference to Exhibit 10.1 to the Registrant's Current Report on 8-K filed on July 28, 2021.</w:t>
      </w:r>
    </w:p>
    <w:p>
      <w:pPr>
        <w:spacing w:after="0" w:line="12" w:lineRule="exact"/>
        <w:rPr>
          <w:sz w:val="20"/>
          <w:szCs w:val="20"/>
          <w:color w:val="auto"/>
        </w:rPr>
      </w:pPr>
    </w:p>
    <w:p>
      <w:pPr>
        <w:ind w:left="740" w:right="340" w:hanging="870"/>
        <w:spacing w:after="0" w:line="248" w:lineRule="auto"/>
        <w:rPr>
          <w:sz w:val="20"/>
          <w:szCs w:val="20"/>
          <w:color w:val="auto"/>
        </w:rPr>
      </w:pPr>
      <w:r>
        <w:rPr>
          <w:rFonts w:ascii="Times New Roman" w:cs="Times New Roman" w:eastAsia="Times New Roman" w:hAnsi="Times New Roman"/>
          <w:sz w:val="18"/>
          <w:szCs w:val="18"/>
          <w:color w:val="auto"/>
        </w:rPr>
        <w:t>10.23(viii) Amendment No.1 to Third Amended and Restated Credit Agreement, dated as of August 4, 2022, among the Registrant, International Flavors &amp; Fragrances (Nederland) Holding B.V. and International Flavors &amp; Fragrances I.F.F. (Nederland) B.V., as borrowers, the lenders signatory thereto and Citibank, N.A., as administrative agent, incorporated by reference to Exhibit 10.2 to the Registrant’s Current Report on Form 8-K filed on August 8, 2022.</w:t>
      </w:r>
    </w:p>
    <w:p>
      <w:pPr>
        <w:spacing w:after="0" w:line="7" w:lineRule="exact"/>
        <w:rPr>
          <w:sz w:val="20"/>
          <w:szCs w:val="20"/>
          <w:color w:val="auto"/>
        </w:rPr>
      </w:pPr>
    </w:p>
    <w:p>
      <w:pPr>
        <w:ind w:left="740" w:right="800" w:hanging="678"/>
        <w:spacing w:after="0" w:line="237" w:lineRule="auto"/>
        <w:rPr>
          <w:sz w:val="20"/>
          <w:szCs w:val="20"/>
          <w:color w:val="auto"/>
        </w:rPr>
      </w:pPr>
      <w:r>
        <w:rPr>
          <w:rFonts w:ascii="Times New Roman" w:cs="Times New Roman" w:eastAsia="Times New Roman" w:hAnsi="Times New Roman"/>
          <w:sz w:val="18"/>
          <w:szCs w:val="18"/>
          <w:color w:val="auto"/>
        </w:rPr>
        <w:t>10.24(i) Term Loan Credit Agreement, dated as of June 6, 2018, among the Registrant, as borrower, the lenders signatory thereto and Morgan Stanley Senior Funding, Inc. as administrative agent, incorporated by reference to Exhibit 10.1 to the Registrant’s Current Report on Form 8-K filed on June 8, 2018.</w:t>
      </w:r>
    </w:p>
    <w:p>
      <w:pPr>
        <w:spacing w:after="0" w:line="30" w:lineRule="exact"/>
        <w:rPr>
          <w:sz w:val="20"/>
          <w:szCs w:val="20"/>
          <w:color w:val="auto"/>
        </w:rPr>
      </w:pPr>
    </w:p>
    <w:p>
      <w:pPr>
        <w:ind w:left="740" w:right="460" w:hanging="729"/>
        <w:spacing w:after="0" w:line="237" w:lineRule="auto"/>
        <w:rPr>
          <w:sz w:val="20"/>
          <w:szCs w:val="20"/>
          <w:color w:val="auto"/>
        </w:rPr>
      </w:pPr>
      <w:r>
        <w:rPr>
          <w:rFonts w:ascii="Times New Roman" w:cs="Times New Roman" w:eastAsia="Times New Roman" w:hAnsi="Times New Roman"/>
          <w:sz w:val="18"/>
          <w:szCs w:val="18"/>
          <w:color w:val="auto"/>
        </w:rPr>
        <w:t>10.24(ii) Amendment No 1. to Credit Agreement, dated as of July 13, 2018, among the Registrant, as borrower, the lenders signatory thereto and Morgan Stanley Senior Funding, Inc. as administrative agent, incorporated by reference to Exhibit 10.6 to the Registrant’s Quarterly Report on Form 10-Q filed on August 7, 2018.</w:t>
      </w:r>
    </w:p>
    <w:p>
      <w:pPr>
        <w:spacing w:after="0" w:line="30" w:lineRule="exact"/>
        <w:rPr>
          <w:sz w:val="20"/>
          <w:szCs w:val="20"/>
          <w:color w:val="auto"/>
        </w:rPr>
      </w:pPr>
    </w:p>
    <w:p>
      <w:pPr>
        <w:ind w:left="740" w:right="600" w:hanging="744"/>
        <w:spacing w:after="0" w:line="230" w:lineRule="auto"/>
        <w:rPr>
          <w:sz w:val="20"/>
          <w:szCs w:val="20"/>
          <w:color w:val="auto"/>
        </w:rPr>
      </w:pPr>
      <w:r>
        <w:rPr>
          <w:rFonts w:ascii="Times New Roman" w:cs="Times New Roman" w:eastAsia="Times New Roman" w:hAnsi="Times New Roman"/>
          <w:sz w:val="18"/>
          <w:szCs w:val="18"/>
          <w:color w:val="auto"/>
        </w:rPr>
        <w:t>10.24(iii) Amendment No. 2 to Credit Agreement, dated as of January 17, 2020 among International Flavors &amp; Fragrances Inc., as borrower, the lenders signatory thereto and Morgan Stanley Senior Funding, Inc. as administrative agent, incorporated by reference to Exhibit 10.2 to the Registrant’s Current Report filed on Form 8-K filed on January 22, 2020.</w:t>
      </w:r>
    </w:p>
    <w:p>
      <w:pPr>
        <w:spacing w:after="0" w:line="25" w:lineRule="exact"/>
        <w:rPr>
          <w:sz w:val="20"/>
          <w:szCs w:val="20"/>
          <w:color w:val="auto"/>
        </w:rPr>
      </w:pPr>
    </w:p>
    <w:p>
      <w:pPr>
        <w:ind w:left="740" w:right="340" w:hanging="734"/>
        <w:spacing w:after="0" w:line="231" w:lineRule="auto"/>
        <w:rPr>
          <w:sz w:val="20"/>
          <w:szCs w:val="20"/>
          <w:color w:val="auto"/>
        </w:rPr>
      </w:pPr>
      <w:r>
        <w:rPr>
          <w:rFonts w:ascii="Times New Roman" w:cs="Times New Roman" w:eastAsia="Times New Roman" w:hAnsi="Times New Roman"/>
          <w:sz w:val="18"/>
          <w:szCs w:val="18"/>
          <w:color w:val="auto"/>
        </w:rPr>
        <w:t>10.24(iv) Amendment No. 3 to Credit Agreement, dated as of August 25, 2020 among International Flavors &amp; Fragrances Inc., as borrower, the lenders signatory thereto and Morgan Stanley Senior Funding, Inc. as administrative agent, incorporated by reference to Exhibit 10.2 to the Registrant’s Current Report on Form 8-K filed on August 28, 2020.</w:t>
      </w:r>
    </w:p>
    <w:p>
      <w:pPr>
        <w:spacing w:after="0" w:line="26" w:lineRule="exact"/>
        <w:rPr>
          <w:sz w:val="20"/>
          <w:szCs w:val="20"/>
          <w:color w:val="auto"/>
        </w:rPr>
      </w:pPr>
    </w:p>
    <w:p>
      <w:pPr>
        <w:ind w:left="740" w:right="540" w:hanging="530"/>
        <w:spacing w:after="0" w:line="237" w:lineRule="auto"/>
        <w:rPr>
          <w:sz w:val="20"/>
          <w:szCs w:val="20"/>
          <w:color w:val="auto"/>
        </w:rPr>
      </w:pPr>
      <w:r>
        <w:rPr>
          <w:rFonts w:ascii="Times New Roman" w:cs="Times New Roman" w:eastAsia="Times New Roman" w:hAnsi="Times New Roman"/>
          <w:sz w:val="18"/>
          <w:szCs w:val="18"/>
          <w:color w:val="auto"/>
        </w:rPr>
        <w:t>10.25 Employee Matters Agreement, dated as of December 15, 2019, by and among DuPont de Nemours Inc., Nutrition &amp; Biosciences, Inc. and International Flavors &amp; Fragrances Inc, incorporated by reference to the Registrant's Current Report on Form 8-K filed on December 18, 2019.</w:t>
      </w:r>
    </w:p>
    <w:p>
      <w:pPr>
        <w:spacing w:after="0" w:line="35" w:lineRule="exact"/>
        <w:rPr>
          <w:sz w:val="20"/>
          <w:szCs w:val="20"/>
          <w:color w:val="auto"/>
        </w:rPr>
      </w:pPr>
    </w:p>
    <w:p>
      <w:pPr>
        <w:ind w:left="740" w:right="700" w:hanging="643"/>
        <w:spacing w:after="0" w:line="257" w:lineRule="auto"/>
        <w:rPr>
          <w:sz w:val="20"/>
          <w:szCs w:val="20"/>
          <w:color w:val="auto"/>
        </w:rPr>
      </w:pPr>
      <w:r>
        <w:rPr>
          <w:rFonts w:ascii="Times New Roman" w:cs="Times New Roman" w:eastAsia="Times New Roman" w:hAnsi="Times New Roman"/>
          <w:sz w:val="18"/>
          <w:szCs w:val="18"/>
          <w:color w:val="auto"/>
        </w:rPr>
        <w:t>10.25(i) Amendment to the Employee Matters Agreement, dated January 22, 2021, by and among International Flavors &amp; Fragrances Inc., DuPont de Nemours, Inc. and Nutrition &amp; Biosciences, Inc., incorporated by reference to the Registrant’s Current Report on Form 8-K filed on January 25, 2021.</w:t>
      </w:r>
    </w:p>
    <w:p>
      <w:pPr>
        <w:ind w:left="740" w:right="340" w:hanging="643"/>
        <w:spacing w:after="0" w:line="230" w:lineRule="auto"/>
        <w:rPr>
          <w:sz w:val="20"/>
          <w:szCs w:val="20"/>
          <w:color w:val="auto"/>
        </w:rPr>
      </w:pPr>
      <w:r>
        <w:rPr>
          <w:rFonts w:ascii="Times New Roman" w:cs="Times New Roman" w:eastAsia="Times New Roman" w:hAnsi="Times New Roman"/>
          <w:sz w:val="18"/>
          <w:szCs w:val="18"/>
          <w:color w:val="auto"/>
        </w:rPr>
        <w:t>10.26(i) Term Loan Credit Agreement, dated as of May 15, 2020 among International Flavors &amp; Fragrances Inc., as borrower, the lenders signatory thereto and China Construction Bank Corporation, New York Branch, as administrative agent, incorporated by reference to Exhibit 10.1 to the Registrant’s Current Report on Form 8-K filed on May 21, 2020.</w:t>
      </w:r>
    </w:p>
    <w:p>
      <w:pPr>
        <w:spacing w:after="0" w:line="25" w:lineRule="exact"/>
        <w:rPr>
          <w:sz w:val="20"/>
          <w:szCs w:val="20"/>
          <w:color w:val="auto"/>
        </w:rPr>
      </w:pPr>
    </w:p>
    <w:p>
      <w:pPr>
        <w:ind w:left="740" w:right="420" w:hanging="694"/>
        <w:spacing w:after="0" w:line="231" w:lineRule="auto"/>
        <w:rPr>
          <w:sz w:val="20"/>
          <w:szCs w:val="20"/>
          <w:color w:val="auto"/>
        </w:rPr>
      </w:pPr>
      <w:r>
        <w:rPr>
          <w:rFonts w:ascii="Times New Roman" w:cs="Times New Roman" w:eastAsia="Times New Roman" w:hAnsi="Times New Roman"/>
          <w:sz w:val="18"/>
          <w:szCs w:val="18"/>
          <w:color w:val="auto"/>
        </w:rPr>
        <w:t>10.26(ii) Amendment No. 1 to Credit Agreement, dated as of August 25, 2020, among the Company, as borrower, the lenders signatory thereto and China Construction Bank Corporation, New York Branch as administrative agent, incorporated by reference to Exhibit 10.3 to the Registrant’s Current Report on Form 8-K filed on August 28, 2020.</w:t>
      </w:r>
    </w:p>
    <w:p>
      <w:pPr>
        <w:spacing w:after="0" w:line="26" w:lineRule="exact"/>
        <w:rPr>
          <w:sz w:val="20"/>
          <w:szCs w:val="20"/>
          <w:color w:val="auto"/>
        </w:rPr>
      </w:pPr>
    </w:p>
    <w:p>
      <w:pPr>
        <w:ind w:left="740" w:right="340" w:hanging="745"/>
        <w:spacing w:after="0" w:line="230" w:lineRule="auto"/>
        <w:rPr>
          <w:sz w:val="20"/>
          <w:szCs w:val="20"/>
          <w:color w:val="auto"/>
        </w:rPr>
      </w:pPr>
      <w:r>
        <w:rPr>
          <w:rFonts w:ascii="Times New Roman" w:cs="Times New Roman" w:eastAsia="Times New Roman" w:hAnsi="Times New Roman"/>
          <w:sz w:val="18"/>
          <w:szCs w:val="18"/>
          <w:color w:val="auto"/>
        </w:rPr>
        <w:t>10.26(iii) Amendment No. 2 to Term Loan Credit Agreement, dated as of August 4, 2022, among International Flavors &amp; Fragrances Inc., as borrower, the lenders signatory thereto and Morgan Stanley Senior Funding, Inc., as administrative agent, incorporated by reference to Exhibit 10.1 to the Registrant’s Current Report on Form 8-K filed on August 8, 2022.</w:t>
      </w:r>
    </w:p>
    <w:p>
      <w:pPr>
        <w:spacing w:after="0" w:line="29" w:lineRule="exact"/>
        <w:rPr>
          <w:sz w:val="20"/>
          <w:szCs w:val="20"/>
          <w:color w:val="auto"/>
        </w:rPr>
      </w:pPr>
    </w:p>
    <w:p>
      <w:pPr>
        <w:ind w:left="740" w:right="400" w:hanging="530"/>
        <w:spacing w:after="0" w:line="252" w:lineRule="auto"/>
        <w:rPr>
          <w:sz w:val="20"/>
          <w:szCs w:val="20"/>
          <w:color w:val="auto"/>
        </w:rPr>
      </w:pPr>
      <w:r>
        <w:rPr>
          <w:rFonts w:ascii="Times New Roman" w:cs="Times New Roman" w:eastAsia="Times New Roman" w:hAnsi="Times New Roman"/>
          <w:sz w:val="18"/>
          <w:szCs w:val="18"/>
          <w:color w:val="auto"/>
        </w:rPr>
        <w:t>10.27 Term Loan Credit Agreement, dated as of January 17, 2020, by and among Nutrition &amp; Biosciences, Inc., as borrower, and Morgan Stanley Senior Funding Inc., as administrative agent, and the other lenders party thereto, incorporated by reference to Exhibit 99.14 to the Registrant’s Form S-4 Registration Statement filed on October 5, 2020.</w:t>
      </w:r>
    </w:p>
    <w:p>
      <w:pPr>
        <w:spacing w:after="0" w:line="6" w:lineRule="exact"/>
        <w:rPr>
          <w:sz w:val="20"/>
          <w:szCs w:val="20"/>
          <w:color w:val="auto"/>
        </w:rPr>
      </w:pPr>
    </w:p>
    <w:p>
      <w:pPr>
        <w:ind w:left="740" w:right="500" w:hanging="643"/>
        <w:spacing w:after="0" w:line="252" w:lineRule="auto"/>
        <w:rPr>
          <w:sz w:val="20"/>
          <w:szCs w:val="20"/>
          <w:color w:val="auto"/>
        </w:rPr>
      </w:pPr>
      <w:r>
        <w:rPr>
          <w:rFonts w:ascii="Times New Roman" w:cs="Times New Roman" w:eastAsia="Times New Roman" w:hAnsi="Times New Roman"/>
          <w:sz w:val="18"/>
          <w:szCs w:val="18"/>
          <w:color w:val="auto"/>
        </w:rPr>
        <w:t>10.27(i) Amendment No. 1 to Credit Agreement, dated as of August 25, 2020, by and among Nutrition &amp; Biosciences, Inc., the lenders signatory thereto and Morgan Stanley Senior Fund, Inc., as administrative agent, incorporated by reference to Exhibit 99.15 to the Registrant’s Form S-4 Registration Statement filed on October 5, 2020.</w:t>
      </w:r>
    </w:p>
    <w:p>
      <w:pPr>
        <w:spacing w:after="0" w:line="6" w:lineRule="exact"/>
        <w:rPr>
          <w:sz w:val="20"/>
          <w:szCs w:val="20"/>
          <w:color w:val="auto"/>
        </w:rPr>
      </w:pPr>
    </w:p>
    <w:p>
      <w:pPr>
        <w:ind w:left="740" w:right="540" w:hanging="530"/>
        <w:spacing w:after="0" w:line="279" w:lineRule="auto"/>
        <w:rPr>
          <w:sz w:val="20"/>
          <w:szCs w:val="20"/>
          <w:color w:val="auto"/>
        </w:rPr>
      </w:pPr>
      <w:r>
        <w:rPr>
          <w:rFonts w:ascii="Times New Roman" w:cs="Times New Roman" w:eastAsia="Times New Roman" w:hAnsi="Times New Roman"/>
          <w:sz w:val="18"/>
          <w:szCs w:val="18"/>
          <w:color w:val="auto"/>
        </w:rPr>
        <w:t>10.28 Co-Operation Agreement, dated as of March 7, 2021, incorporated by reference to the Registrant's Current Report on Form 8-K filed on March 8, 2021.</w:t>
      </w:r>
    </w:p>
    <w:p>
      <w:pPr>
        <w:ind w:left="740" w:right="420" w:hanging="530"/>
        <w:spacing w:after="0" w:line="259" w:lineRule="auto"/>
        <w:rPr>
          <w:sz w:val="20"/>
          <w:szCs w:val="20"/>
          <w:color w:val="auto"/>
        </w:rPr>
      </w:pPr>
      <w:r>
        <w:rPr>
          <w:rFonts w:ascii="Times New Roman" w:cs="Times New Roman" w:eastAsia="Times New Roman" w:hAnsi="Times New Roman"/>
          <w:sz w:val="18"/>
          <w:szCs w:val="18"/>
          <w:color w:val="auto"/>
        </w:rPr>
        <w:t>10.29 Tax Matters Agreement, dated as of February 1, 2021, by and among DuPont de Nemours, Inc., Nutrition &amp; Biosciences, Inc. and International Flavors &amp; Fragrances Inc., incorporated by reference to Exhibit 10.1 to the Registrant’s Current Report on Form 8-K filed on February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ectPr>
          <w:pgSz w:w="11880" w:h="15480" w:orient="portrait"/>
          <w:cols w:equalWidth="0" w:num="1">
            <w:col w:w="9040"/>
          </w:cols>
          <w:pgMar w:left="1400" w:top="1277" w:right="1440" w:bottom="254" w:gutter="0" w:footer="0" w:header="0"/>
        </w:sectPr>
      </w:pPr>
    </w:p>
    <w:bookmarkStart w:id="122" w:name="page123"/>
    <w:bookmarkEnd w:id="122"/>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p>
      <w:pPr>
        <w:ind w:left="140"/>
        <w:spacing w:after="0"/>
        <w:rPr>
          <w:sz w:val="20"/>
          <w:szCs w:val="20"/>
          <w:color w:val="auto"/>
        </w:rPr>
      </w:pPr>
      <w:r>
        <w:rPr>
          <w:rFonts w:ascii="Times New Roman" w:cs="Times New Roman" w:eastAsia="Times New Roman" w:hAnsi="Times New Roman"/>
          <w:sz w:val="18"/>
          <w:szCs w:val="18"/>
          <w:b w:val="1"/>
          <w:bCs w:val="1"/>
          <w:color w:val="auto"/>
        </w:rPr>
        <w:t>Number 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528955</wp:posOffset>
                </wp:positionH>
                <wp:positionV relativeFrom="paragraph">
                  <wp:posOffset>36195</wp:posOffset>
                </wp:positionV>
                <wp:extent cx="513270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32705" cy="4763"/>
                        </a:xfrm>
                        <a:prstGeom prst="line">
                          <a:avLst/>
                        </a:prstGeom>
                        <a:solidFill>
                          <a:srgbClr val="FFFFFF"/>
                        </a:solidFill>
                        <a:ln w="11112">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5pt,2.85pt" to="445.8pt,2.85pt" o:allowincell="f" strokecolor="#000000" strokeweight="0.875pt"/>
            </w:pict>
          </mc:Fallback>
        </mc:AlternateContent>
      </w:r>
    </w:p>
    <w:p>
      <w:pPr>
        <w:spacing w:after="0" w:line="69" w:lineRule="exact"/>
        <w:rPr>
          <w:sz w:val="20"/>
          <w:szCs w:val="20"/>
          <w:color w:val="auto"/>
        </w:rPr>
      </w:pPr>
    </w:p>
    <w:p>
      <w:pPr>
        <w:ind w:left="880" w:right="380" w:hanging="530"/>
        <w:spacing w:after="0" w:line="258" w:lineRule="auto"/>
        <w:rPr>
          <w:sz w:val="20"/>
          <w:szCs w:val="20"/>
          <w:color w:val="auto"/>
        </w:rPr>
      </w:pPr>
      <w:r>
        <w:rPr>
          <w:rFonts w:ascii="Times New Roman" w:cs="Times New Roman" w:eastAsia="Times New Roman" w:hAnsi="Times New Roman"/>
          <w:sz w:val="18"/>
          <w:szCs w:val="18"/>
          <w:color w:val="auto"/>
        </w:rPr>
        <w:t>10.30 Intellectual Property Cross-License Agreement, dated as of February 1, 2021, by and between Nutrition &amp; Biosciences, Inc. and DuPont de Nemours, Inc., incorporated by reference to Exhibit 10.2 to the Registrant’s Current Report on Form 8-K filed on February 4, 2021.</w:t>
      </w:r>
    </w:p>
    <w:p>
      <w:pPr>
        <w:spacing w:after="0" w:line="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21  List of Principal Subsidiaries.</w:t>
      </w:r>
    </w:p>
    <w:p>
      <w:pPr>
        <w:spacing w:after="0" w:line="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23  Consent of PricewaterhouseCoopers LLP.</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31.1  Certification of Frank Clyburn pursuant to Section 302 of the Sarbanes-Oxley Act of 2002.</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31.2  Certification of Glenn Richter pursuant to Section 302 of the Sarbanes-Oxley Act of 2002.</w:t>
      </w:r>
    </w:p>
    <w:p>
      <w:pPr>
        <w:spacing w:after="0" w:line="60" w:lineRule="exact"/>
        <w:rPr>
          <w:sz w:val="20"/>
          <w:szCs w:val="20"/>
          <w:color w:val="auto"/>
        </w:rPr>
      </w:pPr>
    </w:p>
    <w:p>
      <w:pPr>
        <w:ind w:left="880" w:right="380" w:hanging="302"/>
        <w:spacing w:after="0" w:line="264"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Frank Clyburn and Glenn Richter pursuant to 18 U.S.C. Section 1350 as adopted pursuant to the Sarbanes-Oxley Act of 2002.</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101.SCH XBRL Taxonomy Extensions Schema</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101.CAL XBRL Taxonomy Extension Calculation Linkbase</w:t>
      </w:r>
    </w:p>
    <w:p>
      <w:pPr>
        <w:spacing w:after="0" w:line="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101.DEF XBRL Taxonomy Extension Definition Linkbase</w:t>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101.LAB XBRL Taxonomy Extension Label Linkbase</w:t>
      </w:r>
    </w:p>
    <w:p>
      <w:pPr>
        <w:spacing w:after="0" w:line="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101.PRE XBRL Taxonomy Extension Presentation Linkbase</w:t>
      </w:r>
    </w:p>
    <w:p>
      <w:pPr>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72" w:lineRule="exact"/>
        <w:rPr>
          <w:sz w:val="20"/>
          <w:szCs w:val="20"/>
          <w:color w:val="auto"/>
        </w:rPr>
      </w:pPr>
    </w:p>
    <w:p>
      <w:pPr>
        <w:ind w:left="340" w:hanging="334"/>
        <w:spacing w:after="0"/>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w:t>
        <w:tab/>
        <w:t>FORM 10-K SUMMARY.</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116</w:t>
      </w:r>
    </w:p>
    <w:p>
      <w:pPr>
        <w:sectPr>
          <w:pgSz w:w="11880" w:h="15480" w:orient="portrait"/>
          <w:cols w:equalWidth="0" w:num="1">
            <w:col w:w="9180"/>
          </w:cols>
          <w:pgMar w:left="1260" w:top="1277" w:right="1440" w:bottom="254" w:gutter="0" w:footer="0" w:header="0"/>
        </w:sectPr>
      </w:pPr>
    </w:p>
    <w:bookmarkStart w:id="123" w:name="page124"/>
    <w:bookmarkEnd w:id="123"/>
    <w:p>
      <w:pPr>
        <w:ind w:left="43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3" w:lineRule="exact"/>
        <w:rPr>
          <w:sz w:val="20"/>
          <w:szCs w:val="20"/>
          <w:color w:val="auto"/>
        </w:rPr>
      </w:pPr>
    </w:p>
    <w:p>
      <w:pPr>
        <w:ind w:right="480" w:firstLine="451"/>
        <w:spacing w:after="0" w:line="30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30" w:lineRule="exact"/>
        <w:rPr>
          <w:sz w:val="20"/>
          <w:szCs w:val="20"/>
          <w:color w:val="auto"/>
        </w:rPr>
      </w:pPr>
    </w:p>
    <w:tbl>
      <w:tblPr>
        <w:tblLayout w:type="fixed"/>
        <w:tblInd w:w="4080" w:type="dxa"/>
        <w:tblCellMar>
          <w:top w:w="0" w:type="dxa"/>
          <w:left w:w="0" w:type="dxa"/>
          <w:bottom w:w="0" w:type="dxa"/>
          <w:right w:w="0" w:type="dxa"/>
        </w:tblCellMar>
      </w:tblPr>
      <w:tr>
        <w:trPr>
          <w:trHeight w:val="25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Glenn Richter</w:t>
            </w:r>
          </w:p>
        </w:tc>
      </w:tr>
      <w:tr>
        <w:trPr>
          <w:trHeight w:val="25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Glenn Richter</w:t>
            </w:r>
          </w:p>
        </w:tc>
      </w:tr>
      <w:tr>
        <w:trPr>
          <w:trHeight w:val="2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&amp; Business</w:t>
            </w:r>
          </w:p>
        </w:tc>
      </w:tr>
      <w:tr>
        <w:trPr>
          <w:trHeight w:val="244"/>
        </w:trPr>
        <w:tc>
          <w:tcPr>
            <w:tcW w:w="680" w:type="dxa"/>
            <w:vAlign w:val="bottom"/>
          </w:tcPr>
          <w:p>
            <w:pPr>
              <w:spacing w:after="0"/>
              <w:rPr>
                <w:sz w:val="21"/>
                <w:szCs w:val="21"/>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Transformation Officer</w:t>
            </w: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880" w:h="15480" w:orient="portrait"/>
          <w:cols w:equalWidth="0" w:num="1">
            <w:col w:w="9360"/>
          </w:cols>
          <w:pgMar w:left="1260" w:top="1252" w:right="1260" w:bottom="254" w:gutter="0" w:footer="0" w:header="0"/>
        </w:sectPr>
      </w:pPr>
    </w:p>
    <w:bookmarkStart w:id="124" w:name="page125"/>
    <w:bookmarkEnd w:id="124"/>
    <w:p>
      <w:pPr>
        <w:ind w:left="40" w:firstLine="451"/>
        <w:spacing w:after="0" w:line="30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0" w:lineRule="exact"/>
        <w:rPr>
          <w:sz w:val="20"/>
          <w:szCs w:val="20"/>
          <w:color w:val="auto"/>
        </w:rPr>
      </w:pPr>
    </w:p>
    <w:p>
      <w:pPr>
        <w:ind w:left="1480"/>
        <w:spacing w:after="0"/>
        <w:tabs>
          <w:tab w:leader="none" w:pos="5540" w:val="left"/>
          <w:tab w:leader="none" w:pos="840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Frank Clyburn</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vMerge w:val="continue"/>
          </w:tcPr>
          <w:p>
            <w:pPr>
              <w:spacing w:after="0"/>
              <w:rPr>
                <w:sz w:val="21"/>
                <w:szCs w:val="21"/>
                <w:color w:val="auto"/>
              </w:rPr>
            </w:pP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 Clyburn</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3580" w:type="dxa"/>
            <w:vAlign w:val="bottom"/>
          </w:tcPr>
          <w:p>
            <w:pPr>
              <w:spacing w:after="0"/>
              <w:rPr>
                <w:sz w:val="24"/>
                <w:szCs w:val="24"/>
                <w:color w:val="auto"/>
              </w:rPr>
            </w:pP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Executive Vice President and Chief Financial &amp;</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 Glenn Richter</w:t>
            </w:r>
          </w:p>
        </w:tc>
        <w:tc>
          <w:tcPr>
            <w:tcW w:w="4100" w:type="dxa"/>
            <w:vAlign w:val="bottom"/>
          </w:tcPr>
          <w:p>
            <w:pPr>
              <w:jc w:val="center"/>
              <w:ind w:left="68"/>
              <w:spacing w:after="0" w:line="184" w:lineRule="exact"/>
              <w:rPr>
                <w:sz w:val="20"/>
                <w:szCs w:val="20"/>
                <w:color w:val="auto"/>
              </w:rPr>
            </w:pPr>
            <w:r>
              <w:rPr>
                <w:rFonts w:ascii="Times New Roman" w:cs="Times New Roman" w:eastAsia="Times New Roman" w:hAnsi="Times New Roman"/>
                <w:sz w:val="18"/>
                <w:szCs w:val="18"/>
                <w:color w:val="auto"/>
              </w:rPr>
              <w:t>Business Transformation Officer</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53"/>
        </w:trPr>
        <w:tc>
          <w:tcPr>
            <w:tcW w:w="3580" w:type="dxa"/>
            <w:vAlign w:val="bottom"/>
            <w:tcBorders>
              <w:bottom w:val="single" w:sz="8" w:color="auto"/>
            </w:tcBorders>
            <w:vMerge w:val="continue"/>
          </w:tcPr>
          <w:p>
            <w:pPr>
              <w:spacing w:after="0"/>
              <w:rPr>
                <w:sz w:val="21"/>
                <w:szCs w:val="21"/>
                <w:color w:val="auto"/>
              </w:rPr>
            </w:pP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Glenn Richter</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580" w:type="dxa"/>
            <w:vAlign w:val="bottom"/>
          </w:tcPr>
          <w:p>
            <w:pPr>
              <w:spacing w:after="0"/>
              <w:rPr>
                <w:sz w:val="24"/>
                <w:szCs w:val="24"/>
                <w:color w:val="auto"/>
              </w:rPr>
            </w:pP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Senior Vice President, Corporate Controller and</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Beril Yildiz</w:t>
            </w:r>
          </w:p>
        </w:tc>
        <w:tc>
          <w:tcPr>
            <w:tcW w:w="4100" w:type="dxa"/>
            <w:vAlign w:val="bottom"/>
          </w:tcPr>
          <w:p>
            <w:pPr>
              <w:jc w:val="center"/>
              <w:ind w:left="68"/>
              <w:spacing w:after="0" w:line="184" w:lineRule="exact"/>
              <w:rPr>
                <w:sz w:val="20"/>
                <w:szCs w:val="20"/>
                <w:color w:val="auto"/>
              </w:rPr>
            </w:pPr>
            <w:r>
              <w:rPr>
                <w:rFonts w:ascii="Times New Roman" w:cs="Times New Roman" w:eastAsia="Times New Roman" w:hAnsi="Times New Roman"/>
                <w:sz w:val="18"/>
                <w:szCs w:val="18"/>
                <w:color w:val="auto"/>
              </w:rPr>
              <w:t>Chief Accounting Officer</w:t>
            </w: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53"/>
        </w:trPr>
        <w:tc>
          <w:tcPr>
            <w:tcW w:w="3580" w:type="dxa"/>
            <w:vAlign w:val="bottom"/>
            <w:tcBorders>
              <w:bottom w:val="single" w:sz="8" w:color="auto"/>
            </w:tcBorders>
            <w:vMerge w:val="continue"/>
          </w:tcPr>
          <w:p>
            <w:pPr>
              <w:spacing w:after="0"/>
              <w:rPr>
                <w:sz w:val="21"/>
                <w:szCs w:val="21"/>
                <w:color w:val="auto"/>
              </w:rPr>
            </w:pP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Beril Yildiz</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Dale F. Morrison</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Chairman of the Board, 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4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Dale F. Morrison</w:t>
            </w:r>
          </w:p>
        </w:tc>
        <w:tc>
          <w:tcPr>
            <w:tcW w:w="4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Kathryn J. Boor</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4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Kathryn J. Boor</w:t>
            </w:r>
          </w:p>
        </w:tc>
        <w:tc>
          <w:tcPr>
            <w:tcW w:w="4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Edward D. Breen</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4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Edward D. Breen</w:t>
            </w:r>
          </w:p>
        </w:tc>
        <w:tc>
          <w:tcPr>
            <w:tcW w:w="4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Barry A. Bruno</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1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Barry A. Bruno</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Costa</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4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 Costa</w:t>
            </w:r>
          </w:p>
        </w:tc>
        <w:tc>
          <w:tcPr>
            <w:tcW w:w="4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Carol Anthony (John) Davidson</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12"/>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Carol Anthony (John) Davidson</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Roger W. Ferguson, Jr.</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43"/>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Roger W. Ferguson, Jr.</w:t>
            </w:r>
          </w:p>
        </w:tc>
        <w:tc>
          <w:tcPr>
            <w:tcW w:w="4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F. Ferraro</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4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F. Ferraro</w:t>
            </w:r>
          </w:p>
        </w:tc>
        <w:tc>
          <w:tcPr>
            <w:tcW w:w="4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Christina Gold</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1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Christina Gold</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Matthias Heinzel</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4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Matthias Heinzel</w:t>
            </w:r>
          </w:p>
        </w:tc>
        <w:tc>
          <w:tcPr>
            <w:tcW w:w="4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Gary Hu</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12"/>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Gary Hu</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Stephen Williamson</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12"/>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Williamson</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Dawn C. Willoughby</w:t>
            </w:r>
          </w:p>
        </w:tc>
        <w:tc>
          <w:tcPr>
            <w:tcW w:w="4100" w:type="dxa"/>
            <w:vAlign w:val="bottom"/>
          </w:tcPr>
          <w:p>
            <w:pPr>
              <w:jc w:val="center"/>
              <w:ind w:left="68"/>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February 27, 2023</w:t>
            </w:r>
          </w:p>
        </w:tc>
        <w:tc>
          <w:tcPr>
            <w:tcW w:w="0" w:type="dxa"/>
            <w:vAlign w:val="bottom"/>
          </w:tcPr>
          <w:p>
            <w:pPr>
              <w:spacing w:after="0"/>
              <w:rPr>
                <w:sz w:val="1"/>
                <w:szCs w:val="1"/>
                <w:color w:val="auto"/>
              </w:rPr>
            </w:pPr>
          </w:p>
        </w:tc>
      </w:tr>
      <w:tr>
        <w:trPr>
          <w:trHeight w:val="214"/>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Dawn C. Willoughby</w:t>
            </w:r>
          </w:p>
        </w:tc>
        <w:tc>
          <w:tcPr>
            <w:tcW w:w="4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2"/>
        </w:trPr>
        <w:tc>
          <w:tcPr>
            <w:tcW w:w="3580" w:type="dxa"/>
            <w:vAlign w:val="bottom"/>
          </w:tcPr>
          <w:p>
            <w:pPr>
              <w:spacing w:after="0"/>
              <w:rPr>
                <w:sz w:val="24"/>
                <w:szCs w:val="24"/>
                <w:color w:val="auto"/>
              </w:rPr>
            </w:pPr>
          </w:p>
        </w:tc>
        <w:tc>
          <w:tcPr>
            <w:tcW w:w="4100" w:type="dxa"/>
            <w:vAlign w:val="bottom"/>
          </w:tcPr>
          <w:p>
            <w:pPr>
              <w:jc w:val="right"/>
              <w:ind w:right="2728"/>
              <w:spacing w:after="0"/>
              <w:rPr>
                <w:sz w:val="20"/>
                <w:szCs w:val="20"/>
                <w:color w:val="auto"/>
              </w:rPr>
            </w:pPr>
            <w:r>
              <w:rPr>
                <w:rFonts w:ascii="Times New Roman" w:cs="Times New Roman" w:eastAsia="Times New Roman" w:hAnsi="Times New Roman"/>
                <w:sz w:val="18"/>
                <w:szCs w:val="18"/>
                <w:color w:val="auto"/>
              </w:rPr>
              <w:t>118</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260"/>
          </w:cols>
          <w:pgMar w:left="1220" w:top="1255" w:right="1400" w:bottom="213" w:gutter="0" w:footer="0" w:header="0"/>
        </w:sectPr>
      </w:pPr>
    </w:p>
    <w:bookmarkStart w:id="125" w:name="page126"/>
    <w:bookmarkEnd w:id="12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 AND SUBSIDIARIES</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 AND RESERVES</w:t>
      </w:r>
    </w:p>
    <w:p>
      <w:pPr>
        <w:spacing w:after="0" w:line="1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ind w:right="53"/>
              <w:spacing w:after="0" w:line="177" w:lineRule="exact"/>
              <w:rPr>
                <w:sz w:val="20"/>
                <w:szCs w:val="20"/>
                <w:color w:val="auto"/>
              </w:rPr>
            </w:pPr>
            <w:r>
              <w:rPr>
                <w:rFonts w:ascii="Times New Roman" w:cs="Times New Roman" w:eastAsia="Times New Roman" w:hAnsi="Times New Roman"/>
                <w:sz w:val="17"/>
                <w:szCs w:val="17"/>
                <w:b w:val="1"/>
                <w:bCs w:val="1"/>
                <w:color w:val="auto"/>
                <w:w w:val="95"/>
              </w:rPr>
              <w:t>Additions</w:t>
            </w:r>
          </w:p>
        </w:tc>
        <w:tc>
          <w:tcPr>
            <w:tcW w:w="2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50" w:type="dxa"/>
            <w:vAlign w:val="bottom"/>
            <w:tcBorders>
              <w:top w:val="single" w:sz="8" w:color="auto"/>
            </w:tcBorders>
          </w:tcPr>
          <w:p>
            <w:pPr>
              <w:spacing w:after="0"/>
              <w:rPr>
                <w:sz w:val="15"/>
                <w:szCs w:val="15"/>
                <w:color w:val="auto"/>
              </w:rPr>
            </w:pPr>
          </w:p>
        </w:tc>
        <w:tc>
          <w:tcPr>
            <w:tcW w:w="7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60" w:type="dxa"/>
            <w:vAlign w:val="bottom"/>
          </w:tcPr>
          <w:p>
            <w:pPr>
              <w:spacing w:after="0"/>
              <w:rPr>
                <w:sz w:val="14"/>
                <w:szCs w:val="14"/>
                <w:color w:val="auto"/>
              </w:rPr>
            </w:pPr>
          </w:p>
        </w:tc>
        <w:tc>
          <w:tcPr>
            <w:tcW w:w="98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7"/>
                <w:szCs w:val="17"/>
                <w:b w:val="1"/>
                <w:bCs w:val="1"/>
                <w:color w:val="auto"/>
              </w:rPr>
              <w:t>(deductions)</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6"/>
              </w:rPr>
              <w:t>charged to</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b w:val="1"/>
                <w:bCs w:val="1"/>
                <w:color w:val="auto"/>
                <w:w w:val="98"/>
              </w:rPr>
              <w:t>Accounts</w:t>
            </w:r>
          </w:p>
        </w:tc>
        <w:tc>
          <w:tcPr>
            <w:tcW w:w="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7"/>
                <w:szCs w:val="17"/>
                <w:b w:val="1"/>
                <w:bCs w:val="1"/>
                <w:color w:val="auto"/>
                <w:w w:val="97"/>
              </w:rPr>
              <w:t>beginning</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7"/>
                <w:szCs w:val="17"/>
                <w:b w:val="1"/>
                <w:bCs w:val="1"/>
                <w:color w:val="auto"/>
                <w:w w:val="96"/>
              </w:rPr>
              <w:t>costs and</w:t>
            </w:r>
          </w:p>
        </w:tc>
        <w:tc>
          <w:tcPr>
            <w:tcW w:w="260" w:type="dxa"/>
            <w:vAlign w:val="bottom"/>
          </w:tcPr>
          <w:p>
            <w:pPr>
              <w:spacing w:after="0"/>
              <w:rPr>
                <w:sz w:val="14"/>
                <w:szCs w:val="14"/>
                <w:color w:val="auto"/>
              </w:rPr>
            </w:pPr>
          </w:p>
        </w:tc>
        <w:tc>
          <w:tcPr>
            <w:tcW w:w="97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Acquisitions</w:t>
            </w:r>
          </w:p>
        </w:tc>
        <w:tc>
          <w:tcPr>
            <w:tcW w:w="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12"/>
              <w:spacing w:after="0" w:line="162" w:lineRule="exact"/>
              <w:rPr>
                <w:sz w:val="20"/>
                <w:szCs w:val="20"/>
                <w:color w:val="auto"/>
              </w:rPr>
            </w:pPr>
            <w:r>
              <w:rPr>
                <w:rFonts w:ascii="Times New Roman" w:cs="Times New Roman" w:eastAsia="Times New Roman" w:hAnsi="Times New Roman"/>
                <w:sz w:val="17"/>
                <w:szCs w:val="17"/>
                <w:b w:val="1"/>
                <w:bCs w:val="1"/>
                <w:color w:val="auto"/>
                <w:w w:val="93"/>
              </w:rPr>
              <w:t>end of</w:t>
            </w:r>
          </w:p>
        </w:tc>
        <w:tc>
          <w:tcPr>
            <w:tcW w:w="0" w:type="dxa"/>
            <w:vAlign w:val="bottom"/>
          </w:tcPr>
          <w:p>
            <w:pPr>
              <w:spacing w:after="0"/>
              <w:rPr>
                <w:sz w:val="1"/>
                <w:szCs w:val="1"/>
                <w:color w:val="auto"/>
              </w:rPr>
            </w:pPr>
          </w:p>
        </w:tc>
      </w:tr>
      <w:tr>
        <w:trPr>
          <w:trHeight w:val="228"/>
        </w:trPr>
        <w:tc>
          <w:tcPr>
            <w:tcW w:w="40" w:type="dxa"/>
            <w:vAlign w:val="bottom"/>
            <w:tcBorders>
              <w:bottom w:val="single" w:sz="8" w:color="DDDDDD"/>
            </w:tcBorders>
          </w:tcPr>
          <w:p>
            <w:pPr>
              <w:spacing w:after="0"/>
              <w:rPr>
                <w:sz w:val="19"/>
                <w:szCs w:val="19"/>
                <w:color w:val="auto"/>
              </w:rPr>
            </w:pPr>
          </w:p>
        </w:tc>
        <w:tc>
          <w:tcPr>
            <w:tcW w:w="1880" w:type="dxa"/>
            <w:vAlign w:val="bottom"/>
            <w:tcBorders>
              <w:bottom w:val="single" w:sz="8" w:color="DDDDDD"/>
            </w:tcBorders>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7"/>
                <w:szCs w:val="17"/>
                <w:b w:val="1"/>
                <w:bCs w:val="1"/>
                <w:color w:val="auto"/>
                <w:w w:val="97"/>
              </w:rPr>
              <w:t>of period</w:t>
            </w:r>
          </w:p>
        </w:tc>
        <w:tc>
          <w:tcPr>
            <w:tcW w:w="6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7"/>
              </w:rPr>
              <w:t>expenses</w:t>
            </w:r>
          </w:p>
        </w:tc>
        <w:tc>
          <w:tcPr>
            <w:tcW w:w="260" w:type="dxa"/>
            <w:vAlign w:val="bottom"/>
            <w:tcBorders>
              <w:bottom w:val="single" w:sz="8" w:color="DDDDDD"/>
            </w:tcBorders>
          </w:tcPr>
          <w:p>
            <w:pPr>
              <w:spacing w:after="0"/>
              <w:rPr>
                <w:sz w:val="19"/>
                <w:szCs w:val="19"/>
                <w:color w:val="auto"/>
              </w:rPr>
            </w:pPr>
          </w:p>
        </w:tc>
        <w:tc>
          <w:tcPr>
            <w:tcW w:w="970" w:type="dxa"/>
            <w:vAlign w:val="bottom"/>
            <w:tcBorders>
              <w:bottom w:val="single" w:sz="8" w:color="auto"/>
            </w:tcBorders>
            <w:gridSpan w:val="2"/>
            <w:vMerge w:val="continue"/>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written off</w:t>
            </w:r>
          </w:p>
        </w:tc>
        <w:tc>
          <w:tcPr>
            <w:tcW w:w="80" w:type="dxa"/>
            <w:vAlign w:val="bottom"/>
            <w:tcBorders>
              <w:bottom w:val="single" w:sz="8" w:color="DDDDDD"/>
            </w:tcBorders>
          </w:tcPr>
          <w:p>
            <w:pPr>
              <w:spacing w:after="0"/>
              <w:rPr>
                <w:sz w:val="19"/>
                <w:szCs w:val="19"/>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8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DDDDDD"/>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7"/>
                <w:szCs w:val="17"/>
                <w:b w:val="1"/>
                <w:bCs w:val="1"/>
                <w:color w:val="auto"/>
                <w:w w:val="97"/>
              </w:rPr>
              <w:t>period</w:t>
            </w:r>
          </w:p>
        </w:tc>
        <w:tc>
          <w:tcPr>
            <w:tcW w:w="0" w:type="dxa"/>
            <w:vAlign w:val="bottom"/>
          </w:tcPr>
          <w:p>
            <w:pPr>
              <w:spacing w:after="0"/>
              <w:rPr>
                <w:sz w:val="1"/>
                <w:szCs w:val="1"/>
                <w:color w:val="auto"/>
              </w:rPr>
            </w:pPr>
          </w:p>
        </w:tc>
      </w:tr>
      <w:tr>
        <w:trPr>
          <w:trHeight w:val="190"/>
        </w:trPr>
        <w:tc>
          <w:tcPr>
            <w:tcW w:w="40" w:type="dxa"/>
            <w:vAlign w:val="bottom"/>
            <w:shd w:val="clear" w:color="auto" w:fill="DDDDDD"/>
          </w:tcPr>
          <w:p>
            <w:pPr>
              <w:spacing w:after="0"/>
              <w:rPr>
                <w:sz w:val="16"/>
                <w:szCs w:val="16"/>
                <w:color w:val="auto"/>
              </w:rPr>
            </w:pPr>
          </w:p>
        </w:tc>
        <w:tc>
          <w:tcPr>
            <w:tcW w:w="1880" w:type="dxa"/>
            <w:vAlign w:val="bottom"/>
            <w:shd w:val="clear" w:color="auto" w:fill="DDDDDD"/>
          </w:tcPr>
          <w:p>
            <w:pPr>
              <w:spacing w:after="0" w:line="190" w:lineRule="exact"/>
              <w:rPr>
                <w:sz w:val="20"/>
                <w:szCs w:val="20"/>
                <w:color w:val="auto"/>
              </w:rPr>
            </w:pPr>
            <w:r>
              <w:rPr>
                <w:rFonts w:ascii="Times New Roman" w:cs="Times New Roman" w:eastAsia="Times New Roman" w:hAnsi="Times New Roman"/>
                <w:sz w:val="18"/>
                <w:szCs w:val="18"/>
                <w:color w:val="auto"/>
              </w:rPr>
              <w:t>Allowance for doubtful</w:t>
            </w:r>
          </w:p>
        </w:tc>
        <w:tc>
          <w:tcPr>
            <w:tcW w:w="40" w:type="dxa"/>
            <w:vAlign w:val="bottom"/>
            <w:shd w:val="clear" w:color="auto" w:fill="DDDDDD"/>
          </w:tcPr>
          <w:p>
            <w:pPr>
              <w:spacing w:after="0"/>
              <w:rPr>
                <w:sz w:val="16"/>
                <w:szCs w:val="16"/>
                <w:color w:val="auto"/>
              </w:rPr>
            </w:pPr>
          </w:p>
        </w:tc>
        <w:tc>
          <w:tcPr>
            <w:tcW w:w="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DDDDDD"/>
          </w:tcPr>
          <w:p>
            <w:pPr>
              <w:spacing w:after="0"/>
              <w:rPr>
                <w:sz w:val="16"/>
                <w:szCs w:val="16"/>
                <w:color w:val="auto"/>
              </w:rPr>
            </w:pPr>
          </w:p>
        </w:tc>
        <w:tc>
          <w:tcPr>
            <w:tcW w:w="16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DDDDDD"/>
          </w:tcPr>
          <w:p>
            <w:pPr>
              <w:spacing w:after="0"/>
              <w:rPr>
                <w:sz w:val="16"/>
                <w:szCs w:val="16"/>
                <w:color w:val="auto"/>
              </w:rPr>
            </w:pPr>
          </w:p>
        </w:tc>
        <w:tc>
          <w:tcPr>
            <w:tcW w:w="42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5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shd w:val="clear" w:color="auto" w:fill="DDDDDD"/>
          </w:tcPr>
          <w:p>
            <w:pPr>
              <w:spacing w:after="0"/>
              <w:rPr>
                <w:sz w:val="16"/>
                <w:szCs w:val="16"/>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16"/>
                <w:szCs w:val="16"/>
                <w:color w:val="auto"/>
              </w:rPr>
            </w:pPr>
          </w:p>
        </w:tc>
        <w:tc>
          <w:tcPr>
            <w:tcW w:w="40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DDDDDD"/>
          </w:tcPr>
          <w:p>
            <w:pPr>
              <w:spacing w:after="0"/>
              <w:rPr>
                <w:sz w:val="16"/>
                <w:szCs w:val="16"/>
                <w:color w:val="auto"/>
              </w:rPr>
            </w:pPr>
          </w:p>
        </w:tc>
        <w:tc>
          <w:tcPr>
            <w:tcW w:w="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DDDDDD"/>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6"/>
                <w:szCs w:val="16"/>
                <w:color w:val="auto"/>
              </w:rPr>
            </w:pPr>
          </w:p>
        </w:tc>
        <w:tc>
          <w:tcPr>
            <w:tcW w:w="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
        </w:trPr>
        <w:tc>
          <w:tcPr>
            <w:tcW w:w="40" w:type="dxa"/>
            <w:vAlign w:val="bottom"/>
            <w:shd w:val="clear" w:color="auto" w:fill="DDDDDD"/>
          </w:tcPr>
          <w:p>
            <w:pPr>
              <w:spacing w:after="0" w:line="20" w:lineRule="exact"/>
              <w:rPr>
                <w:sz w:val="1"/>
                <w:szCs w:val="1"/>
                <w:color w:val="auto"/>
              </w:rPr>
            </w:pPr>
          </w:p>
        </w:tc>
        <w:tc>
          <w:tcPr>
            <w:tcW w:w="1880" w:type="dxa"/>
            <w:vAlign w:val="bottom"/>
            <w:vMerge w:val="restart"/>
            <w:shd w:val="clear" w:color="auto" w:fill="DDDDDD"/>
          </w:tcPr>
          <w:p>
            <w:pPr>
              <w:spacing w:after="0"/>
              <w:rPr>
                <w:sz w:val="20"/>
                <w:szCs w:val="20"/>
                <w:color w:val="auto"/>
              </w:rPr>
            </w:pPr>
            <w:r>
              <w:rPr>
                <w:rFonts w:ascii="Times New Roman" w:cs="Times New Roman" w:eastAsia="Times New Roman" w:hAnsi="Times New Roman"/>
                <w:sz w:val="18"/>
                <w:szCs w:val="18"/>
                <w:color w:val="auto"/>
              </w:rPr>
              <w:t>accounts</w:t>
            </w:r>
          </w:p>
        </w:tc>
        <w:tc>
          <w:tcPr>
            <w:tcW w:w="40" w:type="dxa"/>
            <w:vAlign w:val="bottom"/>
            <w:shd w:val="clear" w:color="auto" w:fill="DDDDDD"/>
          </w:tcPr>
          <w:p>
            <w:pPr>
              <w:spacing w:after="0" w:line="20" w:lineRule="exact"/>
              <w:rPr>
                <w:sz w:val="1"/>
                <w:szCs w:val="1"/>
                <w:color w:val="auto"/>
              </w:rPr>
            </w:pPr>
          </w:p>
        </w:tc>
        <w:tc>
          <w:tcPr>
            <w:tcW w:w="140" w:type="dxa"/>
            <w:vAlign w:val="bottom"/>
            <w:vMerge w:val="continue"/>
            <w:shd w:val="clear" w:color="auto" w:fill="DDDDDD"/>
          </w:tcPr>
          <w:p>
            <w:pPr>
              <w:spacing w:after="0" w:line="20" w:lineRule="exact"/>
              <w:rPr>
                <w:sz w:val="1"/>
                <w:szCs w:val="1"/>
                <w:color w:val="auto"/>
              </w:rPr>
            </w:pPr>
          </w:p>
        </w:tc>
        <w:tc>
          <w:tcPr>
            <w:tcW w:w="840" w:type="dxa"/>
            <w:vAlign w:val="bottom"/>
            <w:vMerge w:val="continue"/>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160" w:type="dxa"/>
            <w:vAlign w:val="bottom"/>
            <w:vMerge w:val="continue"/>
            <w:shd w:val="clear" w:color="auto" w:fill="DDDDDD"/>
          </w:tcPr>
          <w:p>
            <w:pPr>
              <w:spacing w:after="0" w:line="20" w:lineRule="exact"/>
              <w:rPr>
                <w:sz w:val="1"/>
                <w:szCs w:val="1"/>
                <w:color w:val="auto"/>
              </w:rPr>
            </w:pPr>
          </w:p>
        </w:tc>
        <w:tc>
          <w:tcPr>
            <w:tcW w:w="820" w:type="dxa"/>
            <w:vAlign w:val="bottom"/>
            <w:vMerge w:val="continue"/>
            <w:shd w:val="clear" w:color="auto" w:fill="DDDDDD"/>
          </w:tcPr>
          <w:p>
            <w:pPr>
              <w:spacing w:after="0" w:line="20" w:lineRule="exact"/>
              <w:rPr>
                <w:sz w:val="1"/>
                <w:szCs w:val="1"/>
                <w:color w:val="auto"/>
              </w:rPr>
            </w:pPr>
          </w:p>
        </w:tc>
        <w:tc>
          <w:tcPr>
            <w:tcW w:w="260" w:type="dxa"/>
            <w:vAlign w:val="bottom"/>
            <w:shd w:val="clear" w:color="auto" w:fill="DDDDDD"/>
          </w:tcPr>
          <w:p>
            <w:pPr>
              <w:spacing w:after="0" w:line="20" w:lineRule="exact"/>
              <w:rPr>
                <w:sz w:val="1"/>
                <w:szCs w:val="1"/>
                <w:color w:val="auto"/>
              </w:rPr>
            </w:pPr>
          </w:p>
        </w:tc>
        <w:tc>
          <w:tcPr>
            <w:tcW w:w="420" w:type="dxa"/>
            <w:vAlign w:val="bottom"/>
            <w:vMerge w:val="continue"/>
            <w:shd w:val="clear" w:color="auto" w:fill="DDDDDD"/>
          </w:tcPr>
          <w:p>
            <w:pPr>
              <w:spacing w:after="0" w:line="20" w:lineRule="exact"/>
              <w:rPr>
                <w:sz w:val="1"/>
                <w:szCs w:val="1"/>
                <w:color w:val="auto"/>
              </w:rPr>
            </w:pPr>
          </w:p>
        </w:tc>
        <w:tc>
          <w:tcPr>
            <w:tcW w:w="550" w:type="dxa"/>
            <w:vAlign w:val="bottom"/>
            <w:vMerge w:val="continue"/>
            <w:shd w:val="clear" w:color="auto" w:fill="DDDDDD"/>
          </w:tcPr>
          <w:p>
            <w:pPr>
              <w:spacing w:after="0" w:line="20" w:lineRule="exact"/>
              <w:rPr>
                <w:sz w:val="1"/>
                <w:szCs w:val="1"/>
                <w:color w:val="auto"/>
              </w:rPr>
            </w:pPr>
          </w:p>
        </w:tc>
        <w:tc>
          <w:tcPr>
            <w:tcW w:w="70" w:type="dxa"/>
            <w:vAlign w:val="bottom"/>
            <w:shd w:val="clear" w:color="auto" w:fill="DDDDDD"/>
          </w:tcPr>
          <w:p>
            <w:pPr>
              <w:spacing w:after="0" w:line="20" w:lineRule="exact"/>
              <w:rPr>
                <w:sz w:val="1"/>
                <w:szCs w:val="1"/>
                <w:color w:val="auto"/>
              </w:rPr>
            </w:pPr>
          </w:p>
        </w:tc>
        <w:tc>
          <w:tcPr>
            <w:tcW w:w="160" w:type="dxa"/>
            <w:vAlign w:val="bottom"/>
            <w:vMerge w:val="continue"/>
            <w:shd w:val="clear" w:color="auto" w:fill="DDDDDD"/>
          </w:tcPr>
          <w:p>
            <w:pPr>
              <w:spacing w:after="0" w:line="20" w:lineRule="exact"/>
              <w:rPr>
                <w:sz w:val="1"/>
                <w:szCs w:val="1"/>
                <w:color w:val="auto"/>
              </w:rPr>
            </w:pPr>
          </w:p>
        </w:tc>
        <w:tc>
          <w:tcPr>
            <w:tcW w:w="800" w:type="dxa"/>
            <w:vAlign w:val="bottom"/>
            <w:vMerge w:val="continue"/>
            <w:shd w:val="clear" w:color="auto" w:fill="DDDDDD"/>
          </w:tcPr>
          <w:p>
            <w:pPr>
              <w:spacing w:after="0" w:line="20" w:lineRule="exact"/>
              <w:rPr>
                <w:sz w:val="1"/>
                <w:szCs w:val="1"/>
                <w:color w:val="auto"/>
              </w:rPr>
            </w:pPr>
          </w:p>
        </w:tc>
        <w:tc>
          <w:tcPr>
            <w:tcW w:w="80" w:type="dxa"/>
            <w:vAlign w:val="bottom"/>
            <w:vMerge w:val="restart"/>
            <w:shd w:val="clear" w:color="auto" w:fill="DDDDDD"/>
          </w:tcPr>
          <w:p>
            <w:pPr>
              <w:spacing w:after="0" w:line="20" w:lineRule="exact"/>
              <w:rPr>
                <w:sz w:val="1"/>
                <w:szCs w:val="1"/>
                <w:color w:val="auto"/>
              </w:rPr>
            </w:pPr>
          </w:p>
        </w:tc>
        <w:tc>
          <w:tcPr>
            <w:tcW w:w="400" w:type="dxa"/>
            <w:vAlign w:val="bottom"/>
            <w:vMerge w:val="continue"/>
            <w:shd w:val="clear" w:color="auto" w:fill="DDDDDD"/>
          </w:tcPr>
          <w:p>
            <w:pPr>
              <w:spacing w:after="0" w:line="20" w:lineRule="exact"/>
              <w:rPr>
                <w:sz w:val="1"/>
                <w:szCs w:val="1"/>
                <w:color w:val="auto"/>
              </w:rPr>
            </w:pPr>
          </w:p>
        </w:tc>
        <w:tc>
          <w:tcPr>
            <w:tcW w:w="560" w:type="dxa"/>
            <w:vAlign w:val="bottom"/>
            <w:vMerge w:val="continue"/>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180" w:type="dxa"/>
            <w:vAlign w:val="bottom"/>
            <w:vMerge w:val="continue"/>
            <w:shd w:val="clear" w:color="auto" w:fill="DDDDDD"/>
          </w:tcPr>
          <w:p>
            <w:pPr>
              <w:spacing w:after="0" w:line="20" w:lineRule="exact"/>
              <w:rPr>
                <w:sz w:val="1"/>
                <w:szCs w:val="1"/>
                <w:color w:val="auto"/>
              </w:rPr>
            </w:pPr>
          </w:p>
        </w:tc>
        <w:tc>
          <w:tcPr>
            <w:tcW w:w="780" w:type="dxa"/>
            <w:vAlign w:val="bottom"/>
            <w:vMerge w:val="continue"/>
            <w:shd w:val="clear" w:color="auto" w:fill="DDDDDD"/>
          </w:tcPr>
          <w:p>
            <w:pPr>
              <w:spacing w:after="0" w:line="20" w:lineRule="exact"/>
              <w:rPr>
                <w:sz w:val="1"/>
                <w:szCs w:val="1"/>
                <w:color w:val="auto"/>
              </w:rPr>
            </w:pPr>
          </w:p>
        </w:tc>
        <w:tc>
          <w:tcPr>
            <w:tcW w:w="60" w:type="dxa"/>
            <w:vAlign w:val="bottom"/>
            <w:vMerge w:val="restart"/>
            <w:shd w:val="clear" w:color="auto" w:fill="DDDDDD"/>
          </w:tcPr>
          <w:p>
            <w:pPr>
              <w:spacing w:after="0" w:line="20" w:lineRule="exact"/>
              <w:rPr>
                <w:sz w:val="1"/>
                <w:szCs w:val="1"/>
                <w:color w:val="auto"/>
              </w:rPr>
            </w:pPr>
          </w:p>
        </w:tc>
        <w:tc>
          <w:tcPr>
            <w:tcW w:w="200" w:type="dxa"/>
            <w:vAlign w:val="bottom"/>
            <w:vMerge w:val="continue"/>
            <w:shd w:val="clear" w:color="auto" w:fill="DDDDDD"/>
          </w:tcPr>
          <w:p>
            <w:pPr>
              <w:spacing w:after="0" w:line="20" w:lineRule="exact"/>
              <w:rPr>
                <w:sz w:val="1"/>
                <w:szCs w:val="1"/>
                <w:color w:val="auto"/>
              </w:rPr>
            </w:pPr>
          </w:p>
        </w:tc>
        <w:tc>
          <w:tcPr>
            <w:tcW w:w="780" w:type="dxa"/>
            <w:vAlign w:val="bottom"/>
            <w:vMerge w:val="continue"/>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1880" w:type="dxa"/>
            <w:vAlign w:val="bottom"/>
            <w:vMerge w:val="continue"/>
            <w:shd w:val="clear" w:color="auto" w:fill="DDDDDD"/>
          </w:tcPr>
          <w:p>
            <w:pPr>
              <w:spacing w:after="0"/>
              <w:rPr>
                <w:sz w:val="19"/>
                <w:szCs w:val="19"/>
                <w:color w:val="auto"/>
              </w:rPr>
            </w:pPr>
          </w:p>
        </w:tc>
        <w:tc>
          <w:tcPr>
            <w:tcW w:w="40" w:type="dxa"/>
            <w:vAlign w:val="bottom"/>
            <w:shd w:val="clear" w:color="auto" w:fill="DDDDDD"/>
          </w:tcPr>
          <w:p>
            <w:pPr>
              <w:spacing w:after="0"/>
              <w:rPr>
                <w:sz w:val="19"/>
                <w:szCs w:val="19"/>
                <w:color w:val="auto"/>
              </w:rPr>
            </w:pPr>
          </w:p>
        </w:tc>
        <w:tc>
          <w:tcPr>
            <w:tcW w:w="140" w:type="dxa"/>
            <w:vAlign w:val="bottom"/>
            <w:vMerge w:val="continue"/>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420" w:type="dxa"/>
            <w:vAlign w:val="bottom"/>
            <w:vMerge w:val="continue"/>
            <w:shd w:val="clear" w:color="auto" w:fill="DDDDDD"/>
          </w:tcPr>
          <w:p>
            <w:pPr>
              <w:spacing w:after="0"/>
              <w:rPr>
                <w:sz w:val="19"/>
                <w:szCs w:val="19"/>
                <w:color w:val="auto"/>
              </w:rPr>
            </w:pPr>
          </w:p>
        </w:tc>
        <w:tc>
          <w:tcPr>
            <w:tcW w:w="550" w:type="dxa"/>
            <w:vAlign w:val="bottom"/>
            <w:vMerge w:val="continue"/>
            <w:shd w:val="clear" w:color="auto" w:fill="DDDDDD"/>
          </w:tcPr>
          <w:p>
            <w:pPr>
              <w:spacing w:after="0"/>
              <w:rPr>
                <w:sz w:val="19"/>
                <w:szCs w:val="19"/>
                <w:color w:val="auto"/>
              </w:rPr>
            </w:pPr>
          </w:p>
        </w:tc>
        <w:tc>
          <w:tcPr>
            <w:tcW w:w="7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800" w:type="dxa"/>
            <w:vAlign w:val="bottom"/>
            <w:vMerge w:val="continue"/>
            <w:shd w:val="clear" w:color="auto" w:fill="DDDDDD"/>
          </w:tcPr>
          <w:p>
            <w:pPr>
              <w:spacing w:after="0"/>
              <w:rPr>
                <w:sz w:val="19"/>
                <w:szCs w:val="19"/>
                <w:color w:val="auto"/>
              </w:rPr>
            </w:pPr>
          </w:p>
        </w:tc>
        <w:tc>
          <w:tcPr>
            <w:tcW w:w="80" w:type="dxa"/>
            <w:vAlign w:val="bottom"/>
            <w:vMerge w:val="continue"/>
            <w:shd w:val="clear" w:color="auto" w:fill="DDDDDD"/>
          </w:tcPr>
          <w:p>
            <w:pPr>
              <w:spacing w:after="0"/>
              <w:rPr>
                <w:sz w:val="19"/>
                <w:szCs w:val="19"/>
                <w:color w:val="auto"/>
              </w:rPr>
            </w:pPr>
          </w:p>
        </w:tc>
        <w:tc>
          <w:tcPr>
            <w:tcW w:w="400" w:type="dxa"/>
            <w:vAlign w:val="bottom"/>
            <w:vMerge w:val="continue"/>
            <w:shd w:val="clear" w:color="auto" w:fill="DDDDDD"/>
          </w:tcPr>
          <w:p>
            <w:pPr>
              <w:spacing w:after="0"/>
              <w:rPr>
                <w:sz w:val="19"/>
                <w:szCs w:val="19"/>
                <w:color w:val="auto"/>
              </w:rPr>
            </w:pPr>
          </w:p>
        </w:tc>
        <w:tc>
          <w:tcPr>
            <w:tcW w:w="560" w:type="dxa"/>
            <w:vAlign w:val="bottom"/>
            <w:vMerge w:val="continue"/>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80" w:type="dxa"/>
            <w:vAlign w:val="bottom"/>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60" w:type="dxa"/>
            <w:vAlign w:val="bottom"/>
            <w:vMerge w:val="continue"/>
            <w:shd w:val="clear" w:color="auto" w:fill="DDDDDD"/>
          </w:tcPr>
          <w:p>
            <w:pPr>
              <w:spacing w:after="0"/>
              <w:rPr>
                <w:sz w:val="19"/>
                <w:szCs w:val="19"/>
                <w:color w:val="auto"/>
              </w:rPr>
            </w:pPr>
          </w:p>
        </w:tc>
        <w:tc>
          <w:tcPr>
            <w:tcW w:w="200" w:type="dxa"/>
            <w:vAlign w:val="bottom"/>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Valuation allowance on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6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color w:val="auto"/>
              </w:rPr>
              <w:t>credit and operating loss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color w:val="auto"/>
              </w:rPr>
              <w:t>carryforwards and other</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7"/>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50" w:type="dxa"/>
            <w:vAlign w:val="bottom"/>
            <w:vMerge w:val="continue"/>
          </w:tcPr>
          <w:p>
            <w:pPr>
              <w:spacing w:after="0"/>
              <w:rPr>
                <w:sz w:val="21"/>
                <w:szCs w:val="21"/>
                <w:color w:val="auto"/>
              </w:rPr>
            </w:pPr>
          </w:p>
        </w:tc>
        <w:tc>
          <w:tcPr>
            <w:tcW w:w="7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53"/>
              <w:spacing w:after="0" w:line="177" w:lineRule="exact"/>
              <w:rPr>
                <w:sz w:val="20"/>
                <w:szCs w:val="20"/>
                <w:color w:val="auto"/>
              </w:rPr>
            </w:pPr>
            <w:r>
              <w:rPr>
                <w:rFonts w:ascii="Times New Roman" w:cs="Times New Roman" w:eastAsia="Times New Roman" w:hAnsi="Times New Roman"/>
                <w:sz w:val="17"/>
                <w:szCs w:val="17"/>
                <w:b w:val="1"/>
                <w:bCs w:val="1"/>
                <w:color w:val="auto"/>
                <w:w w:val="95"/>
              </w:rPr>
              <w:t>Additions</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6"/>
              </w:rPr>
              <w:t>charged to</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b w:val="1"/>
                <w:bCs w:val="1"/>
                <w:color w:val="auto"/>
                <w:w w:val="98"/>
              </w:rPr>
              <w:t>Accounts</w:t>
            </w:r>
          </w:p>
        </w:tc>
        <w:tc>
          <w:tcPr>
            <w:tcW w:w="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7"/>
                <w:szCs w:val="17"/>
                <w:b w:val="1"/>
                <w:bCs w:val="1"/>
                <w:color w:val="auto"/>
                <w:w w:val="97"/>
              </w:rPr>
              <w:t>beginning</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7"/>
                <w:szCs w:val="17"/>
                <w:b w:val="1"/>
                <w:bCs w:val="1"/>
                <w:color w:val="auto"/>
                <w:w w:val="96"/>
              </w:rPr>
              <w:t>costs and</w:t>
            </w:r>
          </w:p>
        </w:tc>
        <w:tc>
          <w:tcPr>
            <w:tcW w:w="260" w:type="dxa"/>
            <w:vAlign w:val="bottom"/>
          </w:tcPr>
          <w:p>
            <w:pPr>
              <w:spacing w:after="0"/>
              <w:rPr>
                <w:sz w:val="14"/>
                <w:szCs w:val="14"/>
                <w:color w:val="auto"/>
              </w:rPr>
            </w:pPr>
          </w:p>
        </w:tc>
        <w:tc>
          <w:tcPr>
            <w:tcW w:w="97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Acquisitions</w:t>
            </w:r>
          </w:p>
        </w:tc>
        <w:tc>
          <w:tcPr>
            <w:tcW w:w="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w w:val="97"/>
              </w:rPr>
              <w:t>Other</w:t>
            </w:r>
            <w:r>
              <w:rPr>
                <w:rFonts w:ascii="Times New Roman" w:cs="Times New Roman" w:eastAsia="Times New Roman" w:hAnsi="Times New Roman"/>
                <w:sz w:val="10"/>
                <w:szCs w:val="10"/>
                <w:b w:val="1"/>
                <w:bCs w:val="1"/>
                <w:color w:val="auto"/>
                <w:w w:val="97"/>
              </w:rPr>
              <w:t>(1)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12"/>
              <w:spacing w:after="0" w:line="162" w:lineRule="exact"/>
              <w:rPr>
                <w:sz w:val="20"/>
                <w:szCs w:val="20"/>
                <w:color w:val="auto"/>
              </w:rPr>
            </w:pPr>
            <w:r>
              <w:rPr>
                <w:rFonts w:ascii="Times New Roman" w:cs="Times New Roman" w:eastAsia="Times New Roman" w:hAnsi="Times New Roman"/>
                <w:sz w:val="17"/>
                <w:szCs w:val="17"/>
                <w:b w:val="1"/>
                <w:bCs w:val="1"/>
                <w:color w:val="auto"/>
                <w:w w:val="93"/>
              </w:rPr>
              <w:t>end of</w:t>
            </w:r>
          </w:p>
        </w:tc>
        <w:tc>
          <w:tcPr>
            <w:tcW w:w="0" w:type="dxa"/>
            <w:vAlign w:val="bottom"/>
          </w:tcPr>
          <w:p>
            <w:pPr>
              <w:spacing w:after="0"/>
              <w:rPr>
                <w:sz w:val="1"/>
                <w:szCs w:val="1"/>
                <w:color w:val="auto"/>
              </w:rPr>
            </w:pPr>
          </w:p>
        </w:tc>
      </w:tr>
      <w:tr>
        <w:trPr>
          <w:trHeight w:val="228"/>
        </w:trPr>
        <w:tc>
          <w:tcPr>
            <w:tcW w:w="40" w:type="dxa"/>
            <w:vAlign w:val="bottom"/>
            <w:tcBorders>
              <w:bottom w:val="single" w:sz="8" w:color="DDDDDD"/>
            </w:tcBorders>
          </w:tcPr>
          <w:p>
            <w:pPr>
              <w:spacing w:after="0"/>
              <w:rPr>
                <w:sz w:val="19"/>
                <w:szCs w:val="19"/>
                <w:color w:val="auto"/>
              </w:rPr>
            </w:pPr>
          </w:p>
        </w:tc>
        <w:tc>
          <w:tcPr>
            <w:tcW w:w="1880" w:type="dxa"/>
            <w:vAlign w:val="bottom"/>
            <w:tcBorders>
              <w:bottom w:val="single" w:sz="8" w:color="DDDDDD"/>
            </w:tcBorders>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7"/>
                <w:szCs w:val="17"/>
                <w:b w:val="1"/>
                <w:bCs w:val="1"/>
                <w:color w:val="auto"/>
                <w:w w:val="97"/>
              </w:rPr>
              <w:t>of period</w:t>
            </w:r>
          </w:p>
        </w:tc>
        <w:tc>
          <w:tcPr>
            <w:tcW w:w="6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7"/>
              </w:rPr>
              <w:t>expenses</w:t>
            </w:r>
          </w:p>
        </w:tc>
        <w:tc>
          <w:tcPr>
            <w:tcW w:w="260" w:type="dxa"/>
            <w:vAlign w:val="bottom"/>
            <w:tcBorders>
              <w:bottom w:val="single" w:sz="8" w:color="DDDDDD"/>
            </w:tcBorders>
          </w:tcPr>
          <w:p>
            <w:pPr>
              <w:spacing w:after="0"/>
              <w:rPr>
                <w:sz w:val="19"/>
                <w:szCs w:val="19"/>
                <w:color w:val="auto"/>
              </w:rPr>
            </w:pPr>
          </w:p>
        </w:tc>
        <w:tc>
          <w:tcPr>
            <w:tcW w:w="970" w:type="dxa"/>
            <w:vAlign w:val="bottom"/>
            <w:tcBorders>
              <w:bottom w:val="single" w:sz="8" w:color="auto"/>
            </w:tcBorders>
            <w:gridSpan w:val="2"/>
            <w:vMerge w:val="continue"/>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written off</w:t>
            </w:r>
          </w:p>
        </w:tc>
        <w:tc>
          <w:tcPr>
            <w:tcW w:w="80" w:type="dxa"/>
            <w:vAlign w:val="bottom"/>
            <w:tcBorders>
              <w:bottom w:val="single" w:sz="8" w:color="DDDDDD"/>
            </w:tcBorders>
          </w:tcPr>
          <w:p>
            <w:pPr>
              <w:spacing w:after="0"/>
              <w:rPr>
                <w:sz w:val="19"/>
                <w:szCs w:val="19"/>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8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7"/>
                <w:szCs w:val="17"/>
                <w:b w:val="1"/>
                <w:bCs w:val="1"/>
                <w:color w:val="auto"/>
                <w:w w:val="97"/>
              </w:rPr>
              <w:t>period</w:t>
            </w:r>
          </w:p>
        </w:tc>
        <w:tc>
          <w:tcPr>
            <w:tcW w:w="0" w:type="dxa"/>
            <w:vAlign w:val="bottom"/>
          </w:tcPr>
          <w:p>
            <w:pPr>
              <w:spacing w:after="0"/>
              <w:rPr>
                <w:sz w:val="1"/>
                <w:szCs w:val="1"/>
                <w:color w:val="auto"/>
              </w:rPr>
            </w:pPr>
          </w:p>
        </w:tc>
      </w:tr>
      <w:tr>
        <w:trPr>
          <w:trHeight w:val="212"/>
        </w:trPr>
        <w:tc>
          <w:tcPr>
            <w:tcW w:w="40" w:type="dxa"/>
            <w:vAlign w:val="bottom"/>
            <w:shd w:val="clear" w:color="auto" w:fill="DDDDDD"/>
          </w:tcPr>
          <w:p>
            <w:pPr>
              <w:spacing w:after="0"/>
              <w:rPr>
                <w:sz w:val="18"/>
                <w:szCs w:val="18"/>
                <w:color w:val="auto"/>
              </w:rPr>
            </w:pPr>
          </w:p>
        </w:tc>
        <w:tc>
          <w:tcPr>
            <w:tcW w:w="18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Allowance for doubtful</w:t>
            </w:r>
          </w:p>
        </w:tc>
        <w:tc>
          <w:tcPr>
            <w:tcW w:w="40" w:type="dxa"/>
            <w:vAlign w:val="bottom"/>
            <w:shd w:val="clear" w:color="auto" w:fill="DDDDDD"/>
          </w:tcPr>
          <w:p>
            <w:pPr>
              <w:spacing w:after="0"/>
              <w:rPr>
                <w:sz w:val="18"/>
                <w:szCs w:val="18"/>
                <w:color w:val="auto"/>
              </w:rPr>
            </w:pPr>
          </w:p>
        </w:tc>
        <w:tc>
          <w:tcPr>
            <w:tcW w:w="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DDDDDD"/>
          </w:tcPr>
          <w:p>
            <w:pPr>
              <w:spacing w:after="0"/>
              <w:rPr>
                <w:sz w:val="18"/>
                <w:szCs w:val="18"/>
                <w:color w:val="auto"/>
              </w:rPr>
            </w:pPr>
          </w:p>
        </w:tc>
        <w:tc>
          <w:tcPr>
            <w:tcW w:w="16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DDDDDD"/>
          </w:tcPr>
          <w:p>
            <w:pPr>
              <w:spacing w:after="0"/>
              <w:rPr>
                <w:sz w:val="18"/>
                <w:szCs w:val="18"/>
                <w:color w:val="auto"/>
              </w:rPr>
            </w:pPr>
          </w:p>
        </w:tc>
        <w:tc>
          <w:tcPr>
            <w:tcW w:w="42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5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shd w:val="clear" w:color="auto" w:fill="DDDDDD"/>
          </w:tcPr>
          <w:p>
            <w:pPr>
              <w:spacing w:after="0"/>
              <w:rPr>
                <w:sz w:val="18"/>
                <w:szCs w:val="18"/>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DDDDDD"/>
          </w:tcPr>
          <w:p>
            <w:pPr>
              <w:spacing w:after="0"/>
              <w:rPr>
                <w:sz w:val="18"/>
                <w:szCs w:val="18"/>
                <w:color w:val="auto"/>
              </w:rPr>
            </w:pPr>
          </w:p>
        </w:tc>
        <w:tc>
          <w:tcPr>
            <w:tcW w:w="40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18"/>
                <w:szCs w:val="18"/>
                <w:color w:val="auto"/>
              </w:rPr>
            </w:pPr>
          </w:p>
        </w:tc>
        <w:tc>
          <w:tcPr>
            <w:tcW w:w="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DDDDDD"/>
          </w:tcPr>
          <w:p>
            <w:pPr>
              <w:ind w:left="54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DDDDDD"/>
          </w:tcPr>
          <w:p>
            <w:pPr>
              <w:spacing w:after="0"/>
              <w:rPr>
                <w:sz w:val="18"/>
                <w:szCs w:val="18"/>
                <w:color w:val="auto"/>
              </w:rPr>
            </w:pPr>
          </w:p>
        </w:tc>
        <w:tc>
          <w:tcPr>
            <w:tcW w:w="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9"/>
        </w:trPr>
        <w:tc>
          <w:tcPr>
            <w:tcW w:w="40" w:type="dxa"/>
            <w:vAlign w:val="bottom"/>
            <w:shd w:val="clear" w:color="auto" w:fill="DDDDDD"/>
          </w:tcPr>
          <w:p>
            <w:pPr>
              <w:spacing w:after="0"/>
              <w:rPr>
                <w:sz w:val="19"/>
                <w:szCs w:val="19"/>
                <w:color w:val="auto"/>
              </w:rPr>
            </w:pPr>
          </w:p>
        </w:tc>
        <w:tc>
          <w:tcPr>
            <w:tcW w:w="188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accounts</w:t>
            </w:r>
          </w:p>
        </w:tc>
        <w:tc>
          <w:tcPr>
            <w:tcW w:w="40" w:type="dxa"/>
            <w:vAlign w:val="bottom"/>
            <w:shd w:val="clear" w:color="auto" w:fill="DDDDDD"/>
          </w:tcPr>
          <w:p>
            <w:pPr>
              <w:spacing w:after="0"/>
              <w:rPr>
                <w:sz w:val="19"/>
                <w:szCs w:val="19"/>
                <w:color w:val="auto"/>
              </w:rPr>
            </w:pPr>
          </w:p>
        </w:tc>
        <w:tc>
          <w:tcPr>
            <w:tcW w:w="140" w:type="dxa"/>
            <w:vAlign w:val="bottom"/>
            <w:vMerge w:val="continue"/>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420" w:type="dxa"/>
            <w:vAlign w:val="bottom"/>
            <w:vMerge w:val="continue"/>
            <w:shd w:val="clear" w:color="auto" w:fill="DDDDDD"/>
          </w:tcPr>
          <w:p>
            <w:pPr>
              <w:spacing w:after="0"/>
              <w:rPr>
                <w:sz w:val="19"/>
                <w:szCs w:val="19"/>
                <w:color w:val="auto"/>
              </w:rPr>
            </w:pPr>
          </w:p>
        </w:tc>
        <w:tc>
          <w:tcPr>
            <w:tcW w:w="550" w:type="dxa"/>
            <w:vAlign w:val="bottom"/>
            <w:vMerge w:val="continue"/>
            <w:shd w:val="clear" w:color="auto" w:fill="DDDDDD"/>
          </w:tcPr>
          <w:p>
            <w:pPr>
              <w:spacing w:after="0"/>
              <w:rPr>
                <w:sz w:val="19"/>
                <w:szCs w:val="19"/>
                <w:color w:val="auto"/>
              </w:rPr>
            </w:pPr>
          </w:p>
        </w:tc>
        <w:tc>
          <w:tcPr>
            <w:tcW w:w="7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800" w:type="dxa"/>
            <w:vAlign w:val="bottom"/>
            <w:vMerge w:val="continue"/>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400" w:type="dxa"/>
            <w:vAlign w:val="bottom"/>
            <w:vMerge w:val="continue"/>
            <w:shd w:val="clear" w:color="auto" w:fill="DDDDDD"/>
          </w:tcPr>
          <w:p>
            <w:pPr>
              <w:spacing w:after="0"/>
              <w:rPr>
                <w:sz w:val="19"/>
                <w:szCs w:val="19"/>
                <w:color w:val="auto"/>
              </w:rPr>
            </w:pPr>
          </w:p>
        </w:tc>
        <w:tc>
          <w:tcPr>
            <w:tcW w:w="560" w:type="dxa"/>
            <w:vAlign w:val="bottom"/>
            <w:vMerge w:val="continue"/>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80" w:type="dxa"/>
            <w:vAlign w:val="bottom"/>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200" w:type="dxa"/>
            <w:vAlign w:val="bottom"/>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Valuation allowance on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6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color w:val="auto"/>
              </w:rPr>
              <w:t>credit and operating loss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color w:val="auto"/>
              </w:rPr>
              <w:t>carryforwards and other</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47"/>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50" w:type="dxa"/>
            <w:vAlign w:val="bottom"/>
            <w:vMerge w:val="continue"/>
          </w:tcPr>
          <w:p>
            <w:pPr>
              <w:spacing w:after="0"/>
              <w:rPr>
                <w:sz w:val="21"/>
                <w:szCs w:val="21"/>
                <w:color w:val="auto"/>
              </w:rPr>
            </w:pPr>
          </w:p>
        </w:tc>
        <w:tc>
          <w:tcPr>
            <w:tcW w:w="7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53"/>
              <w:spacing w:after="0" w:line="177" w:lineRule="exact"/>
              <w:rPr>
                <w:sz w:val="20"/>
                <w:szCs w:val="20"/>
                <w:color w:val="auto"/>
              </w:rPr>
            </w:pPr>
            <w:r>
              <w:rPr>
                <w:rFonts w:ascii="Times New Roman" w:cs="Times New Roman" w:eastAsia="Times New Roman" w:hAnsi="Times New Roman"/>
                <w:sz w:val="17"/>
                <w:szCs w:val="17"/>
                <w:b w:val="1"/>
                <w:bCs w:val="1"/>
                <w:color w:val="auto"/>
                <w:w w:val="95"/>
              </w:rPr>
              <w:t>Additions</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Balance at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w w:val="96"/>
              </w:rPr>
              <w:t>charged to</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b w:val="1"/>
                <w:bCs w:val="1"/>
                <w:color w:val="auto"/>
                <w:w w:val="98"/>
              </w:rPr>
              <w:t>Accounts</w:t>
            </w:r>
          </w:p>
        </w:tc>
        <w:tc>
          <w:tcPr>
            <w:tcW w:w="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7"/>
                <w:szCs w:val="17"/>
                <w:b w:val="1"/>
                <w:bCs w:val="1"/>
                <w:color w:val="auto"/>
                <w:w w:val="97"/>
              </w:rPr>
              <w:t>beginning</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7"/>
                <w:szCs w:val="17"/>
                <w:b w:val="1"/>
                <w:bCs w:val="1"/>
                <w:color w:val="auto"/>
                <w:w w:val="96"/>
              </w:rPr>
              <w:t>costs and</w:t>
            </w:r>
          </w:p>
        </w:tc>
        <w:tc>
          <w:tcPr>
            <w:tcW w:w="260" w:type="dxa"/>
            <w:vAlign w:val="bottom"/>
          </w:tcPr>
          <w:p>
            <w:pPr>
              <w:spacing w:after="0"/>
              <w:rPr>
                <w:sz w:val="14"/>
                <w:szCs w:val="14"/>
                <w:color w:val="auto"/>
              </w:rPr>
            </w:pPr>
          </w:p>
        </w:tc>
        <w:tc>
          <w:tcPr>
            <w:tcW w:w="97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Acquisitions</w:t>
            </w:r>
          </w:p>
        </w:tc>
        <w:tc>
          <w:tcPr>
            <w:tcW w:w="7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restart"/>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ind w:right="112"/>
              <w:spacing w:after="0" w:line="162" w:lineRule="exact"/>
              <w:rPr>
                <w:sz w:val="20"/>
                <w:szCs w:val="20"/>
                <w:color w:val="auto"/>
              </w:rPr>
            </w:pPr>
            <w:r>
              <w:rPr>
                <w:rFonts w:ascii="Times New Roman" w:cs="Times New Roman" w:eastAsia="Times New Roman" w:hAnsi="Times New Roman"/>
                <w:sz w:val="17"/>
                <w:szCs w:val="17"/>
                <w:b w:val="1"/>
                <w:bCs w:val="1"/>
                <w:color w:val="auto"/>
                <w:w w:val="93"/>
              </w:rPr>
              <w:t>end of</w:t>
            </w:r>
          </w:p>
        </w:tc>
        <w:tc>
          <w:tcPr>
            <w:tcW w:w="0" w:type="dxa"/>
            <w:vAlign w:val="bottom"/>
          </w:tcPr>
          <w:p>
            <w:pPr>
              <w:spacing w:after="0"/>
              <w:rPr>
                <w:sz w:val="1"/>
                <w:szCs w:val="1"/>
                <w:color w:val="auto"/>
              </w:rPr>
            </w:pPr>
          </w:p>
        </w:tc>
      </w:tr>
      <w:tr>
        <w:trPr>
          <w:trHeight w:val="228"/>
        </w:trPr>
        <w:tc>
          <w:tcPr>
            <w:tcW w:w="40" w:type="dxa"/>
            <w:vAlign w:val="bottom"/>
            <w:tcBorders>
              <w:bottom w:val="single" w:sz="8" w:color="DDDDDD"/>
            </w:tcBorders>
          </w:tcPr>
          <w:p>
            <w:pPr>
              <w:spacing w:after="0"/>
              <w:rPr>
                <w:sz w:val="19"/>
                <w:szCs w:val="19"/>
                <w:color w:val="auto"/>
              </w:rPr>
            </w:pPr>
          </w:p>
        </w:tc>
        <w:tc>
          <w:tcPr>
            <w:tcW w:w="1880" w:type="dxa"/>
            <w:vAlign w:val="bottom"/>
            <w:tcBorders>
              <w:bottom w:val="single" w:sz="8" w:color="DDDDDD"/>
            </w:tcBorders>
          </w:tcPr>
          <w:p>
            <w:pPr>
              <w:spacing w:after="0"/>
              <w:rPr>
                <w:sz w:val="19"/>
                <w:szCs w:val="19"/>
                <w:color w:val="auto"/>
              </w:rPr>
            </w:pPr>
          </w:p>
        </w:tc>
        <w:tc>
          <w:tcPr>
            <w:tcW w:w="40" w:type="dxa"/>
            <w:vAlign w:val="bottom"/>
            <w:tcBorders>
              <w:bottom w:val="single" w:sz="8" w:color="DDDDDD"/>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7"/>
                <w:szCs w:val="17"/>
                <w:b w:val="1"/>
                <w:bCs w:val="1"/>
                <w:color w:val="auto"/>
                <w:w w:val="97"/>
              </w:rPr>
              <w:t>of period</w:t>
            </w:r>
          </w:p>
        </w:tc>
        <w:tc>
          <w:tcPr>
            <w:tcW w:w="60" w:type="dxa"/>
            <w:vAlign w:val="bottom"/>
            <w:tcBorders>
              <w:bottom w:val="single" w:sz="8" w:color="DDDDDD"/>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7"/>
              </w:rPr>
              <w:t>expenses</w:t>
            </w:r>
          </w:p>
        </w:tc>
        <w:tc>
          <w:tcPr>
            <w:tcW w:w="260" w:type="dxa"/>
            <w:vAlign w:val="bottom"/>
            <w:tcBorders>
              <w:bottom w:val="single" w:sz="8" w:color="DDDDDD"/>
            </w:tcBorders>
          </w:tcPr>
          <w:p>
            <w:pPr>
              <w:spacing w:after="0"/>
              <w:rPr>
                <w:sz w:val="19"/>
                <w:szCs w:val="19"/>
                <w:color w:val="auto"/>
              </w:rPr>
            </w:pPr>
          </w:p>
        </w:tc>
        <w:tc>
          <w:tcPr>
            <w:tcW w:w="970" w:type="dxa"/>
            <w:vAlign w:val="bottom"/>
            <w:tcBorders>
              <w:bottom w:val="single" w:sz="8" w:color="auto"/>
            </w:tcBorders>
            <w:gridSpan w:val="2"/>
            <w:vMerge w:val="continue"/>
          </w:tcPr>
          <w:p>
            <w:pPr>
              <w:spacing w:after="0"/>
              <w:rPr>
                <w:sz w:val="19"/>
                <w:szCs w:val="19"/>
                <w:color w:val="auto"/>
              </w:rPr>
            </w:pPr>
          </w:p>
        </w:tc>
        <w:tc>
          <w:tcPr>
            <w:tcW w:w="7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written off</w:t>
            </w:r>
          </w:p>
        </w:tc>
        <w:tc>
          <w:tcPr>
            <w:tcW w:w="80" w:type="dxa"/>
            <w:vAlign w:val="bottom"/>
            <w:tcBorders>
              <w:bottom w:val="single" w:sz="8" w:color="DDDDDD"/>
            </w:tcBorders>
          </w:tcPr>
          <w:p>
            <w:pPr>
              <w:spacing w:after="0"/>
              <w:rPr>
                <w:sz w:val="19"/>
                <w:szCs w:val="19"/>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80" w:type="dxa"/>
            <w:vAlign w:val="bottom"/>
            <w:tcBorders>
              <w:bottom w:val="single" w:sz="8" w:color="DDDDDD"/>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7"/>
                <w:szCs w:val="17"/>
                <w:b w:val="1"/>
                <w:bCs w:val="1"/>
                <w:color w:val="auto"/>
                <w:w w:val="97"/>
              </w:rPr>
              <w:t>period</w:t>
            </w:r>
          </w:p>
        </w:tc>
        <w:tc>
          <w:tcPr>
            <w:tcW w:w="0" w:type="dxa"/>
            <w:vAlign w:val="bottom"/>
          </w:tcPr>
          <w:p>
            <w:pPr>
              <w:spacing w:after="0"/>
              <w:rPr>
                <w:sz w:val="1"/>
                <w:szCs w:val="1"/>
                <w:color w:val="auto"/>
              </w:rPr>
            </w:pPr>
          </w:p>
        </w:tc>
      </w:tr>
      <w:tr>
        <w:trPr>
          <w:trHeight w:val="190"/>
        </w:trPr>
        <w:tc>
          <w:tcPr>
            <w:tcW w:w="1960" w:type="dxa"/>
            <w:vAlign w:val="bottom"/>
            <w:gridSpan w:val="3"/>
            <w:shd w:val="clear" w:color="auto" w:fill="DDDDDD"/>
          </w:tcPr>
          <w:p>
            <w:pPr>
              <w:ind w:left="40"/>
              <w:spacing w:after="0" w:line="190" w:lineRule="exact"/>
              <w:rPr>
                <w:sz w:val="20"/>
                <w:szCs w:val="20"/>
                <w:color w:val="auto"/>
              </w:rPr>
            </w:pPr>
            <w:r>
              <w:rPr>
                <w:rFonts w:ascii="Times New Roman" w:cs="Times New Roman" w:eastAsia="Times New Roman" w:hAnsi="Times New Roman"/>
                <w:sz w:val="18"/>
                <w:szCs w:val="18"/>
                <w:color w:val="auto"/>
              </w:rPr>
              <w:t>Allowance for doubtful</w:t>
            </w:r>
          </w:p>
        </w:tc>
        <w:tc>
          <w:tcPr>
            <w:tcW w:w="1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DDDDDD"/>
          </w:tcPr>
          <w:p>
            <w:pPr>
              <w:spacing w:after="0"/>
              <w:rPr>
                <w:sz w:val="16"/>
                <w:szCs w:val="16"/>
                <w:color w:val="auto"/>
              </w:rPr>
            </w:pPr>
          </w:p>
        </w:tc>
        <w:tc>
          <w:tcPr>
            <w:tcW w:w="16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DDDDDD"/>
          </w:tcPr>
          <w:p>
            <w:pPr>
              <w:spacing w:after="0"/>
              <w:rPr>
                <w:sz w:val="16"/>
                <w:szCs w:val="16"/>
                <w:color w:val="auto"/>
              </w:rPr>
            </w:pPr>
          </w:p>
        </w:tc>
        <w:tc>
          <w:tcPr>
            <w:tcW w:w="42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5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shd w:val="clear" w:color="auto" w:fill="DDDDDD"/>
          </w:tcPr>
          <w:p>
            <w:pPr>
              <w:spacing w:after="0"/>
              <w:rPr>
                <w:sz w:val="16"/>
                <w:szCs w:val="16"/>
                <w:color w:val="auto"/>
              </w:rPr>
            </w:pP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DDDDDD"/>
          </w:tcPr>
          <w:p>
            <w:pPr>
              <w:spacing w:after="0"/>
              <w:rPr>
                <w:sz w:val="16"/>
                <w:szCs w:val="16"/>
                <w:color w:val="auto"/>
              </w:rPr>
            </w:pPr>
          </w:p>
        </w:tc>
        <w:tc>
          <w:tcPr>
            <w:tcW w:w="400" w:type="dxa"/>
            <w:vAlign w:val="bottom"/>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DDDDD"/>
          </w:tcPr>
          <w:p>
            <w:pPr>
              <w:spacing w:after="0"/>
              <w:rPr>
                <w:sz w:val="16"/>
                <w:szCs w:val="16"/>
                <w:color w:val="auto"/>
              </w:rPr>
            </w:pPr>
          </w:p>
        </w:tc>
        <w:tc>
          <w:tcPr>
            <w:tcW w:w="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DDDDDD"/>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16"/>
                <w:szCs w:val="16"/>
                <w:color w:val="auto"/>
              </w:rPr>
            </w:pPr>
          </w:p>
        </w:tc>
        <w:tc>
          <w:tcPr>
            <w:tcW w:w="2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
        </w:trPr>
        <w:tc>
          <w:tcPr>
            <w:tcW w:w="1960" w:type="dxa"/>
            <w:vAlign w:val="bottom"/>
            <w:gridSpan w:val="3"/>
            <w:vMerge w:val="restart"/>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accounts</w:t>
            </w:r>
          </w:p>
        </w:tc>
        <w:tc>
          <w:tcPr>
            <w:tcW w:w="140" w:type="dxa"/>
            <w:vAlign w:val="bottom"/>
            <w:vMerge w:val="continue"/>
            <w:shd w:val="clear" w:color="auto" w:fill="DDDDDD"/>
          </w:tcPr>
          <w:p>
            <w:pPr>
              <w:spacing w:after="0" w:line="20" w:lineRule="exact"/>
              <w:rPr>
                <w:sz w:val="1"/>
                <w:szCs w:val="1"/>
                <w:color w:val="auto"/>
              </w:rPr>
            </w:pPr>
          </w:p>
        </w:tc>
        <w:tc>
          <w:tcPr>
            <w:tcW w:w="840" w:type="dxa"/>
            <w:vAlign w:val="bottom"/>
            <w:vMerge w:val="continue"/>
            <w:shd w:val="clear" w:color="auto" w:fill="DDDDDD"/>
          </w:tcPr>
          <w:p>
            <w:pPr>
              <w:spacing w:after="0" w:line="20" w:lineRule="exact"/>
              <w:rPr>
                <w:sz w:val="1"/>
                <w:szCs w:val="1"/>
                <w:color w:val="auto"/>
              </w:rPr>
            </w:pPr>
          </w:p>
        </w:tc>
        <w:tc>
          <w:tcPr>
            <w:tcW w:w="60" w:type="dxa"/>
            <w:vAlign w:val="bottom"/>
            <w:shd w:val="clear" w:color="auto" w:fill="DDDDDD"/>
          </w:tcPr>
          <w:p>
            <w:pPr>
              <w:spacing w:after="0" w:line="20" w:lineRule="exact"/>
              <w:rPr>
                <w:sz w:val="1"/>
                <w:szCs w:val="1"/>
                <w:color w:val="auto"/>
              </w:rPr>
            </w:pPr>
          </w:p>
        </w:tc>
        <w:tc>
          <w:tcPr>
            <w:tcW w:w="160" w:type="dxa"/>
            <w:vAlign w:val="bottom"/>
            <w:vMerge w:val="continue"/>
            <w:shd w:val="clear" w:color="auto" w:fill="DDDDDD"/>
          </w:tcPr>
          <w:p>
            <w:pPr>
              <w:spacing w:after="0" w:line="20" w:lineRule="exact"/>
              <w:rPr>
                <w:sz w:val="1"/>
                <w:szCs w:val="1"/>
                <w:color w:val="auto"/>
              </w:rPr>
            </w:pPr>
          </w:p>
        </w:tc>
        <w:tc>
          <w:tcPr>
            <w:tcW w:w="820" w:type="dxa"/>
            <w:vAlign w:val="bottom"/>
            <w:vMerge w:val="continue"/>
            <w:shd w:val="clear" w:color="auto" w:fill="DDDDDD"/>
          </w:tcPr>
          <w:p>
            <w:pPr>
              <w:spacing w:after="0" w:line="20" w:lineRule="exact"/>
              <w:rPr>
                <w:sz w:val="1"/>
                <w:szCs w:val="1"/>
                <w:color w:val="auto"/>
              </w:rPr>
            </w:pPr>
          </w:p>
        </w:tc>
        <w:tc>
          <w:tcPr>
            <w:tcW w:w="260" w:type="dxa"/>
            <w:vAlign w:val="bottom"/>
            <w:shd w:val="clear" w:color="auto" w:fill="DDDDDD"/>
          </w:tcPr>
          <w:p>
            <w:pPr>
              <w:spacing w:after="0" w:line="20" w:lineRule="exact"/>
              <w:rPr>
                <w:sz w:val="1"/>
                <w:szCs w:val="1"/>
                <w:color w:val="auto"/>
              </w:rPr>
            </w:pPr>
          </w:p>
        </w:tc>
        <w:tc>
          <w:tcPr>
            <w:tcW w:w="420" w:type="dxa"/>
            <w:vAlign w:val="bottom"/>
            <w:vMerge w:val="continue"/>
            <w:shd w:val="clear" w:color="auto" w:fill="DDDDDD"/>
          </w:tcPr>
          <w:p>
            <w:pPr>
              <w:spacing w:after="0" w:line="20" w:lineRule="exact"/>
              <w:rPr>
                <w:sz w:val="1"/>
                <w:szCs w:val="1"/>
                <w:color w:val="auto"/>
              </w:rPr>
            </w:pPr>
          </w:p>
        </w:tc>
        <w:tc>
          <w:tcPr>
            <w:tcW w:w="550" w:type="dxa"/>
            <w:vAlign w:val="bottom"/>
            <w:vMerge w:val="continue"/>
            <w:shd w:val="clear" w:color="auto" w:fill="DDDDDD"/>
          </w:tcPr>
          <w:p>
            <w:pPr>
              <w:spacing w:after="0" w:line="20" w:lineRule="exact"/>
              <w:rPr>
                <w:sz w:val="1"/>
                <w:szCs w:val="1"/>
                <w:color w:val="auto"/>
              </w:rPr>
            </w:pPr>
          </w:p>
        </w:tc>
        <w:tc>
          <w:tcPr>
            <w:tcW w:w="70" w:type="dxa"/>
            <w:vAlign w:val="bottom"/>
            <w:shd w:val="clear" w:color="auto" w:fill="DDDDDD"/>
          </w:tcPr>
          <w:p>
            <w:pPr>
              <w:spacing w:after="0" w:line="20" w:lineRule="exact"/>
              <w:rPr>
                <w:sz w:val="1"/>
                <w:szCs w:val="1"/>
                <w:color w:val="auto"/>
              </w:rPr>
            </w:pPr>
          </w:p>
        </w:tc>
        <w:tc>
          <w:tcPr>
            <w:tcW w:w="160" w:type="dxa"/>
            <w:vAlign w:val="bottom"/>
            <w:vMerge w:val="continue"/>
            <w:shd w:val="clear" w:color="auto" w:fill="DDDDDD"/>
          </w:tcPr>
          <w:p>
            <w:pPr>
              <w:spacing w:after="0" w:line="20" w:lineRule="exact"/>
              <w:rPr>
                <w:sz w:val="1"/>
                <w:szCs w:val="1"/>
                <w:color w:val="auto"/>
              </w:rPr>
            </w:pPr>
          </w:p>
        </w:tc>
        <w:tc>
          <w:tcPr>
            <w:tcW w:w="800" w:type="dxa"/>
            <w:vAlign w:val="bottom"/>
            <w:vMerge w:val="continue"/>
            <w:shd w:val="clear" w:color="auto" w:fill="DDDDDD"/>
          </w:tcPr>
          <w:p>
            <w:pPr>
              <w:spacing w:after="0" w:line="20" w:lineRule="exact"/>
              <w:rPr>
                <w:sz w:val="1"/>
                <w:szCs w:val="1"/>
                <w:color w:val="auto"/>
              </w:rPr>
            </w:pPr>
          </w:p>
        </w:tc>
        <w:tc>
          <w:tcPr>
            <w:tcW w:w="80" w:type="dxa"/>
            <w:vAlign w:val="bottom"/>
            <w:vMerge w:val="restart"/>
            <w:shd w:val="clear" w:color="auto" w:fill="DDDDDD"/>
          </w:tcPr>
          <w:p>
            <w:pPr>
              <w:spacing w:after="0" w:line="20" w:lineRule="exact"/>
              <w:rPr>
                <w:sz w:val="1"/>
                <w:szCs w:val="1"/>
                <w:color w:val="auto"/>
              </w:rPr>
            </w:pPr>
          </w:p>
        </w:tc>
        <w:tc>
          <w:tcPr>
            <w:tcW w:w="400" w:type="dxa"/>
            <w:vAlign w:val="bottom"/>
            <w:vMerge w:val="continue"/>
            <w:shd w:val="clear" w:color="auto" w:fill="DDDDDD"/>
          </w:tcPr>
          <w:p>
            <w:pPr>
              <w:spacing w:after="0" w:line="20" w:lineRule="exact"/>
              <w:rPr>
                <w:sz w:val="1"/>
                <w:szCs w:val="1"/>
                <w:color w:val="auto"/>
              </w:rPr>
            </w:pPr>
          </w:p>
        </w:tc>
        <w:tc>
          <w:tcPr>
            <w:tcW w:w="560" w:type="dxa"/>
            <w:vAlign w:val="bottom"/>
            <w:vMerge w:val="continue"/>
            <w:shd w:val="clear" w:color="auto" w:fill="DDDDDD"/>
          </w:tcPr>
          <w:p>
            <w:pPr>
              <w:spacing w:after="0" w:line="20" w:lineRule="exact"/>
              <w:rPr>
                <w:sz w:val="1"/>
                <w:szCs w:val="1"/>
                <w:color w:val="auto"/>
              </w:rPr>
            </w:pPr>
          </w:p>
        </w:tc>
        <w:tc>
          <w:tcPr>
            <w:tcW w:w="80" w:type="dxa"/>
            <w:vAlign w:val="bottom"/>
            <w:shd w:val="clear" w:color="auto" w:fill="DDDDDD"/>
          </w:tcPr>
          <w:p>
            <w:pPr>
              <w:spacing w:after="0" w:line="20" w:lineRule="exact"/>
              <w:rPr>
                <w:sz w:val="1"/>
                <w:szCs w:val="1"/>
                <w:color w:val="auto"/>
              </w:rPr>
            </w:pPr>
          </w:p>
        </w:tc>
        <w:tc>
          <w:tcPr>
            <w:tcW w:w="180" w:type="dxa"/>
            <w:vAlign w:val="bottom"/>
            <w:vMerge w:val="continue"/>
            <w:shd w:val="clear" w:color="auto" w:fill="DDDDDD"/>
          </w:tcPr>
          <w:p>
            <w:pPr>
              <w:spacing w:after="0" w:line="20" w:lineRule="exact"/>
              <w:rPr>
                <w:sz w:val="1"/>
                <w:szCs w:val="1"/>
                <w:color w:val="auto"/>
              </w:rPr>
            </w:pPr>
          </w:p>
        </w:tc>
        <w:tc>
          <w:tcPr>
            <w:tcW w:w="780" w:type="dxa"/>
            <w:vAlign w:val="bottom"/>
            <w:vMerge w:val="continue"/>
            <w:shd w:val="clear" w:color="auto" w:fill="DDDDDD"/>
          </w:tcPr>
          <w:p>
            <w:pPr>
              <w:spacing w:after="0" w:line="20" w:lineRule="exact"/>
              <w:rPr>
                <w:sz w:val="1"/>
                <w:szCs w:val="1"/>
                <w:color w:val="auto"/>
              </w:rPr>
            </w:pPr>
          </w:p>
        </w:tc>
        <w:tc>
          <w:tcPr>
            <w:tcW w:w="60" w:type="dxa"/>
            <w:vAlign w:val="bottom"/>
            <w:vMerge w:val="restart"/>
            <w:shd w:val="clear" w:color="auto" w:fill="DDDDDD"/>
          </w:tcPr>
          <w:p>
            <w:pPr>
              <w:spacing w:after="0" w:line="20" w:lineRule="exact"/>
              <w:rPr>
                <w:sz w:val="1"/>
                <w:szCs w:val="1"/>
                <w:color w:val="auto"/>
              </w:rPr>
            </w:pPr>
          </w:p>
        </w:tc>
        <w:tc>
          <w:tcPr>
            <w:tcW w:w="200" w:type="dxa"/>
            <w:vAlign w:val="bottom"/>
            <w:vMerge w:val="continue"/>
            <w:shd w:val="clear" w:color="auto" w:fill="DDDDDD"/>
          </w:tcPr>
          <w:p>
            <w:pPr>
              <w:spacing w:after="0" w:line="20" w:lineRule="exact"/>
              <w:rPr>
                <w:sz w:val="1"/>
                <w:szCs w:val="1"/>
                <w:color w:val="auto"/>
              </w:rPr>
            </w:pPr>
          </w:p>
        </w:tc>
        <w:tc>
          <w:tcPr>
            <w:tcW w:w="780" w:type="dxa"/>
            <w:vAlign w:val="bottom"/>
            <w:vMerge w:val="continue"/>
            <w:shd w:val="clear" w:color="auto" w:fill="DDDDD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960" w:type="dxa"/>
            <w:vAlign w:val="bottom"/>
            <w:gridSpan w:val="3"/>
            <w:vMerge w:val="continue"/>
            <w:shd w:val="clear" w:color="auto" w:fill="DDDDDD"/>
          </w:tcPr>
          <w:p>
            <w:pPr>
              <w:spacing w:after="0"/>
              <w:rPr>
                <w:sz w:val="19"/>
                <w:szCs w:val="19"/>
                <w:color w:val="auto"/>
              </w:rPr>
            </w:pPr>
          </w:p>
        </w:tc>
        <w:tc>
          <w:tcPr>
            <w:tcW w:w="140" w:type="dxa"/>
            <w:vAlign w:val="bottom"/>
            <w:vMerge w:val="continue"/>
            <w:shd w:val="clear" w:color="auto" w:fill="DDDDDD"/>
          </w:tcPr>
          <w:p>
            <w:pPr>
              <w:spacing w:after="0"/>
              <w:rPr>
                <w:sz w:val="19"/>
                <w:szCs w:val="19"/>
                <w:color w:val="auto"/>
              </w:rPr>
            </w:pPr>
          </w:p>
        </w:tc>
        <w:tc>
          <w:tcPr>
            <w:tcW w:w="840" w:type="dxa"/>
            <w:vAlign w:val="bottom"/>
            <w:vMerge w:val="continue"/>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820" w:type="dxa"/>
            <w:vAlign w:val="bottom"/>
            <w:vMerge w:val="continue"/>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420" w:type="dxa"/>
            <w:vAlign w:val="bottom"/>
            <w:vMerge w:val="continue"/>
            <w:shd w:val="clear" w:color="auto" w:fill="DDDDDD"/>
          </w:tcPr>
          <w:p>
            <w:pPr>
              <w:spacing w:after="0"/>
              <w:rPr>
                <w:sz w:val="19"/>
                <w:szCs w:val="19"/>
                <w:color w:val="auto"/>
              </w:rPr>
            </w:pPr>
          </w:p>
        </w:tc>
        <w:tc>
          <w:tcPr>
            <w:tcW w:w="550" w:type="dxa"/>
            <w:vAlign w:val="bottom"/>
            <w:vMerge w:val="continue"/>
            <w:shd w:val="clear" w:color="auto" w:fill="DDDDDD"/>
          </w:tcPr>
          <w:p>
            <w:pPr>
              <w:spacing w:after="0"/>
              <w:rPr>
                <w:sz w:val="19"/>
                <w:szCs w:val="19"/>
                <w:color w:val="auto"/>
              </w:rPr>
            </w:pPr>
          </w:p>
        </w:tc>
        <w:tc>
          <w:tcPr>
            <w:tcW w:w="70" w:type="dxa"/>
            <w:vAlign w:val="bottom"/>
            <w:shd w:val="clear" w:color="auto" w:fill="DDDDDD"/>
          </w:tcPr>
          <w:p>
            <w:pPr>
              <w:spacing w:after="0"/>
              <w:rPr>
                <w:sz w:val="19"/>
                <w:szCs w:val="19"/>
                <w:color w:val="auto"/>
              </w:rPr>
            </w:pPr>
          </w:p>
        </w:tc>
        <w:tc>
          <w:tcPr>
            <w:tcW w:w="160" w:type="dxa"/>
            <w:vAlign w:val="bottom"/>
            <w:vMerge w:val="continue"/>
            <w:shd w:val="clear" w:color="auto" w:fill="DDDDDD"/>
          </w:tcPr>
          <w:p>
            <w:pPr>
              <w:spacing w:after="0"/>
              <w:rPr>
                <w:sz w:val="19"/>
                <w:szCs w:val="19"/>
                <w:color w:val="auto"/>
              </w:rPr>
            </w:pPr>
          </w:p>
        </w:tc>
        <w:tc>
          <w:tcPr>
            <w:tcW w:w="800" w:type="dxa"/>
            <w:vAlign w:val="bottom"/>
            <w:vMerge w:val="continue"/>
            <w:shd w:val="clear" w:color="auto" w:fill="DDDDDD"/>
          </w:tcPr>
          <w:p>
            <w:pPr>
              <w:spacing w:after="0"/>
              <w:rPr>
                <w:sz w:val="19"/>
                <w:szCs w:val="19"/>
                <w:color w:val="auto"/>
              </w:rPr>
            </w:pPr>
          </w:p>
        </w:tc>
        <w:tc>
          <w:tcPr>
            <w:tcW w:w="80" w:type="dxa"/>
            <w:vAlign w:val="bottom"/>
            <w:vMerge w:val="continue"/>
            <w:shd w:val="clear" w:color="auto" w:fill="DDDDDD"/>
          </w:tcPr>
          <w:p>
            <w:pPr>
              <w:spacing w:after="0"/>
              <w:rPr>
                <w:sz w:val="19"/>
                <w:szCs w:val="19"/>
                <w:color w:val="auto"/>
              </w:rPr>
            </w:pPr>
          </w:p>
        </w:tc>
        <w:tc>
          <w:tcPr>
            <w:tcW w:w="400" w:type="dxa"/>
            <w:vAlign w:val="bottom"/>
            <w:vMerge w:val="continue"/>
            <w:shd w:val="clear" w:color="auto" w:fill="DDDDDD"/>
          </w:tcPr>
          <w:p>
            <w:pPr>
              <w:spacing w:after="0"/>
              <w:rPr>
                <w:sz w:val="19"/>
                <w:szCs w:val="19"/>
                <w:color w:val="auto"/>
              </w:rPr>
            </w:pPr>
          </w:p>
        </w:tc>
        <w:tc>
          <w:tcPr>
            <w:tcW w:w="560" w:type="dxa"/>
            <w:vAlign w:val="bottom"/>
            <w:vMerge w:val="continue"/>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80" w:type="dxa"/>
            <w:vAlign w:val="bottom"/>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60" w:type="dxa"/>
            <w:vAlign w:val="bottom"/>
            <w:vMerge w:val="continue"/>
            <w:shd w:val="clear" w:color="auto" w:fill="DDDDDD"/>
          </w:tcPr>
          <w:p>
            <w:pPr>
              <w:spacing w:after="0"/>
              <w:rPr>
                <w:sz w:val="19"/>
                <w:szCs w:val="19"/>
                <w:color w:val="auto"/>
              </w:rPr>
            </w:pPr>
          </w:p>
        </w:tc>
        <w:tc>
          <w:tcPr>
            <w:tcW w:w="200" w:type="dxa"/>
            <w:vAlign w:val="bottom"/>
            <w:vMerge w:val="continue"/>
            <w:shd w:val="clear" w:color="auto" w:fill="DDDDDD"/>
          </w:tcPr>
          <w:p>
            <w:pPr>
              <w:spacing w:after="0"/>
              <w:rPr>
                <w:sz w:val="19"/>
                <w:szCs w:val="19"/>
                <w:color w:val="auto"/>
              </w:rPr>
            </w:pPr>
          </w:p>
        </w:tc>
        <w:tc>
          <w:tcPr>
            <w:tcW w:w="780" w:type="dxa"/>
            <w:vAlign w:val="bottom"/>
            <w:vMerge w:val="continue"/>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Valuation allowance on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6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color w:val="auto"/>
              </w:rPr>
              <w:t>credit and operating loss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96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color w:val="auto"/>
              </w:rPr>
              <w:t>carryforwards and other</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194"/>
        </w:trPr>
        <w:tc>
          <w:tcPr>
            <w:tcW w:w="19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0" w:type="dxa"/>
            <w:vAlign w:val="bottom"/>
            <w:vMerge w:val="continue"/>
          </w:tcPr>
          <w:p>
            <w:pPr>
              <w:spacing w:after="0"/>
              <w:rPr>
                <w:sz w:val="16"/>
                <w:szCs w:val="16"/>
                <w:color w:val="auto"/>
              </w:rPr>
            </w:pPr>
          </w:p>
        </w:tc>
        <w:tc>
          <w:tcPr>
            <w:tcW w:w="7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5287010</wp:posOffset>
                </wp:positionH>
                <wp:positionV relativeFrom="paragraph">
                  <wp:posOffset>-3956050</wp:posOffset>
                </wp:positionV>
                <wp:extent cx="36195" cy="1270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700"/>
                        </a:xfrm>
                        <a:prstGeom prst="rect">
                          <a:avLst/>
                        </a:prstGeom>
                        <a:solidFill>
                          <a:srgbClr val="DDDDDD"/>
                        </a:solidFill>
                      </wps:spPr>
                      <wps:bodyPr/>
                    </wps:wsp>
                  </a:graphicData>
                </a:graphic>
              </wp:anchor>
            </w:drawing>
          </mc:Choice>
          <mc:Fallback>
            <w:pict>
              <v:rect id="Shape 196" o:spid="_x0000_s1221" style="position:absolute;margin-left:416.3pt;margin-top:-311.4999pt;width:2.8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5287010</wp:posOffset>
                </wp:positionH>
                <wp:positionV relativeFrom="paragraph">
                  <wp:posOffset>-2366010</wp:posOffset>
                </wp:positionV>
                <wp:extent cx="36195" cy="1206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065"/>
                        </a:xfrm>
                        <a:prstGeom prst="rect">
                          <a:avLst/>
                        </a:prstGeom>
                        <a:solidFill>
                          <a:srgbClr val="DDDDDD"/>
                        </a:solidFill>
                      </wps:spPr>
                      <wps:bodyPr/>
                    </wps:wsp>
                  </a:graphicData>
                </a:graphic>
              </wp:anchor>
            </w:drawing>
          </mc:Choice>
          <mc:Fallback>
            <w:pict>
              <v:rect id="Shape 197" o:spid="_x0000_s1222" style="position:absolute;margin-left:416.3pt;margin-top:-186.2999pt;width:2.85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5287010</wp:posOffset>
                </wp:positionH>
                <wp:positionV relativeFrom="paragraph">
                  <wp:posOffset>-776605</wp:posOffset>
                </wp:positionV>
                <wp:extent cx="36195" cy="1270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195" cy="12700"/>
                        </a:xfrm>
                        <a:prstGeom prst="rect">
                          <a:avLst/>
                        </a:prstGeom>
                        <a:solidFill>
                          <a:srgbClr val="DDDDDD"/>
                        </a:solidFill>
                      </wps:spPr>
                      <wps:bodyPr/>
                    </wps:wsp>
                  </a:graphicData>
                </a:graphic>
              </wp:anchor>
            </w:drawing>
          </mc:Choice>
          <mc:Fallback>
            <w:pict>
              <v:rect id="Shape 198" o:spid="_x0000_s1223" style="position:absolute;margin-left:416.3pt;margin-top:-61.1499pt;width:2.8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13" w:lineRule="exact"/>
        <w:rPr>
          <w:sz w:val="20"/>
          <w:szCs w:val="20"/>
          <w:color w:val="auto"/>
        </w:rPr>
      </w:pPr>
    </w:p>
    <w:p>
      <w:pPr>
        <w:ind w:left="460" w:hanging="414"/>
        <w:spacing w:after="0"/>
        <w:tabs>
          <w:tab w:leader="none" w:pos="4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relates to adjustment to allowances for bad debts as a result of purchase price allocation related to the Merger with N&amp;B.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ectPr>
          <w:pgSz w:w="11880" w:h="15480" w:orient="portrait"/>
          <w:cols w:equalWidth="0" w:num="1">
            <w:col w:w="9360"/>
          </w:cols>
          <w:pgMar w:left="1220" w:top="1252" w:right="1300" w:bottom="254"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40"/>
        <w:spacing w:after="0"/>
        <w:rPr>
          <w:sz w:val="20"/>
          <w:szCs w:val="20"/>
          <w:color w:val="auto"/>
        </w:rPr>
      </w:pPr>
      <w:r>
        <w:rPr>
          <w:rFonts w:ascii="Arial" w:cs="Arial" w:eastAsia="Arial" w:hAnsi="Arial"/>
          <w:sz w:val="164"/>
          <w:szCs w:val="164"/>
          <w:color w:val="808285"/>
        </w:rPr>
        <w:t>Exhibit A</w:t>
      </w:r>
    </w:p>
    <w:p>
      <w:pPr>
        <w:sectPr>
          <w:pgSz w:w="11880" w:h="15480" w:orient="portrait"/>
          <w:cols w:equalWidth="0" w:num="1">
            <w:col w:w="9540"/>
          </w:cols>
          <w:pgMar w:left="1440" w:top="1440" w:right="900" w:bottom="1440" w:gutter="0" w:footer="0" w:header="0"/>
        </w:sectPr>
      </w:pPr>
    </w:p>
    <w:p>
      <w:pPr>
        <w:ind w:left="6340"/>
        <w:spacing w:after="0"/>
        <w:rPr>
          <w:sz w:val="20"/>
          <w:szCs w:val="20"/>
          <w:color w:val="auto"/>
        </w:rPr>
      </w:pPr>
      <w:r>
        <w:rPr>
          <w:rFonts w:ascii="Arial" w:cs="Arial" w:eastAsia="Arial" w:hAnsi="Arial"/>
          <w:sz w:val="20"/>
          <w:szCs w:val="20"/>
          <w:color w:val="808285"/>
        </w:rPr>
        <w:t>International Flavors &amp; Fragrances</w:t>
      </w:r>
    </w:p>
    <w:p>
      <w:pPr>
        <w:sectPr>
          <w:pgSz w:w="11880" w:h="15480" w:orient="portrait"/>
          <w:cols w:equalWidth="0" w:num="1">
            <w:col w:w="9540"/>
          </w:cols>
          <w:pgMar w:left="1440" w:top="1440" w:right="900"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EXHIBIT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FLAVORS AND FRAGRANCES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RECONCILIATIONS</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ADJUSTED OPERATING EBITDA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33655</wp:posOffset>
                </wp:positionV>
                <wp:extent cx="612648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2648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2.65pt" to="482.45pt,2.65pt" o:allowincell="f" strokecolor="#000000" strokeweight="0.5pt"/>
            </w:pict>
          </mc:Fallback>
        </mc:AlternateConten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680" w:type="dxa"/>
            <w:vAlign w:val="bottom"/>
          </w:tcPr>
          <w:p>
            <w:pPr>
              <w:spacing w:after="0"/>
              <w:rPr>
                <w:sz w:val="20"/>
                <w:szCs w:val="20"/>
                <w:color w:val="auto"/>
              </w:rPr>
            </w:pPr>
            <w:r>
              <w:rPr>
                <w:rFonts w:ascii="Arial" w:cs="Arial" w:eastAsia="Arial" w:hAnsi="Arial"/>
                <w:sz w:val="11"/>
                <w:szCs w:val="11"/>
                <w:color w:val="auto"/>
              </w:rPr>
              <w:t>(DOLLARS IN MILLIONS)</w:t>
            </w:r>
          </w:p>
        </w:tc>
        <w:tc>
          <w:tcPr>
            <w:tcW w:w="1300" w:type="dxa"/>
            <w:vAlign w:val="bottom"/>
          </w:tcPr>
          <w:p>
            <w:pPr>
              <w:spacing w:after="0"/>
              <w:rPr>
                <w:sz w:val="15"/>
                <w:szCs w:val="15"/>
                <w:color w:val="auto"/>
              </w:rPr>
            </w:pPr>
          </w:p>
        </w:tc>
        <w:tc>
          <w:tcPr>
            <w:tcW w:w="16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2022</w:t>
            </w:r>
          </w:p>
        </w:tc>
      </w:tr>
      <w:tr>
        <w:trPr>
          <w:trHeight w:val="189"/>
        </w:trPr>
        <w:tc>
          <w:tcPr>
            <w:tcW w:w="6680" w:type="dxa"/>
            <w:vAlign w:val="bottom"/>
          </w:tcPr>
          <w:p>
            <w:pPr>
              <w:spacing w:after="0"/>
              <w:rPr>
                <w:sz w:val="20"/>
                <w:szCs w:val="20"/>
                <w:color w:val="auto"/>
              </w:rPr>
            </w:pPr>
            <w:r>
              <w:rPr>
                <w:rFonts w:ascii="Arial" w:cs="Arial" w:eastAsia="Arial" w:hAnsi="Arial"/>
                <w:sz w:val="14"/>
                <w:szCs w:val="14"/>
                <w:b w:val="1"/>
                <w:bCs w:val="1"/>
                <w:color w:val="auto"/>
              </w:rPr>
              <w:t>TOTAL COMPANY</w:t>
            </w: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4"/>
                <w:szCs w:val="14"/>
                <w:b w:val="1"/>
                <w:bCs w:val="1"/>
                <w:color w:val="auto"/>
              </w:rPr>
              <w:t>As Reported Loss Before Taxes</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$(1,625)</w:t>
            </w:r>
          </w:p>
        </w:tc>
      </w:tr>
      <w:tr>
        <w:trPr>
          <w:trHeight w:val="197"/>
        </w:trPr>
        <w:tc>
          <w:tcPr>
            <w:tcW w:w="6680" w:type="dxa"/>
            <w:vAlign w:val="bottom"/>
          </w:tcPr>
          <w:p>
            <w:pPr>
              <w:ind w:left="100"/>
              <w:spacing w:after="0"/>
              <w:rPr>
                <w:sz w:val="20"/>
                <w:szCs w:val="20"/>
                <w:color w:val="auto"/>
              </w:rPr>
            </w:pPr>
            <w:r>
              <w:rPr>
                <w:rFonts w:ascii="Arial" w:cs="Arial" w:eastAsia="Arial" w:hAnsi="Arial"/>
                <w:sz w:val="14"/>
                <w:szCs w:val="14"/>
                <w:color w:val="auto"/>
              </w:rPr>
              <w:t>Depreciation &amp; Amortization</w:t>
            </w:r>
          </w:p>
        </w:tc>
        <w:tc>
          <w:tcPr>
            <w:tcW w:w="1300" w:type="dxa"/>
            <w:vAlign w:val="bottom"/>
          </w:tcPr>
          <w:p>
            <w:pPr>
              <w:spacing w:after="0"/>
              <w:rPr>
                <w:sz w:val="17"/>
                <w:szCs w:val="17"/>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w w:val="96"/>
              </w:rPr>
              <w:t>1,179</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336</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Other Income, net</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(37)</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Acquisition Related Costs</w:t>
            </w:r>
          </w:p>
        </w:tc>
        <w:tc>
          <w:tcPr>
            <w:tcW w:w="1300" w:type="dxa"/>
            <w:vAlign w:val="bottom"/>
          </w:tcPr>
          <w:p>
            <w:pPr>
              <w:spacing w:after="0"/>
              <w:rPr>
                <w:sz w:val="18"/>
                <w:szCs w:val="18"/>
                <w:color w:val="auto"/>
              </w:rPr>
            </w:pP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(4)</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Restructuring and Other Charges</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w w:val="89"/>
              </w:rPr>
              <w:t>12</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Gains on Sale of Fixed Assets</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(3)</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Impairment of Goodwill</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2,250</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Impairment of Long-Lived Assets</w:t>
            </w:r>
          </w:p>
        </w:tc>
        <w:tc>
          <w:tcPr>
            <w:tcW w:w="1300" w:type="dxa"/>
            <w:vAlign w:val="bottom"/>
          </w:tcPr>
          <w:p>
            <w:pPr>
              <w:spacing w:after="0"/>
              <w:rPr>
                <w:sz w:val="18"/>
                <w:szCs w:val="18"/>
                <w:color w:val="auto"/>
              </w:rPr>
            </w:pP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120</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Shareholder Activism Related Costs</w:t>
            </w:r>
          </w:p>
        </w:tc>
        <w:tc>
          <w:tcPr>
            <w:tcW w:w="1300" w:type="dxa"/>
            <w:vAlign w:val="bottom"/>
          </w:tcPr>
          <w:p>
            <w:pPr>
              <w:spacing w:after="0"/>
              <w:rPr>
                <w:sz w:val="18"/>
                <w:szCs w:val="18"/>
                <w:color w:val="auto"/>
              </w:rPr>
            </w:pP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3</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Business Divestiture Costs</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w w:val="94"/>
              </w:rPr>
              <w:t>110</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Employee Separation Costs</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w w:val="89"/>
              </w:rPr>
              <w:t>11</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Strategic Initiative Costs</w:t>
            </w:r>
          </w:p>
        </w:tc>
        <w:tc>
          <w:tcPr>
            <w:tcW w:w="1300" w:type="dxa"/>
            <w:vAlign w:val="bottom"/>
          </w:tcPr>
          <w:p>
            <w:pPr>
              <w:spacing w:after="0"/>
              <w:rPr>
                <w:sz w:val="18"/>
                <w:szCs w:val="18"/>
                <w:color w:val="auto"/>
              </w:rPr>
            </w:pP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3</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Global Shared Services Implementation Costs</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5</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Frutarom Acquisition Related Costs</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w w:val="76"/>
              </w:rPr>
              <w:t>1</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Integration Related Costs</w:t>
            </w:r>
          </w:p>
        </w:tc>
        <w:tc>
          <w:tcPr>
            <w:tcW w:w="1300" w:type="dxa"/>
            <w:vAlign w:val="bottom"/>
          </w:tcPr>
          <w:p>
            <w:pPr>
              <w:spacing w:after="0"/>
              <w:rPr>
                <w:sz w:val="18"/>
                <w:szCs w:val="18"/>
                <w:color w:val="auto"/>
              </w:rPr>
            </w:pP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94</w:t>
            </w:r>
          </w:p>
        </w:tc>
      </w:tr>
      <w:tr>
        <w:trPr>
          <w:trHeight w:val="22"/>
        </w:trPr>
        <w:tc>
          <w:tcPr>
            <w:tcW w:w="6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6680" w:type="dxa"/>
            <w:vAlign w:val="bottom"/>
          </w:tcPr>
          <w:p>
            <w:pPr>
              <w:spacing w:after="0"/>
              <w:rPr>
                <w:sz w:val="20"/>
                <w:szCs w:val="20"/>
                <w:color w:val="auto"/>
              </w:rPr>
            </w:pPr>
            <w:r>
              <w:rPr>
                <w:rFonts w:ascii="Arial" w:cs="Arial" w:eastAsia="Arial" w:hAnsi="Arial"/>
                <w:sz w:val="14"/>
                <w:szCs w:val="14"/>
                <w:b w:val="1"/>
                <w:bCs w:val="1"/>
                <w:color w:val="auto"/>
              </w:rPr>
              <w:t>Adjusted Operating EBITDA</w:t>
            </w:r>
          </w:p>
        </w:tc>
        <w:tc>
          <w:tcPr>
            <w:tcW w:w="1300" w:type="dxa"/>
            <w:vAlign w:val="bottom"/>
          </w:tcPr>
          <w:p>
            <w:pPr>
              <w:spacing w:after="0"/>
              <w:rPr>
                <w:sz w:val="15"/>
                <w:szCs w:val="15"/>
                <w:color w:val="auto"/>
              </w:rPr>
            </w:pPr>
          </w:p>
        </w:tc>
        <w:tc>
          <w:tcPr>
            <w:tcW w:w="1660" w:type="dxa"/>
            <w:vAlign w:val="bottom"/>
            <w:gridSpan w:val="2"/>
          </w:tcPr>
          <w:p>
            <w:pPr>
              <w:ind w:left="760"/>
              <w:spacing w:after="0"/>
              <w:rPr>
                <w:sz w:val="20"/>
                <w:szCs w:val="20"/>
                <w:color w:val="auto"/>
              </w:rPr>
            </w:pPr>
            <w:r>
              <w:rPr>
                <w:rFonts w:ascii="Arial" w:cs="Arial" w:eastAsia="Arial" w:hAnsi="Arial"/>
                <w:sz w:val="14"/>
                <w:szCs w:val="14"/>
                <w:b w:val="1"/>
                <w:bCs w:val="1"/>
                <w:color w:val="auto"/>
              </w:rPr>
              <w:t>$2,455</w:t>
            </w:r>
          </w:p>
        </w:tc>
      </w:tr>
      <w:tr>
        <w:trPr>
          <w:trHeight w:val="513"/>
        </w:trPr>
        <w:tc>
          <w:tcPr>
            <w:tcW w:w="6680" w:type="dxa"/>
            <w:vAlign w:val="bottom"/>
          </w:tcPr>
          <w:p>
            <w:pPr>
              <w:spacing w:after="0"/>
              <w:rPr>
                <w:sz w:val="20"/>
                <w:szCs w:val="20"/>
                <w:color w:val="auto"/>
              </w:rPr>
            </w:pPr>
            <w:r>
              <w:rPr>
                <w:rFonts w:ascii="Arial" w:cs="Arial" w:eastAsia="Arial" w:hAnsi="Arial"/>
                <w:sz w:val="14"/>
                <w:szCs w:val="14"/>
                <w:b w:val="1"/>
                <w:bCs w:val="1"/>
                <w:color w:val="auto"/>
              </w:rPr>
              <w:t>RECONCILATION OF NET (LOSS) INCOME AND EARNINGS PER SHARE (EPS)</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
        </w:trPr>
        <w:tc>
          <w:tcPr>
            <w:tcW w:w="6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23"/>
        </w:trPr>
        <w:tc>
          <w:tcPr>
            <w:tcW w:w="6680" w:type="dxa"/>
            <w:vAlign w:val="bottom"/>
          </w:tcPr>
          <w:p>
            <w:pPr>
              <w:spacing w:after="0"/>
              <w:rPr>
                <w:sz w:val="20"/>
                <w:szCs w:val="20"/>
                <w:color w:val="auto"/>
              </w:rPr>
            </w:pPr>
            <w:r>
              <w:rPr>
                <w:rFonts w:ascii="Arial" w:cs="Arial" w:eastAsia="Arial" w:hAnsi="Arial"/>
                <w:sz w:val="11"/>
                <w:szCs w:val="11"/>
                <w:color w:val="auto"/>
              </w:rPr>
              <w:t>(DOLLARS IN MILLIONS EXCEPT PER SHARE AMOUNTS)</w:t>
            </w: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00" w:type="dxa"/>
            <w:vAlign w:val="bottom"/>
            <w:tcBorders>
              <w:bottom w:val="single" w:sz="8" w:color="auto"/>
            </w:tcBorders>
          </w:tcPr>
          <w:p>
            <w:pPr>
              <w:spacing w:after="0"/>
              <w:rPr>
                <w:sz w:val="24"/>
                <w:szCs w:val="24"/>
                <w:color w:val="auto"/>
              </w:rPr>
            </w:pPr>
          </w:p>
        </w:tc>
      </w:tr>
      <w:tr>
        <w:trPr>
          <w:trHeight w:val="207"/>
        </w:trPr>
        <w:tc>
          <w:tcPr>
            <w:tcW w:w="6680" w:type="dxa"/>
            <w:vAlign w:val="bottom"/>
          </w:tcPr>
          <w:p>
            <w:pPr>
              <w:spacing w:after="0"/>
              <w:rPr>
                <w:sz w:val="20"/>
                <w:szCs w:val="20"/>
                <w:color w:val="auto"/>
              </w:rPr>
            </w:pPr>
            <w:r>
              <w:rPr>
                <w:rFonts w:ascii="Arial" w:cs="Arial" w:eastAsia="Arial" w:hAnsi="Arial"/>
                <w:sz w:val="14"/>
                <w:szCs w:val="14"/>
                <w:b w:val="1"/>
                <w:bCs w:val="1"/>
                <w:color w:val="auto"/>
              </w:rPr>
              <w:t>TOTAL COMPANY</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8"/>
        </w:trPr>
        <w:tc>
          <w:tcPr>
            <w:tcW w:w="6680" w:type="dxa"/>
            <w:vAlign w:val="bottom"/>
          </w:tcPr>
          <w:p>
            <w:pPr>
              <w:spacing w:after="0"/>
              <w:rPr>
                <w:sz w:val="20"/>
                <w:szCs w:val="20"/>
                <w:color w:val="auto"/>
              </w:rPr>
            </w:pPr>
            <w:r>
              <w:rPr>
                <w:rFonts w:ascii="Arial" w:cs="Arial" w:eastAsia="Arial" w:hAnsi="Arial"/>
                <w:sz w:val="14"/>
                <w:szCs w:val="14"/>
                <w:b w:val="1"/>
                <w:bCs w:val="1"/>
                <w:color w:val="auto"/>
              </w:rPr>
              <w:t>As Reported Net loss Attributable to IFF stockholders</w:t>
            </w:r>
          </w:p>
        </w:tc>
        <w:tc>
          <w:tcPr>
            <w:tcW w:w="1300" w:type="dxa"/>
            <w:vAlign w:val="bottom"/>
          </w:tcPr>
          <w:p>
            <w:pPr>
              <w:jc w:val="right"/>
              <w:ind w:right="290"/>
              <w:spacing w:after="0"/>
              <w:rPr>
                <w:sz w:val="20"/>
                <w:szCs w:val="20"/>
                <w:color w:val="auto"/>
              </w:rPr>
            </w:pPr>
            <w:r>
              <w:rPr>
                <w:rFonts w:ascii="Arial" w:cs="Arial" w:eastAsia="Arial" w:hAnsi="Arial"/>
                <w:sz w:val="14"/>
                <w:szCs w:val="14"/>
                <w:b w:val="1"/>
                <w:bCs w:val="1"/>
                <w:color w:val="auto"/>
              </w:rPr>
              <w:t>$(1,871)</w:t>
            </w:r>
          </w:p>
        </w:tc>
        <w:tc>
          <w:tcPr>
            <w:tcW w:w="1660" w:type="dxa"/>
            <w:vAlign w:val="bottom"/>
            <w:gridSpan w:val="2"/>
          </w:tcPr>
          <w:p>
            <w:pPr>
              <w:jc w:val="center"/>
              <w:ind w:left="310"/>
              <w:spacing w:after="0"/>
              <w:rPr>
                <w:sz w:val="20"/>
                <w:szCs w:val="20"/>
                <w:color w:val="auto"/>
              </w:rPr>
            </w:pPr>
            <w:r>
              <w:rPr>
                <w:rFonts w:ascii="Arial" w:cs="Arial" w:eastAsia="Arial" w:hAnsi="Arial"/>
                <w:sz w:val="14"/>
                <w:szCs w:val="14"/>
                <w:b w:val="1"/>
                <w:bCs w:val="1"/>
                <w:color w:val="auto"/>
              </w:rPr>
              <w:t>$(7.32)</w:t>
            </w:r>
          </w:p>
        </w:tc>
      </w:tr>
      <w:tr>
        <w:trPr>
          <w:trHeight w:val="26"/>
        </w:trPr>
        <w:tc>
          <w:tcPr>
            <w:tcW w:w="66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8"/>
        </w:trPr>
        <w:tc>
          <w:tcPr>
            <w:tcW w:w="6680" w:type="dxa"/>
            <w:vAlign w:val="bottom"/>
          </w:tcPr>
          <w:p>
            <w:pPr>
              <w:ind w:left="100"/>
              <w:spacing w:after="0"/>
              <w:rPr>
                <w:sz w:val="20"/>
                <w:szCs w:val="20"/>
                <w:color w:val="auto"/>
              </w:rPr>
            </w:pPr>
            <w:r>
              <w:rPr>
                <w:rFonts w:ascii="Arial" w:cs="Arial" w:eastAsia="Arial" w:hAnsi="Arial"/>
                <w:sz w:val="14"/>
                <w:szCs w:val="14"/>
                <w:color w:val="auto"/>
              </w:rPr>
              <w:t>Acquisition Related Costs</w:t>
            </w:r>
          </w:p>
        </w:tc>
        <w:tc>
          <w:tcPr>
            <w:tcW w:w="1300" w:type="dxa"/>
            <w:vAlign w:val="bottom"/>
          </w:tcPr>
          <w:p>
            <w:pPr>
              <w:jc w:val="center"/>
              <w:ind w:left="30"/>
              <w:spacing w:after="0"/>
              <w:rPr>
                <w:sz w:val="20"/>
                <w:szCs w:val="20"/>
                <w:color w:val="auto"/>
              </w:rPr>
            </w:pPr>
            <w:r>
              <w:rPr>
                <w:rFonts w:ascii="Arial" w:cs="Arial" w:eastAsia="Arial" w:hAnsi="Arial"/>
                <w:sz w:val="14"/>
                <w:szCs w:val="14"/>
                <w:color w:val="auto"/>
              </w:rPr>
              <w:t>(4)</w:t>
            </w: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(0.02)</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Restructuring and Other Charges</w:t>
            </w:r>
          </w:p>
        </w:tc>
        <w:tc>
          <w:tcPr>
            <w:tcW w:w="1300" w:type="dxa"/>
            <w:vAlign w:val="bottom"/>
          </w:tcPr>
          <w:p>
            <w:pPr>
              <w:jc w:val="center"/>
              <w:ind w:left="30"/>
              <w:spacing w:after="0"/>
              <w:rPr>
                <w:sz w:val="20"/>
                <w:szCs w:val="20"/>
                <w:color w:val="auto"/>
              </w:rPr>
            </w:pPr>
            <w:r>
              <w:rPr>
                <w:rFonts w:ascii="Arial" w:cs="Arial" w:eastAsia="Arial" w:hAnsi="Arial"/>
                <w:sz w:val="14"/>
                <w:szCs w:val="14"/>
                <w:color w:val="auto"/>
              </w:rPr>
              <w:t>10</w:t>
            </w: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0.04</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Gains on Sale of Fixed Assets</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rPr>
              <w:t>(2)</w:t>
            </w: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(0.01)</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Impairment of Goodwill</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rPr>
              <w:t>2,250</w:t>
            </w: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8.81</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Impairment of Long-Lived Assets</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rPr>
              <w:t>96</w:t>
            </w: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0.38</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Shareholder Activism Related Costs</w:t>
            </w:r>
          </w:p>
        </w:tc>
        <w:tc>
          <w:tcPr>
            <w:tcW w:w="1300" w:type="dxa"/>
            <w:vAlign w:val="bottom"/>
          </w:tcPr>
          <w:p>
            <w:pPr>
              <w:jc w:val="center"/>
              <w:ind w:left="30"/>
              <w:spacing w:after="0"/>
              <w:rPr>
                <w:sz w:val="20"/>
                <w:szCs w:val="20"/>
                <w:color w:val="auto"/>
              </w:rPr>
            </w:pPr>
            <w:r>
              <w:rPr>
                <w:rFonts w:ascii="Arial" w:cs="Arial" w:eastAsia="Arial" w:hAnsi="Arial"/>
                <w:sz w:val="14"/>
                <w:szCs w:val="14"/>
                <w:color w:val="auto"/>
              </w:rPr>
              <w:t>2</w:t>
            </w: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0.01</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Business Divestiture Costs</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w w:val="94"/>
              </w:rPr>
              <w:t>174</w:t>
            </w: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0.68</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Gains on Business Disposal</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rPr>
              <w:t>85</w:t>
            </w: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0.34</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Employee Separation Costs</w:t>
            </w:r>
          </w:p>
        </w:tc>
        <w:tc>
          <w:tcPr>
            <w:tcW w:w="1300" w:type="dxa"/>
            <w:vAlign w:val="bottom"/>
          </w:tcPr>
          <w:p>
            <w:pPr>
              <w:jc w:val="center"/>
              <w:ind w:left="30"/>
              <w:spacing w:after="0"/>
              <w:rPr>
                <w:sz w:val="20"/>
                <w:szCs w:val="20"/>
                <w:color w:val="auto"/>
              </w:rPr>
            </w:pPr>
            <w:r>
              <w:rPr>
                <w:rFonts w:ascii="Arial" w:cs="Arial" w:eastAsia="Arial" w:hAnsi="Arial"/>
                <w:sz w:val="14"/>
                <w:szCs w:val="14"/>
                <w:color w:val="auto"/>
              </w:rPr>
              <w:t>10</w:t>
            </w: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0.04</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Strategic Initiative Costs</w:t>
            </w:r>
          </w:p>
        </w:tc>
        <w:tc>
          <w:tcPr>
            <w:tcW w:w="1300" w:type="dxa"/>
            <w:vAlign w:val="bottom"/>
          </w:tcPr>
          <w:p>
            <w:pPr>
              <w:jc w:val="center"/>
              <w:ind w:left="30"/>
              <w:spacing w:after="0"/>
              <w:rPr>
                <w:sz w:val="20"/>
                <w:szCs w:val="20"/>
                <w:color w:val="auto"/>
              </w:rPr>
            </w:pPr>
            <w:r>
              <w:rPr>
                <w:rFonts w:ascii="Arial" w:cs="Arial" w:eastAsia="Arial" w:hAnsi="Arial"/>
                <w:sz w:val="14"/>
                <w:szCs w:val="14"/>
                <w:color w:val="auto"/>
              </w:rPr>
              <w:t>2</w:t>
            </w: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0.01</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Global Shared Services Implementation Costs</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rPr>
              <w:t>4</w:t>
            </w: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rPr>
              <w:t>0.01</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Frutarom Acquisition Related Costs</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w w:val="76"/>
              </w:rPr>
              <w:t>1</w:t>
            </w:r>
          </w:p>
        </w:tc>
        <w:tc>
          <w:tcPr>
            <w:tcW w:w="1660" w:type="dxa"/>
            <w:vAlign w:val="bottom"/>
            <w:gridSpan w:val="2"/>
          </w:tcPr>
          <w:p>
            <w:pPr>
              <w:jc w:val="center"/>
              <w:ind w:left="310"/>
              <w:spacing w:after="0"/>
              <w:rPr>
                <w:sz w:val="20"/>
                <w:szCs w:val="20"/>
                <w:color w:val="auto"/>
              </w:rPr>
            </w:pPr>
            <w:r>
              <w:rPr>
                <w:rFonts w:ascii="Arial" w:cs="Arial" w:eastAsia="Arial" w:hAnsi="Arial"/>
                <w:sz w:val="14"/>
                <w:szCs w:val="14"/>
                <w:color w:val="auto"/>
                <w:w w:val="84"/>
              </w:rPr>
              <w:t>-</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Integration Related Costs</w:t>
            </w:r>
          </w:p>
        </w:tc>
        <w:tc>
          <w:tcPr>
            <w:tcW w:w="1300" w:type="dxa"/>
            <w:vAlign w:val="bottom"/>
          </w:tcPr>
          <w:p>
            <w:pPr>
              <w:jc w:val="center"/>
              <w:ind w:left="50"/>
              <w:spacing w:after="0"/>
              <w:rPr>
                <w:sz w:val="20"/>
                <w:szCs w:val="20"/>
                <w:color w:val="auto"/>
              </w:rPr>
            </w:pPr>
            <w:r>
              <w:rPr>
                <w:rFonts w:ascii="Arial" w:cs="Arial" w:eastAsia="Arial" w:hAnsi="Arial"/>
                <w:sz w:val="14"/>
                <w:szCs w:val="14"/>
                <w:color w:val="auto"/>
                <w:w w:val="89"/>
              </w:rPr>
              <w:t>71</w:t>
            </w:r>
          </w:p>
        </w:tc>
        <w:tc>
          <w:tcPr>
            <w:tcW w:w="1660" w:type="dxa"/>
            <w:vAlign w:val="bottom"/>
            <w:gridSpan w:val="2"/>
          </w:tcPr>
          <w:p>
            <w:pPr>
              <w:jc w:val="center"/>
              <w:ind w:left="330"/>
              <w:spacing w:after="0"/>
              <w:rPr>
                <w:sz w:val="20"/>
                <w:szCs w:val="20"/>
                <w:color w:val="auto"/>
              </w:rPr>
            </w:pPr>
            <w:r>
              <w:rPr>
                <w:rFonts w:ascii="Arial" w:cs="Arial" w:eastAsia="Arial" w:hAnsi="Arial"/>
                <w:sz w:val="14"/>
                <w:szCs w:val="14"/>
                <w:color w:val="auto"/>
              </w:rPr>
              <w:t>0.28</w:t>
            </w:r>
          </w:p>
        </w:tc>
      </w:tr>
      <w:tr>
        <w:trPr>
          <w:trHeight w:val="225"/>
        </w:trPr>
        <w:tc>
          <w:tcPr>
            <w:tcW w:w="6680" w:type="dxa"/>
            <w:vAlign w:val="bottom"/>
          </w:tcPr>
          <w:p>
            <w:pPr>
              <w:ind w:left="100"/>
              <w:spacing w:after="0"/>
              <w:rPr>
                <w:sz w:val="20"/>
                <w:szCs w:val="20"/>
                <w:color w:val="auto"/>
              </w:rPr>
            </w:pPr>
            <w:r>
              <w:rPr>
                <w:rFonts w:ascii="Arial" w:cs="Arial" w:eastAsia="Arial" w:hAnsi="Arial"/>
                <w:sz w:val="14"/>
                <w:szCs w:val="14"/>
                <w:color w:val="auto"/>
              </w:rPr>
              <w:t>Redemption value adjustment to EPS</w:t>
            </w:r>
          </w:p>
        </w:tc>
        <w:tc>
          <w:tcPr>
            <w:tcW w:w="130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(0.01)</w:t>
            </w:r>
          </w:p>
        </w:tc>
      </w:tr>
      <w:tr>
        <w:trPr>
          <w:trHeight w:val="189"/>
        </w:trPr>
        <w:tc>
          <w:tcPr>
            <w:tcW w:w="6680" w:type="dxa"/>
            <w:vAlign w:val="bottom"/>
          </w:tcPr>
          <w:p>
            <w:pPr>
              <w:spacing w:after="0"/>
              <w:rPr>
                <w:sz w:val="20"/>
                <w:szCs w:val="20"/>
                <w:color w:val="auto"/>
              </w:rPr>
            </w:pPr>
            <w:r>
              <w:rPr>
                <w:rFonts w:ascii="Arial" w:cs="Arial" w:eastAsia="Arial" w:hAnsi="Arial"/>
                <w:sz w:val="14"/>
                <w:szCs w:val="14"/>
                <w:b w:val="1"/>
                <w:bCs w:val="1"/>
                <w:color w:val="auto"/>
              </w:rPr>
              <w:t>Adjusted Net Income</w:t>
            </w:r>
          </w:p>
        </w:tc>
        <w:tc>
          <w:tcPr>
            <w:tcW w:w="1300" w:type="dxa"/>
            <w:vAlign w:val="bottom"/>
          </w:tcPr>
          <w:p>
            <w:pPr>
              <w:jc w:val="right"/>
              <w:ind w:right="410"/>
              <w:spacing w:after="0"/>
              <w:rPr>
                <w:sz w:val="20"/>
                <w:szCs w:val="20"/>
                <w:color w:val="auto"/>
              </w:rPr>
            </w:pPr>
            <w:r>
              <w:rPr>
                <w:rFonts w:ascii="Arial" w:cs="Arial" w:eastAsia="Arial" w:hAnsi="Arial"/>
                <w:sz w:val="14"/>
                <w:szCs w:val="14"/>
                <w:b w:val="1"/>
                <w:bCs w:val="1"/>
                <w:color w:val="auto"/>
              </w:rPr>
              <w:t>$828</w:t>
            </w:r>
          </w:p>
        </w:tc>
        <w:tc>
          <w:tcPr>
            <w:tcW w:w="1660" w:type="dxa"/>
            <w:vAlign w:val="bottom"/>
            <w:gridSpan w:val="2"/>
          </w:tcPr>
          <w:p>
            <w:pPr>
              <w:jc w:val="center"/>
              <w:ind w:left="230"/>
              <w:spacing w:after="0"/>
              <w:rPr>
                <w:sz w:val="20"/>
                <w:szCs w:val="20"/>
                <w:color w:val="auto"/>
              </w:rPr>
            </w:pPr>
            <w:r>
              <w:rPr>
                <w:rFonts w:ascii="Arial" w:cs="Arial" w:eastAsia="Arial" w:hAnsi="Arial"/>
                <w:sz w:val="14"/>
                <w:szCs w:val="14"/>
                <w:b w:val="1"/>
                <w:bCs w:val="1"/>
                <w:color w:val="auto"/>
              </w:rPr>
              <w:t>$3.24</w:t>
            </w:r>
          </w:p>
        </w:tc>
      </w:tr>
      <w:tr>
        <w:trPr>
          <w:trHeight w:val="513"/>
        </w:trPr>
        <w:tc>
          <w:tcPr>
            <w:tcW w:w="6680" w:type="dxa"/>
            <w:vAlign w:val="bottom"/>
          </w:tcPr>
          <w:p>
            <w:pPr>
              <w:spacing w:after="0"/>
              <w:rPr>
                <w:sz w:val="20"/>
                <w:szCs w:val="20"/>
                <w:color w:val="auto"/>
              </w:rPr>
            </w:pPr>
            <w:r>
              <w:rPr>
                <w:rFonts w:ascii="Arial" w:cs="Arial" w:eastAsia="Arial" w:hAnsi="Arial"/>
                <w:sz w:val="14"/>
                <w:szCs w:val="14"/>
                <w:b w:val="1"/>
                <w:bCs w:val="1"/>
                <w:color w:val="auto"/>
              </w:rPr>
              <w:t>RECONCILIATION OF EARNINGS PER SHARE (EPS) EX AMORTIZATION</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6"/>
        </w:trPr>
        <w:tc>
          <w:tcPr>
            <w:tcW w:w="6680" w:type="dxa"/>
            <w:vAlign w:val="bottom"/>
          </w:tcPr>
          <w:p>
            <w:pPr>
              <w:spacing w:after="0"/>
              <w:rPr>
                <w:sz w:val="20"/>
                <w:szCs w:val="20"/>
                <w:color w:val="auto"/>
              </w:rPr>
            </w:pPr>
            <w:r>
              <w:rPr>
                <w:rFonts w:ascii="Arial" w:cs="Arial" w:eastAsia="Arial" w:hAnsi="Arial"/>
                <w:sz w:val="11"/>
                <w:szCs w:val="11"/>
                <w:color w:val="auto"/>
              </w:rPr>
              <w:t>(DOLLARS AND SHARE AMOUNTS IN MILLIONS)</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680" w:type="dxa"/>
            <w:vAlign w:val="bottom"/>
          </w:tcPr>
          <w:p>
            <w:pPr>
              <w:spacing w:after="0"/>
              <w:rPr>
                <w:sz w:val="20"/>
                <w:szCs w:val="20"/>
                <w:color w:val="auto"/>
              </w:rPr>
            </w:pPr>
            <w:r>
              <w:rPr>
                <w:rFonts w:ascii="Arial" w:cs="Arial" w:eastAsia="Arial" w:hAnsi="Arial"/>
                <w:sz w:val="14"/>
                <w:szCs w:val="14"/>
                <w:b w:val="1"/>
                <w:bCs w:val="1"/>
                <w:color w:val="auto"/>
              </w:rPr>
              <w:t>Numerator</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rPr>
              <w:t>2022</w:t>
            </w:r>
          </w:p>
        </w:tc>
      </w:tr>
      <w:tr>
        <w:trPr>
          <w:trHeight w:val="187"/>
        </w:trPr>
        <w:tc>
          <w:tcPr>
            <w:tcW w:w="6680" w:type="dxa"/>
            <w:vAlign w:val="bottom"/>
          </w:tcPr>
          <w:p>
            <w:pPr>
              <w:ind w:left="100"/>
              <w:spacing w:after="0"/>
              <w:rPr>
                <w:sz w:val="20"/>
                <w:szCs w:val="20"/>
                <w:color w:val="auto"/>
              </w:rPr>
            </w:pPr>
            <w:r>
              <w:rPr>
                <w:rFonts w:ascii="Arial" w:cs="Arial" w:eastAsia="Arial" w:hAnsi="Arial"/>
                <w:sz w:val="14"/>
                <w:szCs w:val="14"/>
                <w:color w:val="auto"/>
              </w:rPr>
              <w:t>Adjusted Net Income</w:t>
            </w:r>
          </w:p>
        </w:tc>
        <w:tc>
          <w:tcPr>
            <w:tcW w:w="1300" w:type="dxa"/>
            <w:vAlign w:val="bottom"/>
          </w:tcPr>
          <w:p>
            <w:pPr>
              <w:spacing w:after="0"/>
              <w:rPr>
                <w:sz w:val="16"/>
                <w:szCs w:val="16"/>
                <w:color w:val="auto"/>
              </w:rPr>
            </w:pPr>
          </w:p>
        </w:tc>
        <w:tc>
          <w:tcPr>
            <w:tcW w:w="1660" w:type="dxa"/>
            <w:vAlign w:val="bottom"/>
            <w:gridSpan w:val="2"/>
          </w:tcPr>
          <w:p>
            <w:pPr>
              <w:jc w:val="right"/>
              <w:ind w:right="470"/>
              <w:spacing w:after="0"/>
              <w:rPr>
                <w:sz w:val="20"/>
                <w:szCs w:val="20"/>
                <w:color w:val="auto"/>
              </w:rPr>
            </w:pPr>
            <w:r>
              <w:rPr>
                <w:rFonts w:ascii="Arial" w:cs="Arial" w:eastAsia="Arial" w:hAnsi="Arial"/>
                <w:sz w:val="14"/>
                <w:szCs w:val="14"/>
                <w:color w:val="auto"/>
              </w:rPr>
              <w:t>$828</w:t>
            </w:r>
          </w:p>
        </w:tc>
      </w:tr>
      <w:tr>
        <w:trPr>
          <w:trHeight w:val="216"/>
        </w:trPr>
        <w:tc>
          <w:tcPr>
            <w:tcW w:w="6680" w:type="dxa"/>
            <w:vAlign w:val="bottom"/>
          </w:tcPr>
          <w:p>
            <w:pPr>
              <w:ind w:left="100"/>
              <w:spacing w:after="0"/>
              <w:rPr>
                <w:sz w:val="20"/>
                <w:szCs w:val="20"/>
                <w:color w:val="auto"/>
              </w:rPr>
            </w:pPr>
            <w:r>
              <w:rPr>
                <w:rFonts w:ascii="Arial" w:cs="Arial" w:eastAsia="Arial" w:hAnsi="Arial"/>
                <w:sz w:val="14"/>
                <w:szCs w:val="14"/>
                <w:color w:val="auto"/>
              </w:rPr>
              <w:t>Amortization of Acquisition related Intangible Assets</w:t>
            </w:r>
          </w:p>
        </w:tc>
        <w:tc>
          <w:tcPr>
            <w:tcW w:w="1300" w:type="dxa"/>
            <w:vAlign w:val="bottom"/>
          </w:tcPr>
          <w:p>
            <w:pPr>
              <w:spacing w:after="0"/>
              <w:rPr>
                <w:sz w:val="18"/>
                <w:szCs w:val="18"/>
                <w:color w:val="auto"/>
              </w:rPr>
            </w:pPr>
          </w:p>
        </w:tc>
        <w:tc>
          <w:tcPr>
            <w:tcW w:w="1660" w:type="dxa"/>
            <w:vAlign w:val="bottom"/>
            <w:gridSpan w:val="2"/>
          </w:tcPr>
          <w:p>
            <w:pPr>
              <w:jc w:val="center"/>
              <w:ind w:left="230"/>
              <w:spacing w:after="0"/>
              <w:rPr>
                <w:sz w:val="20"/>
                <w:szCs w:val="20"/>
                <w:color w:val="auto"/>
              </w:rPr>
            </w:pPr>
            <w:r>
              <w:rPr>
                <w:rFonts w:ascii="Arial" w:cs="Arial" w:eastAsia="Arial" w:hAnsi="Arial"/>
                <w:sz w:val="14"/>
                <w:szCs w:val="14"/>
                <w:color w:val="auto"/>
              </w:rPr>
              <w:t>727</w:t>
            </w:r>
          </w:p>
        </w:tc>
      </w:tr>
      <w:tr>
        <w:trPr>
          <w:trHeight w:val="224"/>
        </w:trPr>
        <w:tc>
          <w:tcPr>
            <w:tcW w:w="6680" w:type="dxa"/>
            <w:vAlign w:val="bottom"/>
          </w:tcPr>
          <w:p>
            <w:pPr>
              <w:ind w:left="100"/>
              <w:spacing w:after="0"/>
              <w:rPr>
                <w:sz w:val="20"/>
                <w:szCs w:val="20"/>
                <w:color w:val="auto"/>
              </w:rPr>
            </w:pPr>
            <w:r>
              <w:rPr>
                <w:rFonts w:ascii="Arial" w:cs="Arial" w:eastAsia="Arial" w:hAnsi="Arial"/>
                <w:sz w:val="14"/>
                <w:szCs w:val="14"/>
                <w:color w:val="auto"/>
              </w:rPr>
              <w:t>Tax impact on Amortization of Acquisition related Intangible Assets</w:t>
            </w: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170</w:t>
            </w:r>
          </w:p>
        </w:tc>
      </w:tr>
      <w:tr>
        <w:trPr>
          <w:trHeight w:val="182"/>
        </w:trPr>
        <w:tc>
          <w:tcPr>
            <w:tcW w:w="6680" w:type="dxa"/>
            <w:vAlign w:val="bottom"/>
          </w:tcPr>
          <w:p>
            <w:pPr>
              <w:ind w:left="100"/>
              <w:spacing w:after="0"/>
              <w:rPr>
                <w:sz w:val="20"/>
                <w:szCs w:val="20"/>
                <w:color w:val="auto"/>
              </w:rPr>
            </w:pPr>
            <w:r>
              <w:rPr>
                <w:rFonts w:ascii="Arial" w:cs="Arial" w:eastAsia="Arial" w:hAnsi="Arial"/>
                <w:sz w:val="14"/>
                <w:szCs w:val="14"/>
                <w:color w:val="auto"/>
              </w:rPr>
              <w:t>Amortization of Acquisitiovn related Intangible Assets, net of tax</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557</w:t>
            </w:r>
          </w:p>
        </w:tc>
      </w:tr>
      <w:tr>
        <w:trPr>
          <w:trHeight w:val="201"/>
        </w:trPr>
        <w:tc>
          <w:tcPr>
            <w:tcW w:w="6680" w:type="dxa"/>
            <w:vAlign w:val="bottom"/>
          </w:tcPr>
          <w:p>
            <w:pPr>
              <w:ind w:left="100"/>
              <w:spacing w:after="0"/>
              <w:rPr>
                <w:sz w:val="20"/>
                <w:szCs w:val="20"/>
                <w:color w:val="auto"/>
              </w:rPr>
            </w:pPr>
            <w:r>
              <w:rPr>
                <w:rFonts w:ascii="Arial" w:cs="Arial" w:eastAsia="Arial" w:hAnsi="Arial"/>
                <w:sz w:val="14"/>
                <w:szCs w:val="14"/>
                <w:color w:val="auto"/>
              </w:rPr>
              <w:t>Adjusted Net Income ex. Amortization</w:t>
            </w:r>
          </w:p>
        </w:tc>
        <w:tc>
          <w:tcPr>
            <w:tcW w:w="1300" w:type="dxa"/>
            <w:vAlign w:val="bottom"/>
          </w:tcPr>
          <w:p>
            <w:pPr>
              <w:spacing w:after="0"/>
              <w:rPr>
                <w:sz w:val="17"/>
                <w:szCs w:val="17"/>
                <w:color w:val="auto"/>
              </w:rPr>
            </w:pPr>
          </w:p>
        </w:tc>
        <w:tc>
          <w:tcPr>
            <w:tcW w:w="1660" w:type="dxa"/>
            <w:vAlign w:val="bottom"/>
            <w:gridSpan w:val="2"/>
          </w:tcPr>
          <w:p>
            <w:pPr>
              <w:jc w:val="center"/>
              <w:ind w:left="230"/>
              <w:spacing w:after="0"/>
              <w:rPr>
                <w:sz w:val="20"/>
                <w:szCs w:val="20"/>
                <w:color w:val="auto"/>
              </w:rPr>
            </w:pPr>
            <w:r>
              <w:rPr>
                <w:rFonts w:ascii="Arial" w:cs="Arial" w:eastAsia="Arial" w:hAnsi="Arial"/>
                <w:sz w:val="14"/>
                <w:szCs w:val="14"/>
                <w:color w:val="auto"/>
              </w:rPr>
              <w:t>1,385</w:t>
            </w:r>
          </w:p>
        </w:tc>
      </w:tr>
      <w:tr>
        <w:trPr>
          <w:trHeight w:val="398"/>
        </w:trPr>
        <w:tc>
          <w:tcPr>
            <w:tcW w:w="6680" w:type="dxa"/>
            <w:vAlign w:val="bottom"/>
          </w:tcPr>
          <w:p>
            <w:pPr>
              <w:spacing w:after="0"/>
              <w:rPr>
                <w:sz w:val="20"/>
                <w:szCs w:val="20"/>
                <w:color w:val="auto"/>
              </w:rPr>
            </w:pPr>
            <w:r>
              <w:rPr>
                <w:rFonts w:ascii="Arial" w:cs="Arial" w:eastAsia="Arial" w:hAnsi="Arial"/>
                <w:sz w:val="14"/>
                <w:szCs w:val="14"/>
                <w:b w:val="1"/>
                <w:bCs w:val="1"/>
                <w:color w:val="auto"/>
              </w:rPr>
              <w:t>Denominator</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4"/>
        </w:trPr>
        <w:tc>
          <w:tcPr>
            <w:tcW w:w="6680" w:type="dxa"/>
            <w:vAlign w:val="bottom"/>
          </w:tcPr>
          <w:p>
            <w:pPr>
              <w:ind w:left="100"/>
              <w:spacing w:after="0"/>
              <w:rPr>
                <w:sz w:val="20"/>
                <w:szCs w:val="20"/>
                <w:color w:val="auto"/>
              </w:rPr>
            </w:pPr>
            <w:r>
              <w:rPr>
                <w:rFonts w:ascii="Arial" w:cs="Arial" w:eastAsia="Arial" w:hAnsi="Arial"/>
                <w:sz w:val="14"/>
                <w:szCs w:val="14"/>
                <w:color w:val="auto"/>
              </w:rPr>
              <w:t>Weighted average shares assuming dilution (diluted)</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255</w:t>
            </w:r>
          </w:p>
        </w:tc>
      </w:tr>
      <w:tr>
        <w:trPr>
          <w:trHeight w:val="205"/>
        </w:trPr>
        <w:tc>
          <w:tcPr>
            <w:tcW w:w="6680" w:type="dxa"/>
            <w:vAlign w:val="bottom"/>
          </w:tcPr>
          <w:p>
            <w:pPr>
              <w:spacing w:after="0"/>
              <w:rPr>
                <w:sz w:val="20"/>
                <w:szCs w:val="20"/>
                <w:color w:val="auto"/>
              </w:rPr>
            </w:pPr>
            <w:r>
              <w:rPr>
                <w:rFonts w:ascii="Arial" w:cs="Arial" w:eastAsia="Arial" w:hAnsi="Arial"/>
                <w:sz w:val="14"/>
                <w:szCs w:val="14"/>
                <w:b w:val="1"/>
                <w:bCs w:val="1"/>
                <w:color w:val="auto"/>
              </w:rPr>
              <w:t>Adjusted EPS ex. Amortization</w:t>
            </w:r>
          </w:p>
        </w:tc>
        <w:tc>
          <w:tcPr>
            <w:tcW w:w="1300" w:type="dxa"/>
            <w:vAlign w:val="bottom"/>
          </w:tcPr>
          <w:p>
            <w:pPr>
              <w:spacing w:after="0"/>
              <w:rPr>
                <w:sz w:val="17"/>
                <w:szCs w:val="17"/>
                <w:color w:val="auto"/>
              </w:rPr>
            </w:pPr>
          </w:p>
        </w:tc>
        <w:tc>
          <w:tcPr>
            <w:tcW w:w="1660" w:type="dxa"/>
            <w:vAlign w:val="bottom"/>
            <w:gridSpan w:val="2"/>
          </w:tcPr>
          <w:p>
            <w:pPr>
              <w:ind w:left="760"/>
              <w:spacing w:after="0"/>
              <w:rPr>
                <w:sz w:val="20"/>
                <w:szCs w:val="20"/>
                <w:color w:val="auto"/>
              </w:rPr>
            </w:pPr>
            <w:r>
              <w:rPr>
                <w:rFonts w:ascii="Arial" w:cs="Arial" w:eastAsia="Arial" w:hAnsi="Arial"/>
                <w:sz w:val="14"/>
                <w:szCs w:val="14"/>
                <w:b w:val="1"/>
                <w:bCs w:val="1"/>
                <w:color w:val="auto"/>
              </w:rPr>
              <w:t>$5.42</w:t>
            </w:r>
          </w:p>
        </w:tc>
      </w:tr>
      <w:tr>
        <w:trPr>
          <w:trHeight w:val="25"/>
        </w:trPr>
        <w:tc>
          <w:tcPr>
            <w:tcW w:w="6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0"/>
          <w:szCs w:val="10"/>
          <w:color w:val="808285"/>
        </w:rPr>
        <w:t>The Company uses non-GAAP financial measures such as Adjusted Operating EBITDA, Adjusted Net Income ex amortization, Adjusted Net Income, Adjusted EPS and Adjusted EPS ex amortization (which excludes acquisition related costs, restructuring and other charges, gains on sale of fixed assets, impairment of goodwill, impairment of long-lived assets, shareholder activism related costs, business divestiture costs, gains on business disposal, employee separation costs, strategic initiative costs, Global Shared Services implementation costs, Frutarom acquisition related costs, integration related costs and redemption value adjustment related to EPS) as the Company believes that these non-GAAP financial measures provide investors with an overall perspective of the period-to-period performance of our core business. Such information is supplemental to information presented in accordance with GAAP and is not intended to represent a presentation in accordance with GAAP. These non-GAAP measures may not be comparable to similarly titled measures used by other companies.</w:t>
      </w:r>
    </w:p>
    <w:p>
      <w:pPr>
        <w:sectPr>
          <w:pgSz w:w="11880" w:h="15480" w:orient="portrait"/>
          <w:cols w:equalWidth="0" w:num="1">
            <w:col w:w="9660"/>
          </w:cols>
          <w:pgMar w:left="880" w:top="1047" w:right="1340" w:bottom="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BOARD OF DIRECTORS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00" w:type="dxa"/>
            <w:vAlign w:val="bottom"/>
          </w:tcPr>
          <w:p>
            <w:pPr>
              <w:spacing w:after="0"/>
              <w:rPr>
                <w:sz w:val="20"/>
                <w:szCs w:val="20"/>
                <w:color w:val="auto"/>
              </w:rPr>
            </w:pPr>
            <w:r>
              <w:rPr>
                <w:rFonts w:ascii="Arial" w:cs="Arial" w:eastAsia="Arial" w:hAnsi="Arial"/>
                <w:sz w:val="20"/>
                <w:szCs w:val="20"/>
                <w:b w:val="1"/>
                <w:bCs w:val="1"/>
                <w:color w:val="003C63"/>
              </w:rPr>
              <w:t xml:space="preserve">Kathryn J. Boor </w:t>
            </w:r>
            <w:r>
              <w:rPr>
                <w:rFonts w:ascii="Arial" w:cs="Arial" w:eastAsia="Arial" w:hAnsi="Arial"/>
                <w:sz w:val="11"/>
                <w:szCs w:val="11"/>
                <w:b w:val="1"/>
                <w:bCs w:val="1"/>
                <w:color w:val="003C63"/>
              </w:rPr>
              <w:t>4 *</w:t>
            </w:r>
          </w:p>
        </w:tc>
        <w:tc>
          <w:tcPr>
            <w:tcW w:w="3360" w:type="dxa"/>
            <w:vAlign w:val="bottom"/>
          </w:tcPr>
          <w:p>
            <w:pPr>
              <w:ind w:left="180"/>
              <w:spacing w:after="0"/>
              <w:rPr>
                <w:sz w:val="20"/>
                <w:szCs w:val="20"/>
                <w:color w:val="auto"/>
              </w:rPr>
            </w:pPr>
            <w:r>
              <w:rPr>
                <w:rFonts w:ascii="Arial" w:cs="Arial" w:eastAsia="Arial" w:hAnsi="Arial"/>
                <w:sz w:val="20"/>
                <w:szCs w:val="20"/>
                <w:b w:val="1"/>
                <w:bCs w:val="1"/>
                <w:color w:val="003C63"/>
              </w:rPr>
              <w:t xml:space="preserve">Roger W. Ferguson, Jr. </w:t>
            </w:r>
            <w:r>
              <w:rPr>
                <w:rFonts w:ascii="Arial" w:cs="Arial" w:eastAsia="Arial" w:hAnsi="Arial"/>
                <w:sz w:val="11"/>
                <w:szCs w:val="11"/>
                <w:b w:val="1"/>
                <w:bCs w:val="1"/>
                <w:color w:val="003C63"/>
              </w:rPr>
              <w:t>2*, 3</w:t>
            </w:r>
          </w:p>
        </w:tc>
        <w:tc>
          <w:tcPr>
            <w:tcW w:w="0" w:type="dxa"/>
            <w:vAlign w:val="bottom"/>
          </w:tcPr>
          <w:p>
            <w:pPr>
              <w:spacing w:after="0"/>
              <w:rPr>
                <w:sz w:val="1"/>
                <w:szCs w:val="1"/>
                <w:color w:val="auto"/>
              </w:rPr>
            </w:pPr>
          </w:p>
        </w:tc>
      </w:tr>
      <w:tr>
        <w:trPr>
          <w:trHeight w:val="168"/>
        </w:trPr>
        <w:tc>
          <w:tcPr>
            <w:tcW w:w="3400" w:type="dxa"/>
            <w:vAlign w:val="bottom"/>
            <w:vMerge w:val="restart"/>
          </w:tcPr>
          <w:p>
            <w:pPr>
              <w:spacing w:after="0"/>
              <w:rPr>
                <w:sz w:val="20"/>
                <w:szCs w:val="20"/>
                <w:color w:val="auto"/>
              </w:rPr>
            </w:pPr>
            <w:r>
              <w:rPr>
                <w:rFonts w:ascii="Arial" w:cs="Arial" w:eastAsia="Arial" w:hAnsi="Arial"/>
                <w:sz w:val="14"/>
                <w:szCs w:val="14"/>
                <w:color w:val="FFFFFF"/>
              </w:rPr>
              <w:t>Dean of the Graduate School and</w:t>
            </w:r>
          </w:p>
        </w:tc>
        <w:tc>
          <w:tcPr>
            <w:tcW w:w="3360" w:type="dxa"/>
            <w:vAlign w:val="bottom"/>
          </w:tcPr>
          <w:p>
            <w:pPr>
              <w:ind w:left="180"/>
              <w:spacing w:after="0"/>
              <w:rPr>
                <w:sz w:val="20"/>
                <w:szCs w:val="20"/>
                <w:color w:val="auto"/>
              </w:rPr>
            </w:pPr>
            <w:r>
              <w:rPr>
                <w:rFonts w:ascii="Arial" w:cs="Arial" w:eastAsia="Arial" w:hAnsi="Arial"/>
                <w:sz w:val="14"/>
                <w:szCs w:val="14"/>
                <w:color w:val="FFFFFF"/>
              </w:rPr>
              <w:t>Former President and Chief Executive Officer</w:t>
            </w:r>
          </w:p>
        </w:tc>
        <w:tc>
          <w:tcPr>
            <w:tcW w:w="0" w:type="dxa"/>
            <w:vAlign w:val="bottom"/>
          </w:tcPr>
          <w:p>
            <w:pPr>
              <w:spacing w:after="0"/>
              <w:rPr>
                <w:sz w:val="1"/>
                <w:szCs w:val="1"/>
                <w:color w:val="auto"/>
              </w:rPr>
            </w:pPr>
          </w:p>
        </w:tc>
      </w:tr>
      <w:tr>
        <w:trPr>
          <w:trHeight w:val="57"/>
        </w:trPr>
        <w:tc>
          <w:tcPr>
            <w:tcW w:w="3400" w:type="dxa"/>
            <w:vAlign w:val="bottom"/>
            <w:vMerge w:val="continue"/>
          </w:tcPr>
          <w:p>
            <w:pPr>
              <w:spacing w:after="0"/>
              <w:rPr>
                <w:sz w:val="4"/>
                <w:szCs w:val="4"/>
                <w:color w:val="auto"/>
              </w:rPr>
            </w:pPr>
          </w:p>
        </w:tc>
        <w:tc>
          <w:tcPr>
            <w:tcW w:w="3360" w:type="dxa"/>
            <w:vAlign w:val="bottom"/>
            <w:vMerge w:val="restart"/>
          </w:tcPr>
          <w:p>
            <w:pPr>
              <w:ind w:left="180"/>
              <w:spacing w:after="0"/>
              <w:rPr>
                <w:sz w:val="20"/>
                <w:szCs w:val="20"/>
                <w:color w:val="auto"/>
              </w:rPr>
            </w:pPr>
            <w:r>
              <w:rPr>
                <w:rFonts w:ascii="Arial" w:cs="Arial" w:eastAsia="Arial" w:hAnsi="Arial"/>
                <w:sz w:val="14"/>
                <w:szCs w:val="14"/>
                <w:i w:val="1"/>
                <w:iCs w:val="1"/>
                <w:color w:val="FFFFFF"/>
              </w:rPr>
              <w:t>TIAA</w:t>
            </w:r>
          </w:p>
        </w:tc>
        <w:tc>
          <w:tcPr>
            <w:tcW w:w="0" w:type="dxa"/>
            <w:vAlign w:val="bottom"/>
          </w:tcPr>
          <w:p>
            <w:pPr>
              <w:spacing w:after="0"/>
              <w:rPr>
                <w:sz w:val="1"/>
                <w:szCs w:val="1"/>
                <w:color w:val="auto"/>
              </w:rPr>
            </w:pPr>
          </w:p>
        </w:tc>
      </w:tr>
      <w:tr>
        <w:trPr>
          <w:trHeight w:val="121"/>
        </w:trPr>
        <w:tc>
          <w:tcPr>
            <w:tcW w:w="3400" w:type="dxa"/>
            <w:vAlign w:val="bottom"/>
            <w:vMerge w:val="restart"/>
          </w:tcPr>
          <w:p>
            <w:pPr>
              <w:spacing w:after="0"/>
              <w:rPr>
                <w:sz w:val="20"/>
                <w:szCs w:val="20"/>
                <w:color w:val="auto"/>
              </w:rPr>
            </w:pPr>
            <w:r>
              <w:rPr>
                <w:rFonts w:ascii="Arial" w:cs="Arial" w:eastAsia="Arial" w:hAnsi="Arial"/>
                <w:sz w:val="14"/>
                <w:szCs w:val="14"/>
                <w:color w:val="FFFFFF"/>
              </w:rPr>
              <w:t>Vice Provost for Graduate Education</w:t>
            </w: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3400" w:type="dxa"/>
            <w:vAlign w:val="bottom"/>
            <w:vMerge w:val="continue"/>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400" w:type="dxa"/>
            <w:vAlign w:val="bottom"/>
          </w:tcPr>
          <w:p>
            <w:pPr>
              <w:spacing w:after="0"/>
              <w:rPr>
                <w:sz w:val="20"/>
                <w:szCs w:val="20"/>
                <w:color w:val="auto"/>
              </w:rPr>
            </w:pPr>
            <w:r>
              <w:rPr>
                <w:rFonts w:ascii="Arial" w:cs="Arial" w:eastAsia="Arial" w:hAnsi="Arial"/>
                <w:sz w:val="14"/>
                <w:szCs w:val="14"/>
                <w:i w:val="1"/>
                <w:iCs w:val="1"/>
                <w:color w:val="FFFFFF"/>
              </w:rPr>
              <w:t>Cornell University</w:t>
            </w:r>
          </w:p>
        </w:tc>
        <w:tc>
          <w:tcPr>
            <w:tcW w:w="3360" w:type="dxa"/>
            <w:vAlign w:val="bottom"/>
            <w:vMerge w:val="restart"/>
          </w:tcPr>
          <w:p>
            <w:pPr>
              <w:ind w:left="180"/>
              <w:spacing w:after="0"/>
              <w:rPr>
                <w:sz w:val="20"/>
                <w:szCs w:val="20"/>
                <w:color w:val="auto"/>
              </w:rPr>
            </w:pPr>
            <w:r>
              <w:rPr>
                <w:rFonts w:ascii="Arial" w:cs="Arial" w:eastAsia="Arial" w:hAnsi="Arial"/>
                <w:sz w:val="20"/>
                <w:szCs w:val="20"/>
                <w:b w:val="1"/>
                <w:bCs w:val="1"/>
                <w:color w:val="003C63"/>
              </w:rPr>
              <w:t xml:space="preserve">John F. Ferraro </w:t>
            </w:r>
            <w:r>
              <w:rPr>
                <w:rFonts w:ascii="Arial" w:cs="Arial" w:eastAsia="Arial" w:hAnsi="Arial"/>
                <w:sz w:val="11"/>
                <w:szCs w:val="11"/>
                <w:b w:val="1"/>
                <w:bCs w:val="1"/>
                <w:color w:val="003C63"/>
              </w:rPr>
              <w:t>1*</w:t>
            </w:r>
          </w:p>
        </w:tc>
        <w:tc>
          <w:tcPr>
            <w:tcW w:w="0" w:type="dxa"/>
            <w:vAlign w:val="bottom"/>
          </w:tcPr>
          <w:p>
            <w:pPr>
              <w:spacing w:after="0"/>
              <w:rPr>
                <w:sz w:val="1"/>
                <w:szCs w:val="1"/>
                <w:color w:val="auto"/>
              </w:rPr>
            </w:pPr>
          </w:p>
        </w:tc>
      </w:tr>
      <w:tr>
        <w:trPr>
          <w:trHeight w:val="203"/>
        </w:trPr>
        <w:tc>
          <w:tcPr>
            <w:tcW w:w="3400" w:type="dxa"/>
            <w:vAlign w:val="bottom"/>
            <w:vMerge w:val="restart"/>
          </w:tcPr>
          <w:p>
            <w:pPr>
              <w:spacing w:after="0"/>
              <w:rPr>
                <w:sz w:val="20"/>
                <w:szCs w:val="20"/>
                <w:color w:val="auto"/>
              </w:rPr>
            </w:pPr>
            <w:r>
              <w:rPr>
                <w:rFonts w:ascii="Arial" w:cs="Arial" w:eastAsia="Arial" w:hAnsi="Arial"/>
                <w:sz w:val="20"/>
                <w:szCs w:val="20"/>
                <w:b w:val="1"/>
                <w:bCs w:val="1"/>
                <w:color w:val="003C63"/>
              </w:rPr>
              <w:t xml:space="preserve">Edward D. Breen </w:t>
            </w:r>
            <w:r>
              <w:rPr>
                <w:rFonts w:ascii="Arial" w:cs="Arial" w:eastAsia="Arial" w:hAnsi="Arial"/>
                <w:sz w:val="11"/>
                <w:szCs w:val="11"/>
                <w:b w:val="1"/>
                <w:bCs w:val="1"/>
                <w:color w:val="003C63"/>
              </w:rPr>
              <w:t>4</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vMerge w:val="continue"/>
          </w:tcPr>
          <w:p>
            <w:pPr>
              <w:spacing w:after="0"/>
              <w:rPr>
                <w:sz w:val="17"/>
                <w:szCs w:val="17"/>
                <w:color w:val="auto"/>
              </w:rPr>
            </w:pPr>
          </w:p>
        </w:tc>
        <w:tc>
          <w:tcPr>
            <w:tcW w:w="3360" w:type="dxa"/>
            <w:vAlign w:val="bottom"/>
          </w:tcPr>
          <w:p>
            <w:pPr>
              <w:ind w:left="180"/>
              <w:spacing w:after="0"/>
              <w:rPr>
                <w:sz w:val="20"/>
                <w:szCs w:val="20"/>
                <w:color w:val="auto"/>
              </w:rPr>
            </w:pPr>
            <w:r>
              <w:rPr>
                <w:rFonts w:ascii="Arial" w:cs="Arial" w:eastAsia="Arial" w:hAnsi="Arial"/>
                <w:sz w:val="14"/>
                <w:szCs w:val="14"/>
                <w:color w:val="FFFFFF"/>
              </w:rPr>
              <w:t>Former Global Chief Operating Officer</w:t>
            </w:r>
          </w:p>
        </w:tc>
        <w:tc>
          <w:tcPr>
            <w:tcW w:w="0" w:type="dxa"/>
            <w:vAlign w:val="bottom"/>
          </w:tcPr>
          <w:p>
            <w:pPr>
              <w:spacing w:after="0"/>
              <w:rPr>
                <w:sz w:val="1"/>
                <w:szCs w:val="1"/>
                <w:color w:val="auto"/>
              </w:rPr>
            </w:pPr>
          </w:p>
        </w:tc>
      </w:tr>
      <w:tr>
        <w:trPr>
          <w:trHeight w:val="165"/>
        </w:trPr>
        <w:tc>
          <w:tcPr>
            <w:tcW w:w="3400" w:type="dxa"/>
            <w:vAlign w:val="bottom"/>
            <w:vMerge w:val="restart"/>
          </w:tcPr>
          <w:p>
            <w:pPr>
              <w:spacing w:after="0"/>
              <w:rPr>
                <w:sz w:val="20"/>
                <w:szCs w:val="20"/>
                <w:color w:val="auto"/>
              </w:rPr>
            </w:pPr>
            <w:r>
              <w:rPr>
                <w:rFonts w:ascii="Arial" w:cs="Arial" w:eastAsia="Arial" w:hAnsi="Arial"/>
                <w:sz w:val="14"/>
                <w:szCs w:val="14"/>
                <w:color w:val="FFFFFF"/>
              </w:rPr>
              <w:t>Executive Chairman and Chief Executive Officer</w:t>
            </w:r>
          </w:p>
        </w:tc>
        <w:tc>
          <w:tcPr>
            <w:tcW w:w="3360" w:type="dxa"/>
            <w:vAlign w:val="bottom"/>
          </w:tcPr>
          <w:p>
            <w:pPr>
              <w:ind w:left="180"/>
              <w:spacing w:after="0"/>
              <w:rPr>
                <w:sz w:val="20"/>
                <w:szCs w:val="20"/>
                <w:color w:val="auto"/>
              </w:rPr>
            </w:pPr>
            <w:r>
              <w:rPr>
                <w:rFonts w:ascii="Arial" w:cs="Arial" w:eastAsia="Arial" w:hAnsi="Arial"/>
                <w:sz w:val="14"/>
                <w:szCs w:val="14"/>
                <w:i w:val="1"/>
                <w:iCs w:val="1"/>
                <w:color w:val="FFFFFF"/>
              </w:rPr>
              <w:t>Ernst &amp; Young</w:t>
            </w:r>
          </w:p>
        </w:tc>
        <w:tc>
          <w:tcPr>
            <w:tcW w:w="0" w:type="dxa"/>
            <w:vAlign w:val="bottom"/>
          </w:tcPr>
          <w:p>
            <w:pPr>
              <w:spacing w:after="0"/>
              <w:rPr>
                <w:sz w:val="1"/>
                <w:szCs w:val="1"/>
                <w:color w:val="auto"/>
              </w:rPr>
            </w:pPr>
          </w:p>
        </w:tc>
      </w:tr>
      <w:tr>
        <w:trPr>
          <w:trHeight w:val="59"/>
        </w:trPr>
        <w:tc>
          <w:tcPr>
            <w:tcW w:w="3400" w:type="dxa"/>
            <w:vAlign w:val="bottom"/>
            <w:vMerge w:val="continue"/>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400" w:type="dxa"/>
            <w:vAlign w:val="bottom"/>
          </w:tcPr>
          <w:p>
            <w:pPr>
              <w:spacing w:after="0"/>
              <w:rPr>
                <w:sz w:val="20"/>
                <w:szCs w:val="20"/>
                <w:color w:val="auto"/>
              </w:rPr>
            </w:pPr>
            <w:r>
              <w:rPr>
                <w:rFonts w:ascii="Arial" w:cs="Arial" w:eastAsia="Arial" w:hAnsi="Arial"/>
                <w:sz w:val="14"/>
                <w:szCs w:val="14"/>
                <w:i w:val="1"/>
                <w:iCs w:val="1"/>
                <w:color w:val="FFFFFF"/>
              </w:rPr>
              <w:t>DuPont de Nemours, Inc.</w:t>
            </w:r>
          </w:p>
        </w:tc>
        <w:tc>
          <w:tcPr>
            <w:tcW w:w="3360" w:type="dxa"/>
            <w:vAlign w:val="bottom"/>
            <w:vMerge w:val="restart"/>
          </w:tcPr>
          <w:p>
            <w:pPr>
              <w:ind w:left="180"/>
              <w:spacing w:after="0"/>
              <w:rPr>
                <w:sz w:val="20"/>
                <w:szCs w:val="20"/>
                <w:color w:val="auto"/>
              </w:rPr>
            </w:pPr>
            <w:r>
              <w:rPr>
                <w:rFonts w:ascii="Arial" w:cs="Arial" w:eastAsia="Arial" w:hAnsi="Arial"/>
                <w:sz w:val="20"/>
                <w:szCs w:val="20"/>
                <w:b w:val="1"/>
                <w:bCs w:val="1"/>
                <w:color w:val="003C63"/>
              </w:rPr>
              <w:t xml:space="preserve">Christina Gold </w:t>
            </w:r>
            <w:r>
              <w:rPr>
                <w:rFonts w:ascii="Arial" w:cs="Arial" w:eastAsia="Arial" w:hAnsi="Arial"/>
                <w:sz w:val="11"/>
                <w:szCs w:val="11"/>
                <w:b w:val="1"/>
                <w:bCs w:val="1"/>
                <w:color w:val="003C63"/>
              </w:rPr>
              <w:t>2, 3*</w:t>
            </w:r>
          </w:p>
        </w:tc>
        <w:tc>
          <w:tcPr>
            <w:tcW w:w="0" w:type="dxa"/>
            <w:vAlign w:val="bottom"/>
          </w:tcPr>
          <w:p>
            <w:pPr>
              <w:spacing w:after="0"/>
              <w:rPr>
                <w:sz w:val="1"/>
                <w:szCs w:val="1"/>
                <w:color w:val="auto"/>
              </w:rPr>
            </w:pPr>
          </w:p>
        </w:tc>
      </w:tr>
      <w:tr>
        <w:trPr>
          <w:trHeight w:val="203"/>
        </w:trPr>
        <w:tc>
          <w:tcPr>
            <w:tcW w:w="3400" w:type="dxa"/>
            <w:vAlign w:val="bottom"/>
            <w:vMerge w:val="restart"/>
          </w:tcPr>
          <w:p>
            <w:pPr>
              <w:spacing w:after="0"/>
              <w:rPr>
                <w:sz w:val="20"/>
                <w:szCs w:val="20"/>
                <w:color w:val="auto"/>
              </w:rPr>
            </w:pPr>
            <w:r>
              <w:rPr>
                <w:rFonts w:ascii="Arial" w:cs="Arial" w:eastAsia="Arial" w:hAnsi="Arial"/>
                <w:sz w:val="20"/>
                <w:szCs w:val="20"/>
                <w:b w:val="1"/>
                <w:bCs w:val="1"/>
                <w:color w:val="003C63"/>
              </w:rPr>
              <w:t xml:space="preserve">Barry A. Bruno </w:t>
            </w:r>
            <w:r>
              <w:rPr>
                <w:rFonts w:ascii="Arial" w:cs="Arial" w:eastAsia="Arial" w:hAnsi="Arial"/>
                <w:sz w:val="11"/>
                <w:szCs w:val="11"/>
                <w:b w:val="1"/>
                <w:bCs w:val="1"/>
                <w:color w:val="003C63"/>
              </w:rPr>
              <w:t>1</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vMerge w:val="continue"/>
          </w:tcPr>
          <w:p>
            <w:pPr>
              <w:spacing w:after="0"/>
              <w:rPr>
                <w:sz w:val="17"/>
                <w:szCs w:val="17"/>
                <w:color w:val="auto"/>
              </w:rPr>
            </w:pPr>
          </w:p>
        </w:tc>
        <w:tc>
          <w:tcPr>
            <w:tcW w:w="3360" w:type="dxa"/>
            <w:vAlign w:val="bottom"/>
          </w:tcPr>
          <w:p>
            <w:pPr>
              <w:ind w:left="180"/>
              <w:spacing w:after="0"/>
              <w:rPr>
                <w:sz w:val="20"/>
                <w:szCs w:val="20"/>
                <w:color w:val="auto"/>
              </w:rPr>
            </w:pPr>
            <w:r>
              <w:rPr>
                <w:rFonts w:ascii="Arial" w:cs="Arial" w:eastAsia="Arial" w:hAnsi="Arial"/>
                <w:sz w:val="14"/>
                <w:szCs w:val="14"/>
                <w:color w:val="FFFFFF"/>
              </w:rPr>
              <w:t>Former Chief Executive Officer</w:t>
            </w:r>
          </w:p>
        </w:tc>
        <w:tc>
          <w:tcPr>
            <w:tcW w:w="0" w:type="dxa"/>
            <w:vAlign w:val="bottom"/>
          </w:tcPr>
          <w:p>
            <w:pPr>
              <w:spacing w:after="0"/>
              <w:rPr>
                <w:sz w:val="1"/>
                <w:szCs w:val="1"/>
                <w:color w:val="auto"/>
              </w:rPr>
            </w:pPr>
          </w:p>
        </w:tc>
      </w:tr>
      <w:tr>
        <w:trPr>
          <w:trHeight w:val="165"/>
        </w:trPr>
        <w:tc>
          <w:tcPr>
            <w:tcW w:w="3400" w:type="dxa"/>
            <w:vAlign w:val="bottom"/>
            <w:vMerge w:val="restart"/>
          </w:tcPr>
          <w:p>
            <w:pPr>
              <w:spacing w:after="0"/>
              <w:rPr>
                <w:sz w:val="20"/>
                <w:szCs w:val="20"/>
                <w:color w:val="auto"/>
              </w:rPr>
            </w:pPr>
            <w:r>
              <w:rPr>
                <w:rFonts w:ascii="Arial" w:cs="Arial" w:eastAsia="Arial" w:hAnsi="Arial"/>
                <w:sz w:val="14"/>
                <w:szCs w:val="14"/>
                <w:color w:val="FFFFFF"/>
              </w:rPr>
              <w:t>Executive Vice President, Chief Marketing Officer</w:t>
            </w:r>
          </w:p>
        </w:tc>
        <w:tc>
          <w:tcPr>
            <w:tcW w:w="3360" w:type="dxa"/>
            <w:vAlign w:val="bottom"/>
          </w:tcPr>
          <w:p>
            <w:pPr>
              <w:ind w:left="180"/>
              <w:spacing w:after="0"/>
              <w:rPr>
                <w:sz w:val="20"/>
                <w:szCs w:val="20"/>
                <w:color w:val="auto"/>
              </w:rPr>
            </w:pPr>
            <w:r>
              <w:rPr>
                <w:rFonts w:ascii="Arial" w:cs="Arial" w:eastAsia="Arial" w:hAnsi="Arial"/>
                <w:sz w:val="14"/>
                <w:szCs w:val="14"/>
                <w:i w:val="1"/>
                <w:iCs w:val="1"/>
                <w:color w:val="FFFFFF"/>
              </w:rPr>
              <w:t>The Western Union Company</w:t>
            </w:r>
          </w:p>
        </w:tc>
        <w:tc>
          <w:tcPr>
            <w:tcW w:w="0" w:type="dxa"/>
            <w:vAlign w:val="bottom"/>
          </w:tcPr>
          <w:p>
            <w:pPr>
              <w:spacing w:after="0"/>
              <w:rPr>
                <w:sz w:val="1"/>
                <w:szCs w:val="1"/>
                <w:color w:val="auto"/>
              </w:rPr>
            </w:pPr>
          </w:p>
        </w:tc>
      </w:tr>
      <w:tr>
        <w:trPr>
          <w:trHeight w:val="59"/>
        </w:trPr>
        <w:tc>
          <w:tcPr>
            <w:tcW w:w="3400" w:type="dxa"/>
            <w:vAlign w:val="bottom"/>
            <w:vMerge w:val="continue"/>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20"/>
                <w:szCs w:val="20"/>
                <w:color w:val="auto"/>
              </w:rPr>
            </w:pPr>
            <w:r>
              <w:rPr>
                <w:rFonts w:ascii="Arial" w:cs="Arial" w:eastAsia="Arial" w:hAnsi="Arial"/>
                <w:sz w:val="14"/>
                <w:szCs w:val="14"/>
                <w:color w:val="FFFFFF"/>
              </w:rPr>
              <w:t>and President - Consumer Domestic</w:t>
            </w:r>
          </w:p>
        </w:tc>
        <w:tc>
          <w:tcPr>
            <w:tcW w:w="3360" w:type="dxa"/>
            <w:vAlign w:val="bottom"/>
            <w:vMerge w:val="restart"/>
          </w:tcPr>
          <w:p>
            <w:pPr>
              <w:ind w:left="180"/>
              <w:spacing w:after="0"/>
              <w:rPr>
                <w:sz w:val="20"/>
                <w:szCs w:val="20"/>
                <w:color w:val="auto"/>
              </w:rPr>
            </w:pPr>
            <w:r>
              <w:rPr>
                <w:rFonts w:ascii="Arial" w:cs="Arial" w:eastAsia="Arial" w:hAnsi="Arial"/>
                <w:sz w:val="20"/>
                <w:szCs w:val="20"/>
                <w:b w:val="1"/>
                <w:bCs w:val="1"/>
                <w:color w:val="003C63"/>
              </w:rPr>
              <w:t xml:space="preserve">Matthias Heinzel </w:t>
            </w:r>
            <w:r>
              <w:rPr>
                <w:rFonts w:ascii="Arial" w:cs="Arial" w:eastAsia="Arial" w:hAnsi="Arial"/>
                <w:sz w:val="11"/>
                <w:szCs w:val="11"/>
                <w:b w:val="1"/>
                <w:bCs w:val="1"/>
                <w:color w:val="003C63"/>
              </w:rPr>
              <w:t>4</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4"/>
                <w:szCs w:val="14"/>
                <w:i w:val="1"/>
                <w:iCs w:val="1"/>
                <w:color w:val="FFFFFF"/>
              </w:rPr>
              <w:t>Church &amp; Dwight Co., Inc.</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00" w:type="dxa"/>
            <w:vAlign w:val="bottom"/>
            <w:vMerge w:val="restart"/>
          </w:tcPr>
          <w:p>
            <w:pPr>
              <w:spacing w:after="0"/>
              <w:rPr>
                <w:sz w:val="20"/>
                <w:szCs w:val="20"/>
                <w:color w:val="auto"/>
              </w:rPr>
            </w:pPr>
            <w:r>
              <w:rPr>
                <w:rFonts w:ascii="Arial" w:cs="Arial" w:eastAsia="Arial" w:hAnsi="Arial"/>
                <w:sz w:val="20"/>
                <w:szCs w:val="20"/>
                <w:b w:val="1"/>
                <w:bCs w:val="1"/>
                <w:color w:val="003C63"/>
              </w:rPr>
              <w:t xml:space="preserve">Frank Clyburn </w:t>
            </w:r>
            <w:r>
              <w:rPr>
                <w:rFonts w:ascii="Arial" w:cs="Arial" w:eastAsia="Arial" w:hAnsi="Arial"/>
                <w:sz w:val="11"/>
                <w:szCs w:val="11"/>
                <w:b w:val="1"/>
                <w:bCs w:val="1"/>
                <w:color w:val="003C63"/>
              </w:rPr>
              <w:t>4</w:t>
            </w:r>
          </w:p>
        </w:tc>
        <w:tc>
          <w:tcPr>
            <w:tcW w:w="3360" w:type="dxa"/>
            <w:vAlign w:val="bottom"/>
          </w:tcPr>
          <w:p>
            <w:pPr>
              <w:ind w:left="180"/>
              <w:spacing w:after="0"/>
              <w:rPr>
                <w:sz w:val="20"/>
                <w:szCs w:val="20"/>
                <w:color w:val="auto"/>
              </w:rPr>
            </w:pPr>
            <w:r>
              <w:rPr>
                <w:rFonts w:ascii="Arial" w:cs="Arial" w:eastAsia="Arial" w:hAnsi="Arial"/>
                <w:sz w:val="14"/>
                <w:szCs w:val="14"/>
                <w:color w:val="FFFFFF"/>
              </w:rPr>
              <w:t>Chief Executive Officer of Life Science</w:t>
            </w:r>
          </w:p>
        </w:tc>
        <w:tc>
          <w:tcPr>
            <w:tcW w:w="0" w:type="dxa"/>
            <w:vAlign w:val="bottom"/>
          </w:tcPr>
          <w:p>
            <w:pPr>
              <w:spacing w:after="0"/>
              <w:rPr>
                <w:sz w:val="1"/>
                <w:szCs w:val="1"/>
                <w:color w:val="auto"/>
              </w:rPr>
            </w:pPr>
          </w:p>
        </w:tc>
      </w:tr>
      <w:tr>
        <w:trPr>
          <w:trHeight w:val="226"/>
        </w:trPr>
        <w:tc>
          <w:tcPr>
            <w:tcW w:w="3400" w:type="dxa"/>
            <w:vAlign w:val="bottom"/>
            <w:vMerge w:val="continue"/>
          </w:tcPr>
          <w:p>
            <w:pPr>
              <w:spacing w:after="0"/>
              <w:rPr>
                <w:sz w:val="19"/>
                <w:szCs w:val="19"/>
                <w:color w:val="auto"/>
              </w:rPr>
            </w:pPr>
          </w:p>
        </w:tc>
        <w:tc>
          <w:tcPr>
            <w:tcW w:w="3360" w:type="dxa"/>
            <w:vAlign w:val="bottom"/>
          </w:tcPr>
          <w:p>
            <w:pPr>
              <w:ind w:left="180"/>
              <w:spacing w:after="0"/>
              <w:rPr>
                <w:sz w:val="20"/>
                <w:szCs w:val="20"/>
                <w:color w:val="auto"/>
              </w:rPr>
            </w:pPr>
            <w:r>
              <w:rPr>
                <w:rFonts w:ascii="Arial" w:cs="Arial" w:eastAsia="Arial" w:hAnsi="Arial"/>
                <w:sz w:val="14"/>
                <w:szCs w:val="14"/>
                <w:i w:val="1"/>
                <w:iCs w:val="1"/>
                <w:color w:val="FFFFFF"/>
              </w:rPr>
              <w:t>Merck KGaA</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20"/>
                <w:szCs w:val="20"/>
                <w:color w:val="auto"/>
              </w:rPr>
            </w:pPr>
            <w:r>
              <w:rPr>
                <w:rFonts w:ascii="Arial" w:cs="Arial" w:eastAsia="Arial" w:hAnsi="Arial"/>
                <w:sz w:val="14"/>
                <w:szCs w:val="14"/>
                <w:color w:val="FFFFFF"/>
              </w:rPr>
              <w:t>Chief Executive Officer</w:t>
            </w:r>
          </w:p>
        </w:tc>
        <w:tc>
          <w:tcPr>
            <w:tcW w:w="3360" w:type="dxa"/>
            <w:vAlign w:val="bottom"/>
            <w:vMerge w:val="restart"/>
          </w:tcPr>
          <w:p>
            <w:pPr>
              <w:ind w:left="180"/>
              <w:spacing w:after="0"/>
              <w:rPr>
                <w:sz w:val="20"/>
                <w:szCs w:val="20"/>
                <w:color w:val="auto"/>
              </w:rPr>
            </w:pPr>
            <w:r>
              <w:rPr>
                <w:rFonts w:ascii="Arial" w:cs="Arial" w:eastAsia="Arial" w:hAnsi="Arial"/>
                <w:sz w:val="20"/>
                <w:szCs w:val="20"/>
                <w:b w:val="1"/>
                <w:bCs w:val="1"/>
                <w:color w:val="003C63"/>
              </w:rPr>
              <w:t xml:space="preserve">Gary Hu </w:t>
            </w:r>
            <w:r>
              <w:rPr>
                <w:rFonts w:ascii="Arial" w:cs="Arial" w:eastAsia="Arial" w:hAnsi="Arial"/>
                <w:sz w:val="11"/>
                <w:szCs w:val="11"/>
                <w:b w:val="1"/>
                <w:bCs w:val="1"/>
                <w:color w:val="003C63"/>
              </w:rPr>
              <w:t>1</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4"/>
                <w:szCs w:val="14"/>
                <w:i w:val="1"/>
                <w:iCs w:val="1"/>
                <w:color w:val="FFFFFF"/>
              </w:rPr>
              <w:t>International Flavors &amp; Fragrances Inc.</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00" w:type="dxa"/>
            <w:vAlign w:val="bottom"/>
            <w:vMerge w:val="restart"/>
          </w:tcPr>
          <w:p>
            <w:pPr>
              <w:spacing w:after="0"/>
              <w:rPr>
                <w:sz w:val="20"/>
                <w:szCs w:val="20"/>
                <w:color w:val="auto"/>
              </w:rPr>
            </w:pPr>
            <w:r>
              <w:rPr>
                <w:rFonts w:ascii="Arial" w:cs="Arial" w:eastAsia="Arial" w:hAnsi="Arial"/>
                <w:sz w:val="20"/>
                <w:szCs w:val="20"/>
                <w:b w:val="1"/>
                <w:bCs w:val="1"/>
                <w:color w:val="003C63"/>
              </w:rPr>
              <w:t xml:space="preserve">Mark J. Costa </w:t>
            </w:r>
            <w:r>
              <w:rPr>
                <w:rFonts w:ascii="Arial" w:cs="Arial" w:eastAsia="Arial" w:hAnsi="Arial"/>
                <w:sz w:val="11"/>
                <w:szCs w:val="11"/>
                <w:b w:val="1"/>
                <w:bCs w:val="1"/>
                <w:color w:val="003C63"/>
              </w:rPr>
              <w:t>1, 2</w:t>
            </w:r>
          </w:p>
        </w:tc>
        <w:tc>
          <w:tcPr>
            <w:tcW w:w="3360" w:type="dxa"/>
            <w:vAlign w:val="bottom"/>
          </w:tcPr>
          <w:p>
            <w:pPr>
              <w:ind w:left="180"/>
              <w:spacing w:after="0"/>
              <w:rPr>
                <w:sz w:val="20"/>
                <w:szCs w:val="20"/>
                <w:color w:val="auto"/>
              </w:rPr>
            </w:pPr>
            <w:r>
              <w:rPr>
                <w:rFonts w:ascii="Arial" w:cs="Arial" w:eastAsia="Arial" w:hAnsi="Arial"/>
                <w:sz w:val="14"/>
                <w:szCs w:val="14"/>
                <w:color w:val="FFFFFF"/>
              </w:rPr>
              <w:t>Portfolio Manager</w:t>
            </w:r>
          </w:p>
        </w:tc>
        <w:tc>
          <w:tcPr>
            <w:tcW w:w="0" w:type="dxa"/>
            <w:vAlign w:val="bottom"/>
          </w:tcPr>
          <w:p>
            <w:pPr>
              <w:spacing w:after="0"/>
              <w:rPr>
                <w:sz w:val="1"/>
                <w:szCs w:val="1"/>
                <w:color w:val="auto"/>
              </w:rPr>
            </w:pPr>
          </w:p>
        </w:tc>
      </w:tr>
      <w:tr>
        <w:trPr>
          <w:trHeight w:val="226"/>
        </w:trPr>
        <w:tc>
          <w:tcPr>
            <w:tcW w:w="3400" w:type="dxa"/>
            <w:vAlign w:val="bottom"/>
            <w:vMerge w:val="continue"/>
          </w:tcPr>
          <w:p>
            <w:pPr>
              <w:spacing w:after="0"/>
              <w:rPr>
                <w:sz w:val="19"/>
                <w:szCs w:val="19"/>
                <w:color w:val="auto"/>
              </w:rPr>
            </w:pPr>
          </w:p>
        </w:tc>
        <w:tc>
          <w:tcPr>
            <w:tcW w:w="3360" w:type="dxa"/>
            <w:vAlign w:val="bottom"/>
          </w:tcPr>
          <w:p>
            <w:pPr>
              <w:ind w:left="180"/>
              <w:spacing w:after="0"/>
              <w:rPr>
                <w:sz w:val="20"/>
                <w:szCs w:val="20"/>
                <w:color w:val="auto"/>
              </w:rPr>
            </w:pPr>
            <w:r>
              <w:rPr>
                <w:rFonts w:ascii="Arial" w:cs="Arial" w:eastAsia="Arial" w:hAnsi="Arial"/>
                <w:sz w:val="14"/>
                <w:szCs w:val="14"/>
                <w:i w:val="1"/>
                <w:iCs w:val="1"/>
                <w:color w:val="FFFFFF"/>
              </w:rPr>
              <w:t>Icahn Capital LP</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20"/>
                <w:szCs w:val="20"/>
                <w:color w:val="auto"/>
              </w:rPr>
            </w:pPr>
            <w:r>
              <w:rPr>
                <w:rFonts w:ascii="Arial" w:cs="Arial" w:eastAsia="Arial" w:hAnsi="Arial"/>
                <w:sz w:val="14"/>
                <w:szCs w:val="14"/>
                <w:color w:val="FFFFFF"/>
              </w:rPr>
              <w:t>Chairman &amp; Chief Executive Officer</w:t>
            </w:r>
          </w:p>
        </w:tc>
        <w:tc>
          <w:tcPr>
            <w:tcW w:w="3360" w:type="dxa"/>
            <w:vAlign w:val="bottom"/>
            <w:vMerge w:val="restart"/>
          </w:tcPr>
          <w:p>
            <w:pPr>
              <w:ind w:left="180"/>
              <w:spacing w:after="0"/>
              <w:rPr>
                <w:sz w:val="20"/>
                <w:szCs w:val="20"/>
                <w:color w:val="auto"/>
              </w:rPr>
            </w:pPr>
            <w:r>
              <w:rPr>
                <w:rFonts w:ascii="Arial" w:cs="Arial" w:eastAsia="Arial" w:hAnsi="Arial"/>
                <w:sz w:val="20"/>
                <w:szCs w:val="20"/>
                <w:b w:val="1"/>
                <w:bCs w:val="1"/>
                <w:color w:val="003C63"/>
              </w:rPr>
              <w:t xml:space="preserve">Dale F. Morrison </w:t>
            </w:r>
            <w:r>
              <w:rPr>
                <w:rFonts w:ascii="Arial" w:cs="Arial" w:eastAsia="Arial" w:hAnsi="Arial"/>
                <w:sz w:val="11"/>
                <w:szCs w:val="11"/>
                <w:b w:val="1"/>
                <w:bCs w:val="1"/>
                <w:color w:val="003C63"/>
              </w:rPr>
              <w:t>3 +</w:t>
            </w:r>
          </w:p>
        </w:tc>
        <w:tc>
          <w:tcPr>
            <w:tcW w:w="0" w:type="dxa"/>
            <w:vAlign w:val="bottom"/>
          </w:tcPr>
          <w:p>
            <w:pPr>
              <w:spacing w:after="0"/>
              <w:rPr>
                <w:sz w:val="1"/>
                <w:szCs w:val="1"/>
                <w:color w:val="auto"/>
              </w:rPr>
            </w:pPr>
          </w:p>
        </w:tc>
      </w:tr>
      <w:tr>
        <w:trPr>
          <w:trHeight w:val="201"/>
        </w:trPr>
        <w:tc>
          <w:tcPr>
            <w:tcW w:w="3400" w:type="dxa"/>
            <w:vAlign w:val="bottom"/>
          </w:tcPr>
          <w:p>
            <w:pPr>
              <w:spacing w:after="0"/>
              <w:rPr>
                <w:sz w:val="20"/>
                <w:szCs w:val="20"/>
                <w:color w:val="auto"/>
              </w:rPr>
            </w:pPr>
            <w:r>
              <w:rPr>
                <w:rFonts w:ascii="Arial" w:cs="Arial" w:eastAsia="Arial" w:hAnsi="Arial"/>
                <w:sz w:val="14"/>
                <w:szCs w:val="14"/>
                <w:i w:val="1"/>
                <w:iCs w:val="1"/>
                <w:color w:val="FFFFFF"/>
              </w:rPr>
              <w:t>Eastman Chemical Company</w:t>
            </w: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00" w:type="dxa"/>
            <w:vAlign w:val="bottom"/>
            <w:vMerge w:val="restart"/>
          </w:tcPr>
          <w:p>
            <w:pPr>
              <w:spacing w:after="0"/>
              <w:rPr>
                <w:sz w:val="20"/>
                <w:szCs w:val="20"/>
                <w:color w:val="auto"/>
              </w:rPr>
            </w:pPr>
            <w:r>
              <w:rPr>
                <w:rFonts w:ascii="Arial" w:cs="Arial" w:eastAsia="Arial" w:hAnsi="Arial"/>
                <w:sz w:val="20"/>
                <w:szCs w:val="20"/>
                <w:b w:val="1"/>
                <w:bCs w:val="1"/>
                <w:color w:val="003C63"/>
              </w:rPr>
              <w:t xml:space="preserve">Carol Anthony (John) Davidson </w:t>
            </w:r>
            <w:r>
              <w:rPr>
                <w:rFonts w:ascii="Arial" w:cs="Arial" w:eastAsia="Arial" w:hAnsi="Arial"/>
                <w:sz w:val="11"/>
                <w:szCs w:val="11"/>
                <w:b w:val="1"/>
                <w:bCs w:val="1"/>
                <w:color w:val="003C63"/>
              </w:rPr>
              <w:t>1</w:t>
            </w:r>
          </w:p>
        </w:tc>
        <w:tc>
          <w:tcPr>
            <w:tcW w:w="3360" w:type="dxa"/>
            <w:vAlign w:val="bottom"/>
          </w:tcPr>
          <w:p>
            <w:pPr>
              <w:ind w:left="180"/>
              <w:spacing w:after="0"/>
              <w:rPr>
                <w:sz w:val="20"/>
                <w:szCs w:val="20"/>
                <w:color w:val="auto"/>
              </w:rPr>
            </w:pPr>
            <w:r>
              <w:rPr>
                <w:rFonts w:ascii="Arial" w:cs="Arial" w:eastAsia="Arial" w:hAnsi="Arial"/>
                <w:sz w:val="14"/>
                <w:szCs w:val="14"/>
                <w:color w:val="FFFFFF"/>
              </w:rPr>
              <w:t>Founding Partner</w:t>
            </w:r>
          </w:p>
        </w:tc>
        <w:tc>
          <w:tcPr>
            <w:tcW w:w="0" w:type="dxa"/>
            <w:vAlign w:val="bottom"/>
          </w:tcPr>
          <w:p>
            <w:pPr>
              <w:spacing w:after="0"/>
              <w:rPr>
                <w:sz w:val="1"/>
                <w:szCs w:val="1"/>
                <w:color w:val="auto"/>
              </w:rPr>
            </w:pPr>
          </w:p>
        </w:tc>
      </w:tr>
      <w:tr>
        <w:trPr>
          <w:trHeight w:val="226"/>
        </w:trPr>
        <w:tc>
          <w:tcPr>
            <w:tcW w:w="3400" w:type="dxa"/>
            <w:vAlign w:val="bottom"/>
            <w:vMerge w:val="continue"/>
          </w:tcPr>
          <w:p>
            <w:pPr>
              <w:spacing w:after="0"/>
              <w:rPr>
                <w:sz w:val="19"/>
                <w:szCs w:val="19"/>
                <w:color w:val="auto"/>
              </w:rPr>
            </w:pPr>
          </w:p>
        </w:tc>
        <w:tc>
          <w:tcPr>
            <w:tcW w:w="3360" w:type="dxa"/>
            <w:vAlign w:val="bottom"/>
          </w:tcPr>
          <w:p>
            <w:pPr>
              <w:ind w:left="180"/>
              <w:spacing w:after="0"/>
              <w:rPr>
                <w:sz w:val="20"/>
                <w:szCs w:val="20"/>
                <w:color w:val="auto"/>
              </w:rPr>
            </w:pPr>
            <w:r>
              <w:rPr>
                <w:rFonts w:ascii="Arial" w:cs="Arial" w:eastAsia="Arial" w:hAnsi="Arial"/>
                <w:sz w:val="14"/>
                <w:szCs w:val="14"/>
                <w:i w:val="1"/>
                <w:iCs w:val="1"/>
                <w:color w:val="FFFFFF"/>
              </w:rPr>
              <w:t>Twin Ridge Capital Management</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20"/>
                <w:szCs w:val="20"/>
                <w:color w:val="auto"/>
              </w:rPr>
            </w:pPr>
            <w:r>
              <w:rPr>
                <w:rFonts w:ascii="Arial" w:cs="Arial" w:eastAsia="Arial" w:hAnsi="Arial"/>
                <w:sz w:val="14"/>
                <w:szCs w:val="14"/>
                <w:color w:val="FFFFFF"/>
              </w:rPr>
              <w:t>Former Senior Vice President,</w:t>
            </w:r>
          </w:p>
        </w:tc>
        <w:tc>
          <w:tcPr>
            <w:tcW w:w="3360" w:type="dxa"/>
            <w:vAlign w:val="bottom"/>
            <w:vMerge w:val="restart"/>
          </w:tcPr>
          <w:p>
            <w:pPr>
              <w:ind w:left="180"/>
              <w:spacing w:after="0"/>
              <w:rPr>
                <w:sz w:val="20"/>
                <w:szCs w:val="20"/>
                <w:color w:val="auto"/>
              </w:rPr>
            </w:pPr>
            <w:r>
              <w:rPr>
                <w:rFonts w:ascii="Arial" w:cs="Arial" w:eastAsia="Arial" w:hAnsi="Arial"/>
                <w:sz w:val="20"/>
                <w:szCs w:val="20"/>
                <w:b w:val="1"/>
                <w:bCs w:val="1"/>
                <w:color w:val="003C63"/>
              </w:rPr>
              <w:t xml:space="preserve">Stephen Williamson </w:t>
            </w:r>
            <w:r>
              <w:rPr>
                <w:rFonts w:ascii="Arial" w:cs="Arial" w:eastAsia="Arial" w:hAnsi="Arial"/>
                <w:sz w:val="11"/>
                <w:szCs w:val="11"/>
                <w:b w:val="1"/>
                <w:bCs w:val="1"/>
                <w:color w:val="003C63"/>
              </w:rPr>
              <w:t>1</w:t>
            </w:r>
          </w:p>
        </w:tc>
        <w:tc>
          <w:tcPr>
            <w:tcW w:w="0" w:type="dxa"/>
            <w:vAlign w:val="bottom"/>
          </w:tcPr>
          <w:p>
            <w:pPr>
              <w:spacing w:after="0"/>
              <w:rPr>
                <w:sz w:val="1"/>
                <w:szCs w:val="1"/>
                <w:color w:val="auto"/>
              </w:rPr>
            </w:pPr>
          </w:p>
        </w:tc>
      </w:tr>
      <w:tr>
        <w:trPr>
          <w:trHeight w:val="193"/>
        </w:trPr>
        <w:tc>
          <w:tcPr>
            <w:tcW w:w="3400" w:type="dxa"/>
            <w:vAlign w:val="bottom"/>
          </w:tcPr>
          <w:p>
            <w:pPr>
              <w:spacing w:after="0"/>
              <w:rPr>
                <w:sz w:val="20"/>
                <w:szCs w:val="20"/>
                <w:color w:val="auto"/>
              </w:rPr>
            </w:pPr>
            <w:r>
              <w:rPr>
                <w:rFonts w:ascii="Arial" w:cs="Arial" w:eastAsia="Arial" w:hAnsi="Arial"/>
                <w:sz w:val="14"/>
                <w:szCs w:val="14"/>
                <w:color w:val="FFFFFF"/>
              </w:rPr>
              <w:t>Controller and Chief Accounting Officer</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20"/>
                <w:szCs w:val="20"/>
                <w:color w:val="auto"/>
              </w:rPr>
            </w:pPr>
            <w:r>
              <w:rPr>
                <w:rFonts w:ascii="Arial" w:cs="Arial" w:eastAsia="Arial" w:hAnsi="Arial"/>
                <w:sz w:val="14"/>
                <w:szCs w:val="14"/>
                <w:i w:val="1"/>
                <w:iCs w:val="1"/>
                <w:color w:val="FFFFFF"/>
              </w:rPr>
              <w:t>Tyco International Ltd.</w:t>
            </w:r>
          </w:p>
        </w:tc>
        <w:tc>
          <w:tcPr>
            <w:tcW w:w="3360" w:type="dxa"/>
            <w:vAlign w:val="bottom"/>
          </w:tcPr>
          <w:p>
            <w:pPr>
              <w:ind w:left="180"/>
              <w:spacing w:after="0"/>
              <w:rPr>
                <w:sz w:val="20"/>
                <w:szCs w:val="20"/>
                <w:color w:val="auto"/>
              </w:rPr>
            </w:pPr>
            <w:r>
              <w:rPr>
                <w:rFonts w:ascii="Arial" w:cs="Arial" w:eastAsia="Arial" w:hAnsi="Arial"/>
                <w:sz w:val="14"/>
                <w:szCs w:val="14"/>
                <w:color w:val="FFFFFF"/>
              </w:rPr>
              <w:t>Senior Vice President and Chief Financial Officer</w:t>
            </w: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3360" w:type="dxa"/>
            <w:vAlign w:val="bottom"/>
          </w:tcPr>
          <w:p>
            <w:pPr>
              <w:ind w:left="180"/>
              <w:spacing w:after="0"/>
              <w:rPr>
                <w:sz w:val="20"/>
                <w:szCs w:val="20"/>
                <w:color w:val="auto"/>
              </w:rPr>
            </w:pPr>
            <w:r>
              <w:rPr>
                <w:rFonts w:ascii="Arial" w:cs="Arial" w:eastAsia="Arial" w:hAnsi="Arial"/>
                <w:sz w:val="14"/>
                <w:szCs w:val="14"/>
                <w:i w:val="1"/>
                <w:iCs w:val="1"/>
                <w:color w:val="FFFFFF"/>
              </w:rPr>
              <w:t>Thermo Fisher Scientific</w:t>
            </w:r>
          </w:p>
        </w:tc>
        <w:tc>
          <w:tcPr>
            <w:tcW w:w="0" w:type="dxa"/>
            <w:vAlign w:val="bottom"/>
          </w:tcPr>
          <w:p>
            <w:pPr>
              <w:spacing w:after="0"/>
              <w:rPr>
                <w:sz w:val="1"/>
                <w:szCs w:val="1"/>
                <w:color w:val="auto"/>
              </w:rPr>
            </w:pPr>
          </w:p>
        </w:tc>
      </w:tr>
      <w:tr>
        <w:trPr>
          <w:trHeight w:val="440"/>
        </w:trPr>
        <w:tc>
          <w:tcPr>
            <w:tcW w:w="3400" w:type="dxa"/>
            <w:vAlign w:val="bottom"/>
          </w:tcPr>
          <w:p>
            <w:pPr>
              <w:spacing w:after="0"/>
              <w:rPr>
                <w:sz w:val="24"/>
                <w:szCs w:val="24"/>
                <w:color w:val="auto"/>
              </w:rPr>
            </w:pPr>
          </w:p>
        </w:tc>
        <w:tc>
          <w:tcPr>
            <w:tcW w:w="3360" w:type="dxa"/>
            <w:vAlign w:val="bottom"/>
          </w:tcPr>
          <w:p>
            <w:pPr>
              <w:ind w:left="180"/>
              <w:spacing w:after="0"/>
              <w:rPr>
                <w:sz w:val="20"/>
                <w:szCs w:val="20"/>
                <w:color w:val="auto"/>
              </w:rPr>
            </w:pPr>
            <w:r>
              <w:rPr>
                <w:rFonts w:ascii="Arial" w:cs="Arial" w:eastAsia="Arial" w:hAnsi="Arial"/>
                <w:sz w:val="20"/>
                <w:szCs w:val="20"/>
                <w:b w:val="1"/>
                <w:bCs w:val="1"/>
                <w:color w:val="003C63"/>
              </w:rPr>
              <w:t xml:space="preserve">Dawn C. Willoughby </w:t>
            </w:r>
            <w:r>
              <w:rPr>
                <w:rFonts w:ascii="Arial" w:cs="Arial" w:eastAsia="Arial" w:hAnsi="Arial"/>
                <w:sz w:val="11"/>
                <w:szCs w:val="11"/>
                <w:b w:val="1"/>
                <w:bCs w:val="1"/>
                <w:color w:val="003C63"/>
              </w:rPr>
              <w:t>2, 3</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3360" w:type="dxa"/>
            <w:vAlign w:val="bottom"/>
          </w:tcPr>
          <w:p>
            <w:pPr>
              <w:ind w:left="180"/>
              <w:spacing w:after="0"/>
              <w:rPr>
                <w:sz w:val="20"/>
                <w:szCs w:val="20"/>
                <w:color w:val="auto"/>
              </w:rPr>
            </w:pPr>
            <w:r>
              <w:rPr>
                <w:rFonts w:ascii="Arial" w:cs="Arial" w:eastAsia="Arial" w:hAnsi="Arial"/>
                <w:sz w:val="14"/>
                <w:szCs w:val="14"/>
                <w:color w:val="FFFFFF"/>
              </w:rPr>
              <w:t>Former Executive Vice President</w:t>
            </w: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3360" w:type="dxa"/>
            <w:vAlign w:val="bottom"/>
          </w:tcPr>
          <w:p>
            <w:pPr>
              <w:ind w:left="180"/>
              <w:spacing w:after="0"/>
              <w:rPr>
                <w:sz w:val="20"/>
                <w:szCs w:val="20"/>
                <w:color w:val="auto"/>
              </w:rPr>
            </w:pPr>
            <w:r>
              <w:rPr>
                <w:rFonts w:ascii="Arial" w:cs="Arial" w:eastAsia="Arial" w:hAnsi="Arial"/>
                <w:sz w:val="14"/>
                <w:szCs w:val="14"/>
                <w:color w:val="FFFFFF"/>
              </w:rPr>
              <w:t>and Chief Operating Officer</w:t>
            </w:r>
          </w:p>
        </w:tc>
        <w:tc>
          <w:tcPr>
            <w:tcW w:w="0" w:type="dxa"/>
            <w:vAlign w:val="bottom"/>
          </w:tcPr>
          <w:p>
            <w:pPr>
              <w:spacing w:after="0"/>
              <w:rPr>
                <w:sz w:val="1"/>
                <w:szCs w:val="1"/>
                <w:color w:val="auto"/>
              </w:rPr>
            </w:pPr>
          </w:p>
        </w:tc>
      </w:tr>
      <w:tr>
        <w:trPr>
          <w:trHeight w:val="178"/>
        </w:trPr>
        <w:tc>
          <w:tcPr>
            <w:tcW w:w="3400" w:type="dxa"/>
            <w:vAlign w:val="bottom"/>
          </w:tcPr>
          <w:p>
            <w:pPr>
              <w:spacing w:after="0"/>
              <w:rPr>
                <w:sz w:val="15"/>
                <w:szCs w:val="15"/>
                <w:color w:val="auto"/>
              </w:rPr>
            </w:pPr>
          </w:p>
        </w:tc>
        <w:tc>
          <w:tcPr>
            <w:tcW w:w="3360" w:type="dxa"/>
            <w:vAlign w:val="bottom"/>
          </w:tcPr>
          <w:p>
            <w:pPr>
              <w:ind w:left="180"/>
              <w:spacing w:after="0"/>
              <w:rPr>
                <w:sz w:val="20"/>
                <w:szCs w:val="20"/>
                <w:color w:val="auto"/>
              </w:rPr>
            </w:pPr>
            <w:r>
              <w:rPr>
                <w:rFonts w:ascii="Arial" w:cs="Arial" w:eastAsia="Arial" w:hAnsi="Arial"/>
                <w:sz w:val="14"/>
                <w:szCs w:val="14"/>
                <w:i w:val="1"/>
                <w:iCs w:val="1"/>
                <w:color w:val="FFFFFF"/>
              </w:rPr>
              <w:t>The Clorox Company</w:t>
            </w:r>
          </w:p>
        </w:tc>
        <w:tc>
          <w:tcPr>
            <w:tcW w:w="0" w:type="dxa"/>
            <w:vAlign w:val="bottom"/>
          </w:tcPr>
          <w:p>
            <w:pPr>
              <w:spacing w:after="0"/>
              <w:rPr>
                <w:sz w:val="1"/>
                <w:szCs w:val="1"/>
                <w:color w:val="auto"/>
              </w:rPr>
            </w:pPr>
          </w:p>
        </w:tc>
      </w:tr>
      <w:tr>
        <w:trPr>
          <w:trHeight w:val="380"/>
        </w:trPr>
        <w:tc>
          <w:tcPr>
            <w:tcW w:w="3400" w:type="dxa"/>
            <w:vAlign w:val="bottom"/>
          </w:tcPr>
          <w:p>
            <w:pPr>
              <w:spacing w:after="0"/>
              <w:rPr>
                <w:sz w:val="24"/>
                <w:szCs w:val="24"/>
                <w:color w:val="auto"/>
              </w:rPr>
            </w:pPr>
          </w:p>
        </w:tc>
        <w:tc>
          <w:tcPr>
            <w:tcW w:w="3360" w:type="dxa"/>
            <w:vAlign w:val="bottom"/>
          </w:tcPr>
          <w:p>
            <w:pPr>
              <w:ind w:left="220"/>
              <w:spacing w:after="0"/>
              <w:rPr>
                <w:sz w:val="20"/>
                <w:szCs w:val="20"/>
                <w:color w:val="auto"/>
              </w:rPr>
            </w:pPr>
            <w:r>
              <w:rPr>
                <w:rFonts w:ascii="Arial" w:cs="Arial" w:eastAsia="Arial" w:hAnsi="Arial"/>
                <w:sz w:val="10"/>
                <w:szCs w:val="10"/>
                <w:color w:val="FFFFFF"/>
              </w:rPr>
              <w:t xml:space="preserve">1 </w:t>
            </w:r>
            <w:r>
              <w:rPr>
                <w:rFonts w:ascii="Arial" w:cs="Arial" w:eastAsia="Arial" w:hAnsi="Arial"/>
                <w:sz w:val="14"/>
                <w:szCs w:val="14"/>
                <w:color w:val="FFFFFF"/>
              </w:rPr>
              <w:t>Audit Committee</w:t>
            </w: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3360" w:type="dxa"/>
            <w:vAlign w:val="bottom"/>
          </w:tcPr>
          <w:p>
            <w:pPr>
              <w:ind w:left="220"/>
              <w:spacing w:after="0"/>
              <w:rPr>
                <w:sz w:val="20"/>
                <w:szCs w:val="20"/>
                <w:color w:val="auto"/>
              </w:rPr>
            </w:pPr>
            <w:r>
              <w:rPr>
                <w:rFonts w:ascii="Arial" w:cs="Arial" w:eastAsia="Arial" w:hAnsi="Arial"/>
                <w:sz w:val="10"/>
                <w:szCs w:val="10"/>
                <w:color w:val="FFFFFF"/>
              </w:rPr>
              <w:t xml:space="preserve">2 </w:t>
            </w:r>
            <w:r>
              <w:rPr>
                <w:rFonts w:ascii="Arial" w:cs="Arial" w:eastAsia="Arial" w:hAnsi="Arial"/>
                <w:sz w:val="14"/>
                <w:szCs w:val="14"/>
                <w:color w:val="FFFFFF"/>
              </w:rPr>
              <w:t>Human Capital and Compensation Committee</w:t>
            </w: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3360" w:type="dxa"/>
            <w:vAlign w:val="bottom"/>
          </w:tcPr>
          <w:p>
            <w:pPr>
              <w:ind w:left="220"/>
              <w:spacing w:after="0"/>
              <w:rPr>
                <w:sz w:val="20"/>
                <w:szCs w:val="20"/>
                <w:color w:val="auto"/>
              </w:rPr>
            </w:pPr>
            <w:r>
              <w:rPr>
                <w:rFonts w:ascii="Arial" w:cs="Arial" w:eastAsia="Arial" w:hAnsi="Arial"/>
                <w:sz w:val="10"/>
                <w:szCs w:val="10"/>
                <w:color w:val="FFFFFF"/>
              </w:rPr>
              <w:t xml:space="preserve">3 </w:t>
            </w:r>
            <w:r>
              <w:rPr>
                <w:rFonts w:ascii="Arial" w:cs="Arial" w:eastAsia="Arial" w:hAnsi="Arial"/>
                <w:sz w:val="14"/>
                <w:szCs w:val="14"/>
                <w:color w:val="FFFFFF"/>
              </w:rPr>
              <w:t>Nominating and Governance Committee</w:t>
            </w: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3360" w:type="dxa"/>
            <w:vAlign w:val="bottom"/>
          </w:tcPr>
          <w:p>
            <w:pPr>
              <w:ind w:left="220"/>
              <w:spacing w:after="0"/>
              <w:rPr>
                <w:sz w:val="20"/>
                <w:szCs w:val="20"/>
                <w:color w:val="auto"/>
              </w:rPr>
            </w:pPr>
            <w:r>
              <w:rPr>
                <w:rFonts w:ascii="Arial" w:cs="Arial" w:eastAsia="Arial" w:hAnsi="Arial"/>
                <w:sz w:val="10"/>
                <w:szCs w:val="10"/>
                <w:color w:val="FFFFFF"/>
              </w:rPr>
              <w:t xml:space="preserve">4 </w:t>
            </w:r>
            <w:r>
              <w:rPr>
                <w:rFonts w:ascii="Arial" w:cs="Arial" w:eastAsia="Arial" w:hAnsi="Arial"/>
                <w:sz w:val="14"/>
                <w:szCs w:val="14"/>
                <w:color w:val="FFFFFF"/>
              </w:rPr>
              <w:t>Innovation and Sustainability Committee</w:t>
            </w:r>
          </w:p>
        </w:tc>
        <w:tc>
          <w:tcPr>
            <w:tcW w:w="0" w:type="dxa"/>
            <w:vAlign w:val="bottom"/>
          </w:tcPr>
          <w:p>
            <w:pPr>
              <w:spacing w:after="0"/>
              <w:rPr>
                <w:sz w:val="1"/>
                <w:szCs w:val="1"/>
                <w:color w:val="auto"/>
              </w:rPr>
            </w:pPr>
          </w:p>
        </w:tc>
      </w:tr>
      <w:tr>
        <w:trPr>
          <w:trHeight w:val="205"/>
        </w:trPr>
        <w:tc>
          <w:tcPr>
            <w:tcW w:w="3400" w:type="dxa"/>
            <w:vAlign w:val="bottom"/>
          </w:tcPr>
          <w:p>
            <w:pPr>
              <w:spacing w:after="0"/>
              <w:rPr>
                <w:sz w:val="17"/>
                <w:szCs w:val="17"/>
                <w:color w:val="auto"/>
              </w:rPr>
            </w:pPr>
          </w:p>
        </w:tc>
        <w:tc>
          <w:tcPr>
            <w:tcW w:w="3360" w:type="dxa"/>
            <w:vAlign w:val="bottom"/>
          </w:tcPr>
          <w:p>
            <w:pPr>
              <w:ind w:left="220"/>
              <w:spacing w:after="0"/>
              <w:rPr>
                <w:sz w:val="20"/>
                <w:szCs w:val="20"/>
                <w:color w:val="auto"/>
              </w:rPr>
            </w:pPr>
            <w:r>
              <w:rPr>
                <w:rFonts w:ascii="Arial" w:cs="Arial" w:eastAsia="Arial" w:hAnsi="Arial"/>
                <w:sz w:val="13"/>
                <w:szCs w:val="13"/>
                <w:color w:val="FFFFFF"/>
              </w:rPr>
              <w:t xml:space="preserve">* </w:t>
            </w:r>
            <w:r>
              <w:rPr>
                <w:rFonts w:ascii="Arial" w:cs="Arial" w:eastAsia="Arial" w:hAnsi="Arial"/>
                <w:sz w:val="14"/>
                <w:szCs w:val="14"/>
                <w:color w:val="FFFFFF"/>
              </w:rPr>
              <w:t>Indicates Chair</w:t>
            </w:r>
          </w:p>
        </w:tc>
        <w:tc>
          <w:tcPr>
            <w:tcW w:w="0" w:type="dxa"/>
            <w:vAlign w:val="bottom"/>
          </w:tcPr>
          <w:p>
            <w:pPr>
              <w:spacing w:after="0"/>
              <w:rPr>
                <w:sz w:val="1"/>
                <w:szCs w:val="1"/>
                <w:color w:val="auto"/>
              </w:rPr>
            </w:pPr>
          </w:p>
        </w:tc>
      </w:tr>
      <w:tr>
        <w:trPr>
          <w:trHeight w:val="319"/>
        </w:trPr>
        <w:tc>
          <w:tcPr>
            <w:tcW w:w="3400" w:type="dxa"/>
            <w:vAlign w:val="bottom"/>
          </w:tcPr>
          <w:p>
            <w:pPr>
              <w:spacing w:after="0"/>
              <w:rPr>
                <w:sz w:val="24"/>
                <w:szCs w:val="24"/>
                <w:color w:val="auto"/>
              </w:rPr>
            </w:pPr>
          </w:p>
        </w:tc>
        <w:tc>
          <w:tcPr>
            <w:tcW w:w="3360" w:type="dxa"/>
            <w:vAlign w:val="bottom"/>
          </w:tcPr>
          <w:p>
            <w:pPr>
              <w:ind w:left="220"/>
              <w:spacing w:after="0"/>
              <w:rPr>
                <w:sz w:val="20"/>
                <w:szCs w:val="20"/>
                <w:color w:val="auto"/>
              </w:rPr>
            </w:pPr>
            <w:r>
              <w:rPr>
                <w:rFonts w:ascii="Arial" w:cs="Arial" w:eastAsia="Arial" w:hAnsi="Arial"/>
                <w:sz w:val="23"/>
                <w:szCs w:val="23"/>
                <w:color w:val="FFFFFF"/>
                <w:vertAlign w:val="superscript"/>
              </w:rPr>
              <w:t>+</w:t>
            </w:r>
            <w:r>
              <w:rPr>
                <w:rFonts w:ascii="Arial" w:cs="Arial" w:eastAsia="Arial" w:hAnsi="Arial"/>
                <w:sz w:val="14"/>
                <w:szCs w:val="14"/>
                <w:color w:val="FFFFFF"/>
              </w:rPr>
              <w:t xml:space="preserve"> Chair of the Board</w:t>
            </w:r>
          </w:p>
        </w:tc>
        <w:tc>
          <w:tcPr>
            <w:tcW w:w="0" w:type="dxa"/>
            <w:vAlign w:val="bottom"/>
          </w:tcPr>
          <w:p>
            <w:pPr>
              <w:spacing w:after="0"/>
              <w:rPr>
                <w:sz w:val="1"/>
                <w:szCs w:val="1"/>
                <w:color w:val="auto"/>
              </w:rPr>
            </w:pPr>
          </w:p>
        </w:tc>
      </w:tr>
      <w:tr>
        <w:trPr>
          <w:trHeight w:val="154"/>
        </w:trPr>
        <w:tc>
          <w:tcPr>
            <w:tcW w:w="3400" w:type="dxa"/>
            <w:vAlign w:val="bottom"/>
          </w:tcPr>
          <w:p>
            <w:pPr>
              <w:spacing w:after="0"/>
              <w:rPr>
                <w:sz w:val="13"/>
                <w:szCs w:val="13"/>
                <w:color w:val="auto"/>
              </w:rPr>
            </w:pPr>
          </w:p>
        </w:tc>
        <w:tc>
          <w:tcPr>
            <w:tcW w:w="3360" w:type="dxa"/>
            <w:vAlign w:val="bottom"/>
          </w:tcPr>
          <w:p>
            <w:pPr>
              <w:ind w:left="220"/>
              <w:spacing w:after="0"/>
              <w:rPr>
                <w:sz w:val="20"/>
                <w:szCs w:val="20"/>
                <w:color w:val="auto"/>
              </w:rPr>
            </w:pPr>
            <w:r>
              <w:rPr>
                <w:rFonts w:ascii="Arial" w:cs="Arial" w:eastAsia="Arial" w:hAnsi="Arial"/>
                <w:sz w:val="13"/>
                <w:szCs w:val="13"/>
                <w:i w:val="1"/>
                <w:iCs w:val="1"/>
                <w:color w:val="FFFFFF"/>
              </w:rPr>
              <w:t>Information as of February 8, 2023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003C63"/>
        </w:rPr>
        <w:t>Design by Liquid Creative, Inc. www.lqcreative.com</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003C63"/>
        </w:rPr>
        <w:t>© 2023 International Flavors &amp; Fragrances Inc.</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003C63"/>
        </w:rPr>
        <w:t>All rights reserved.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FFFFFF"/>
        </w:rPr>
        <w:t>LEADERSHIP TEAM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Frank Clyburn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Deborah Borg</w:t>
      </w:r>
    </w:p>
    <w:p>
      <w:pPr>
        <w:spacing w:after="0" w:line="36" w:lineRule="exact"/>
        <w:rPr>
          <w:sz w:val="20"/>
          <w:szCs w:val="20"/>
          <w:color w:val="auto"/>
        </w:rPr>
      </w:pPr>
    </w:p>
    <w:p>
      <w:pPr>
        <w:ind w:right="520"/>
        <w:spacing w:after="0" w:line="273" w:lineRule="auto"/>
        <w:rPr>
          <w:sz w:val="20"/>
          <w:szCs w:val="20"/>
          <w:color w:val="auto"/>
        </w:rPr>
      </w:pPr>
      <w:r>
        <w:rPr>
          <w:rFonts w:ascii="Arial" w:cs="Arial" w:eastAsia="Arial" w:hAnsi="Arial"/>
          <w:sz w:val="14"/>
          <w:szCs w:val="14"/>
          <w:color w:val="FFFFFF"/>
        </w:rPr>
        <w:t>Executive Vice President, Chief Human Resources, Diversity &amp; Inclusion and Communications Officer</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Michael DeVeau</w:t>
      </w:r>
    </w:p>
    <w:p>
      <w:pPr>
        <w:spacing w:after="0" w:line="36"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color w:val="FFFFFF"/>
        </w:rPr>
        <w:t>Senior Vice President, Corporate Finance and Investor Relations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Ralf Finzel</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Executive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Global Operations Officer</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003C63"/>
        </w:rPr>
        <w:t>Christophe Fauchon de Villeplee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FFFFFF"/>
        </w:rPr>
        <w:t>President, Scent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Simon Herriott</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President, Health &amp; Biosciences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Jennifer Johnson</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Executive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General Counsel &amp; Corporate Secretary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Glenn Richter</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Executive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Angela Strzelecki</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President, Pharma Solutions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Ana Paula Teles de Mendonça</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Senior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Commercial Excellence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Vic Verma</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FFFFFF"/>
        </w:rPr>
        <w:t>Executive Vice President,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FFFFFF"/>
        </w:rPr>
        <w:t>Chief Information Officer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C63"/>
        </w:rPr>
        <w:t>Gregory Yep</w:t>
      </w:r>
    </w:p>
    <w:p>
      <w:pPr>
        <w:spacing w:after="0" w:line="36" w:lineRule="exact"/>
        <w:rPr>
          <w:sz w:val="20"/>
          <w:szCs w:val="20"/>
          <w:color w:val="auto"/>
        </w:rPr>
      </w:pPr>
    </w:p>
    <w:p>
      <w:pPr>
        <w:ind w:right="980"/>
        <w:spacing w:after="0" w:line="271" w:lineRule="auto"/>
        <w:rPr>
          <w:sz w:val="20"/>
          <w:szCs w:val="20"/>
          <w:color w:val="auto"/>
        </w:rPr>
      </w:pPr>
      <w:r>
        <w:rPr>
          <w:rFonts w:ascii="Arial" w:cs="Arial" w:eastAsia="Arial" w:hAnsi="Arial"/>
          <w:sz w:val="14"/>
          <w:szCs w:val="14"/>
          <w:color w:val="FFFFFF"/>
        </w:rPr>
        <w:t>Executive Vice President, Chief Research &amp; Development, Global Integrated Solutions &amp; Sustainability Officer</w:t>
      </w:r>
    </w:p>
    <w:p>
      <w:pPr>
        <w:sectPr>
          <w:pgSz w:w="11880" w:h="15480" w:orient="portrait"/>
          <w:cols w:equalWidth="0" w:num="2">
            <w:col w:w="6760" w:space="460"/>
            <w:col w:w="3040"/>
          </w:cols>
          <w:pgMar w:left="980" w:top="1007" w:right="640"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854710</wp:posOffset>
            </wp:positionH>
            <wp:positionV relativeFrom="page">
              <wp:posOffset>7527290</wp:posOffset>
            </wp:positionV>
            <wp:extent cx="746760" cy="544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
                      <a:extLst>
                        <a:ext uri="{28A0092B-C50C-407E-A947-70E740481C1C}"/>
                      </a:extLst>
                    </a:blip>
                    <a:srcRect/>
                    <a:stretch>
                      <a:fillRect/>
                    </a:stretch>
                  </pic:blipFill>
                  <pic:spPr bwMode="auto">
                    <a:xfrm>
                      <a:off x="0" y="0"/>
                      <a:ext cx="746760" cy="54419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2440305" cy="4855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
                      <a:extLst>
                        <a:ext uri="{28A0092B-C50C-407E-A947-70E740481C1C}"/>
                      </a:extLst>
                    </a:blip>
                    <a:srcRect/>
                    <a:stretch>
                      <a:fillRect/>
                    </a:stretch>
                  </pic:blipFill>
                  <pic:spPr bwMode="auto">
                    <a:xfrm>
                      <a:off x="0" y="0"/>
                      <a:ext cx="2440305" cy="485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3C63"/>
        </w:rPr>
        <w:t>INTERNATIONAL FLAVORS &amp; FRAGRANCES INC.</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3C63"/>
        </w:rPr>
        <w:t>GLOBAL HEADQUARTERS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003C63"/>
        </w:rPr>
        <w:t>521 West 57th Street | New York, NY 10019 | 212.765.5500</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003C63"/>
        </w:rPr>
        <w:t>www.iff.com</w:t>
      </w:r>
    </w:p>
    <w:p>
      <w:pPr>
        <w:sectPr>
          <w:pgSz w:w="11880" w:h="15480" w:orient="portrait"/>
          <w:cols w:equalWidth="0" w:num="1">
            <w:col w:w="9100"/>
          </w:cols>
          <w:pgMar w:left="1340" w:top="1440" w:right="1440" w:bottom="233" w:gutter="0" w:footer="0" w:header="0"/>
        </w:sectPr>
      </w:pPr>
    </w:p>
    <w:p>
      <w:pPr>
        <w:spacing w:after="0" w:line="186" w:lineRule="exact"/>
        <w:rPr>
          <w:sz w:val="20"/>
          <w:szCs w:val="20"/>
          <w:color w:val="auto"/>
        </w:rPr>
      </w:pPr>
    </w:p>
    <w:p>
      <w:pPr>
        <w:ind w:right="3740"/>
        <w:spacing w:after="0" w:line="260" w:lineRule="auto"/>
        <w:rPr>
          <w:sz w:val="20"/>
          <w:szCs w:val="20"/>
          <w:color w:val="auto"/>
        </w:rPr>
      </w:pPr>
      <w:r>
        <w:rPr>
          <w:rFonts w:ascii="Arial" w:cs="Arial" w:eastAsia="Arial" w:hAnsi="Arial"/>
          <w:sz w:val="14"/>
          <w:szCs w:val="14"/>
          <w:color w:val="003C63"/>
        </w:rPr>
        <w:t>This report is printed on paper containing post consumer fiber. The paper used in this report is also certified under the Sustainable Forestry Initiative® guidelines.</w:t>
      </w:r>
    </w:p>
    <w:sectPr>
      <w:pgSz w:w="11880" w:h="15480" w:orient="portrait"/>
      <w:cols w:equalWidth="0" w:num="1">
        <w:col w:w="9100"/>
      </w:cols>
      <w:pgMar w:left="1340" w:top="1440" w:right="1440" w:bottom="2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
      <w:numFmt w:val="bullet"/>
      <w:start w:val="1"/>
    </w:lvl>
  </w:abstractNum>
  <w:abstractNum w:abstractNumId="3">
    <w:nsid w:val="2CA88611"/>
    <w:multiLevelType w:val="hybridMultilevel"/>
    <w:lvl w:ilvl="0">
      <w:lvlJc w:val="left"/>
      <w:lvlText w:val="**"/>
      <w:numFmt w:val="bullet"/>
      <w:start w:val="1"/>
    </w:lvl>
    <w:lvl w:ilvl="1">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lowerRoman"/>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amp;"/>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lowerRoman"/>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9"/>
    </w:lvl>
  </w:abstractNum>
  <w:abstractNum w:abstractNumId="39">
    <w:nsid w:val="4B588F54"/>
    <w:multiLevelType w:val="hybridMultilevel"/>
    <w:lvl w:ilvl="0">
      <w:lvlJc w:val="left"/>
      <w:lvlText w:val="(%1)"/>
      <w:numFmt w:val="lowerLetter"/>
      <w:start w:val="12"/>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32"/>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2023-03-23T08:37:03Z</dcterms:created>
  <dcterms:modified xsi:type="dcterms:W3CDTF">2023-03-23T08:37:03Z</dcterms:modified>
</cp:coreProperties>
</file>