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Rule 425 under the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 International Flavors &amp; Fragrances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Companies: International Flavors &amp; Fragrances Inc.; Frutarom Industries Ltd.</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Commission File Number: 1-4858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May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623570</wp:posOffset>
            </wp:positionH>
            <wp:positionV relativeFrom="paragraph">
              <wp:posOffset>83185</wp:posOffset>
            </wp:positionV>
            <wp:extent cx="4485005" cy="6860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85005" cy="6860540"/>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sectPr>
      </w:pPr>
    </w:p>
    <w:bookmarkStart w:id="1" w:name="page2"/>
    <w:bookmarkEnd w:id="1"/>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97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797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38" w:lineRule="exact"/>
        <w:rPr>
          <w:sz w:val="20"/>
          <w:szCs w:val="20"/>
          <w:color w:val="auto"/>
        </w:rPr>
      </w:pPr>
    </w:p>
    <w:p>
      <w:pPr>
        <w:ind w:right="20"/>
        <w:spacing w:after="0" w:line="219" w:lineRule="auto"/>
        <w:rPr>
          <w:sz w:val="20"/>
          <w:szCs w:val="20"/>
          <w:color w:val="auto"/>
        </w:rPr>
      </w:pPr>
      <w:r>
        <w:rPr>
          <w:rFonts w:ascii="Arial" w:cs="Arial" w:eastAsia="Arial" w:hAnsi="Arial"/>
          <w:sz w:val="13"/>
          <w:szCs w:val="13"/>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202" w:lineRule="exact"/>
        <w:rPr>
          <w:sz w:val="20"/>
          <w:szCs w:val="20"/>
          <w:color w:val="auto"/>
        </w:rPr>
      </w:pPr>
    </w:p>
    <w:p>
      <w:pPr>
        <w:spacing w:after="0" w:line="220" w:lineRule="auto"/>
        <w:rPr>
          <w:sz w:val="20"/>
          <w:szCs w:val="20"/>
          <w:color w:val="auto"/>
        </w:rPr>
      </w:pPr>
      <w:r>
        <w:rPr>
          <w:rFonts w:ascii="Arial" w:cs="Arial" w:eastAsia="Arial" w:hAnsi="Arial"/>
          <w:sz w:val="13"/>
          <w:szCs w:val="13"/>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inability to obtain the requisite Frutarom shareholder approval of the transaction,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200" w:lineRule="exact"/>
        <w:rPr>
          <w:sz w:val="20"/>
          <w:szCs w:val="20"/>
          <w:color w:val="auto"/>
        </w:rPr>
      </w:pPr>
    </w:p>
    <w:p>
      <w:pPr>
        <w:ind w:right="300"/>
        <w:spacing w:after="0" w:line="230" w:lineRule="auto"/>
        <w:rPr>
          <w:sz w:val="20"/>
          <w:szCs w:val="20"/>
          <w:color w:val="auto"/>
        </w:rPr>
      </w:pPr>
      <w:r>
        <w:rPr>
          <w:rFonts w:ascii="Arial" w:cs="Arial" w:eastAsia="Arial" w:hAnsi="Arial"/>
          <w:sz w:val="13"/>
          <w:szCs w:val="13"/>
          <w:color w:val="auto"/>
        </w:rPr>
        <w:t>In addition to the factors set forth above, other factors that may affect IFF’s plans, results or stock price are set forth in IFF’s Annual Report on Form 10-K, Quarterly Reports on Form 10-Q and Current Reports on Form 8-K.</w:t>
      </w:r>
    </w:p>
    <w:p>
      <w:pPr>
        <w:spacing w:after="0" w:line="200" w:lineRule="exact"/>
        <w:rPr>
          <w:sz w:val="20"/>
          <w:szCs w:val="20"/>
          <w:color w:val="auto"/>
        </w:rPr>
      </w:pPr>
    </w:p>
    <w:p>
      <w:pPr>
        <w:spacing w:after="0" w:line="230" w:lineRule="auto"/>
        <w:rPr>
          <w:sz w:val="20"/>
          <w:szCs w:val="20"/>
          <w:color w:val="auto"/>
        </w:rPr>
      </w:pPr>
      <w:r>
        <w:rPr>
          <w:rFonts w:ascii="Arial" w:cs="Arial" w:eastAsia="Arial" w:hAnsi="Arial"/>
          <w:sz w:val="13"/>
          <w:szCs w:val="13"/>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NO OFFER OR SOLICITATION</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IFF will file with the SEC a registration statement on Form S-4 that will include a proxy statement of Frutarom that also constitutes a prospectus of IFF. INVESTORS AND SECURITY HOLDERS OF FRUTAROM ARE URGED TO READ THE DEFINITIVE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(when available) and other documents filed with the SEC by the parties through the website maintained by the SEC at http://www.sec.gov. Copies of the documents filed with the SEC by IFF will be available free of charge on IFF’s internet website at ir.iff.com.</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2019-12-05T06:48:40Z</dcterms:created>
  <dcterms:modified xsi:type="dcterms:W3CDTF">2019-12-05T06:48:40Z</dcterms:modified>
</cp:coreProperties>
</file>