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Filing pursuant to Rule 425 under the</w:t>
      </w:r>
    </w:p>
    <w:p>
      <w:pPr>
        <w:jc w:val="right"/>
        <w:spacing w:after="0" w:line="238" w:lineRule="auto"/>
        <w:rPr>
          <w:sz w:val="20"/>
          <w:szCs w:val="20"/>
          <w:color w:val="auto"/>
        </w:rPr>
      </w:pPr>
      <w:r>
        <w:rPr>
          <w:rFonts w:ascii="Arial" w:cs="Arial" w:eastAsia="Arial" w:hAnsi="Arial"/>
          <w:sz w:val="22"/>
          <w:szCs w:val="22"/>
          <w:color w:val="auto"/>
        </w:rPr>
        <w:t>Securities Act of 1933, as amended</w:t>
      </w:r>
    </w:p>
    <w:p>
      <w:pPr>
        <w:jc w:val="right"/>
        <w:spacing w:after="0" w:line="230" w:lineRule="auto"/>
        <w:rPr>
          <w:sz w:val="20"/>
          <w:szCs w:val="20"/>
          <w:color w:val="auto"/>
        </w:rPr>
      </w:pPr>
      <w:r>
        <w:rPr>
          <w:rFonts w:ascii="Arial" w:cs="Arial" w:eastAsia="Arial" w:hAnsi="Arial"/>
          <w:sz w:val="22"/>
          <w:szCs w:val="22"/>
          <w:color w:val="auto"/>
        </w:rPr>
        <w:t>Filer: International Flavors &amp; Fragrances Inc.</w:t>
      </w:r>
    </w:p>
    <w:p>
      <w:pPr>
        <w:jc w:val="right"/>
        <w:spacing w:after="0" w:line="231" w:lineRule="auto"/>
        <w:rPr>
          <w:sz w:val="20"/>
          <w:szCs w:val="20"/>
          <w:color w:val="auto"/>
        </w:rPr>
      </w:pPr>
      <w:r>
        <w:rPr>
          <w:rFonts w:ascii="Arial" w:cs="Arial" w:eastAsia="Arial" w:hAnsi="Arial"/>
          <w:sz w:val="22"/>
          <w:szCs w:val="22"/>
          <w:color w:val="auto"/>
        </w:rPr>
        <w:t>Subject Companies: International Flavors &amp; Fragrances Inc.; Frutarom Industries Ltd.</w:t>
      </w:r>
    </w:p>
    <w:p>
      <w:pPr>
        <w:jc w:val="right"/>
        <w:spacing w:after="0" w:line="231" w:lineRule="auto"/>
        <w:rPr>
          <w:sz w:val="20"/>
          <w:szCs w:val="20"/>
          <w:color w:val="auto"/>
        </w:rPr>
      </w:pPr>
      <w:r>
        <w:rPr>
          <w:rFonts w:ascii="Arial" w:cs="Arial" w:eastAsia="Arial" w:hAnsi="Arial"/>
          <w:sz w:val="22"/>
          <w:szCs w:val="22"/>
          <w:color w:val="auto"/>
        </w:rPr>
        <w:t>Filer’s Commission File Number: 1-4858</w:t>
      </w:r>
    </w:p>
    <w:p>
      <w:pPr>
        <w:jc w:val="right"/>
        <w:spacing w:after="0"/>
        <w:rPr>
          <w:sz w:val="20"/>
          <w:szCs w:val="20"/>
          <w:color w:val="auto"/>
        </w:rPr>
      </w:pPr>
      <w:r>
        <w:rPr>
          <w:rFonts w:ascii="Arial" w:cs="Arial" w:eastAsia="Arial" w:hAnsi="Arial"/>
          <w:sz w:val="22"/>
          <w:szCs w:val="22"/>
          <w:color w:val="auto"/>
        </w:rPr>
        <w:t>Date: August 15, 2018</w:t>
      </w:r>
    </w:p>
    <w:p>
      <w:pPr>
        <w:spacing w:after="0" w:line="182"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YouTube Post:</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https://www.youtube.com/watch?v=SVtoGR40apw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5436870" cy="4536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6870" cy="45364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Cautionary Statement Regarding Forward Looking Statements</w:t>
      </w:r>
    </w:p>
    <w:p>
      <w:pPr>
        <w:spacing w:after="0" w:line="212" w:lineRule="exact"/>
        <w:rPr>
          <w:sz w:val="24"/>
          <w:szCs w:val="24"/>
          <w:color w:val="auto"/>
        </w:rPr>
      </w:pPr>
    </w:p>
    <w:p>
      <w:pPr>
        <w:jc w:val="both"/>
        <w:spacing w:after="0" w:line="297" w:lineRule="auto"/>
        <w:rPr>
          <w:sz w:val="20"/>
          <w:szCs w:val="20"/>
          <w:color w:val="auto"/>
        </w:rPr>
      </w:pPr>
      <w:r>
        <w:rPr>
          <w:rFonts w:ascii="Arial" w:cs="Arial" w:eastAsia="Arial" w:hAnsi="Arial"/>
          <w:sz w:val="19"/>
          <w:szCs w:val="19"/>
          <w:color w:val="auto"/>
        </w:rPr>
        <w:t>This communication contains forward-looking statements within the meaning of Section 27A of the Securities Act of 1933, as amended, and Section 21E of the Securities Exchange Act of 1934, as amended. All statements regarding IFF’s expected future financial position, results of operations, cash flows, financing plans, business strategy, budgets, capital expenditures,</w:t>
      </w:r>
    </w:p>
    <w:p>
      <w:pPr>
        <w:sectPr>
          <w:pgSz w:w="11900" w:h="16838" w:orient="portrait"/>
          <w:cols w:equalWidth="0" w:num="1">
            <w:col w:w="11020"/>
          </w:cols>
          <w:pgMar w:left="440" w:top="226" w:right="439" w:bottom="1440" w:gutter="0" w:footer="0" w:header="0"/>
        </w:sectPr>
      </w:pPr>
    </w:p>
    <w:bookmarkStart w:id="1" w:name="page2"/>
    <w:bookmarkEnd w:id="1"/>
    <w:p>
      <w:pPr>
        <w:ind w:right="40"/>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competitive positions, growth opportunities, plans and objectives of management and statements containing the words such as “anticipate,” “approximate,” “believe,” “plan,” “estimate,” “expect,” “project,” “could,” “should,” “will,” “intend,” “may” and other similar expressions, are forward-looking statements. Statements in this communication concerning IFF’s business outlook or future economic performance, anticipated profitability, revenues, expenses or other financial items, and product or services line growth, together with other statements that are not historical facts, are forward-looking statements that are estimates reflecting the best judgment of IFF based upon currently available information. Such forward-looking statements are inherently uncertain, and stockholders and other potential investors must recognize that actual results may differ materially from IFF’s expectations as a result of a variety of factors, including, without limitation, those discussed below. Such forward-looking statements are based upon management’s current expectations and include known and unknown risks, uncertainties and other factors, many of which IFF is unable to predict or control, that may cause IFF’s actual results, performance or plans to differ materially from any future results, performance or plans expressed or implied by such forward-looking statements. These statements involve risks, uncertainties and other factors discussed below and detailed from time to time in IFF’s filings with the Securities and Exchange Commission (the “SEC”).</w:t>
      </w:r>
    </w:p>
    <w:p>
      <w:pPr>
        <w:spacing w:after="0" w:line="157"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Risks and uncertainties related to IFF’s proposed acquisition of Frutarom include, but are not limited to, the inability to obtain required regulatory approvals for the acquisition, the timing of obtaining such approvals and the risk that such approvals may result in the imposition of conditions that could adversely affect the combined company or the expected benefits of the acquisition, the risk that a condition to closing of the acquisition may not be satisfied on a timely basis or at all, the failure of the proposed transaction to close for any other reason, uncertainties as to access to available financing (including financing for the acquisition or refinancing of IFF or Frutarom debt) on a timely basis and on reasonable terms, the impact of IFF’s proposed financing on its liquidity and flexibility to respond to other business opportunities, whether the acquisition will have the accretive effect on IFF’s earnings or cash flows that it expects, the inability to obtain, or delays in obtaining, cost savings and synergies from the acquisition, costs and difficulties related to the integration of Frutarom’s businesses and operations with IFF businesses and operations, unexpected costs, liabilities, charges or expenses resulting from the acquisition, adverse effects on IFF’s stock price resulting from the acquisition, the inability to retain key personnel, and potential adverse reactions, changes to business relationships or competitive responses resulting from the acquisition.</w:t>
      </w:r>
    </w:p>
    <w:p>
      <w:pPr>
        <w:spacing w:after="0" w:line="162" w:lineRule="exact"/>
        <w:rPr>
          <w:sz w:val="20"/>
          <w:szCs w:val="20"/>
          <w:color w:val="auto"/>
        </w:rPr>
      </w:pPr>
    </w:p>
    <w:p>
      <w:pPr>
        <w:ind w:right="260"/>
        <w:spacing w:after="0" w:line="274" w:lineRule="auto"/>
        <w:rPr>
          <w:sz w:val="20"/>
          <w:szCs w:val="20"/>
          <w:color w:val="auto"/>
        </w:rPr>
      </w:pPr>
      <w:r>
        <w:rPr>
          <w:rFonts w:ascii="Arial" w:cs="Arial" w:eastAsia="Arial" w:hAnsi="Arial"/>
          <w:sz w:val="21"/>
          <w:szCs w:val="21"/>
          <w:color w:val="auto"/>
        </w:rPr>
        <w:t>In addition to the factors set forth above, other factors that may affect IFF’s plans, results or stock price are set forth in IFF’s Annual Report on Form 10-K, Quarterly Reports on Form 10-Q and Current Reports on Form 8-K.</w:t>
      </w:r>
    </w:p>
    <w:p>
      <w:pPr>
        <w:spacing w:after="0" w:line="151" w:lineRule="exact"/>
        <w:rPr>
          <w:sz w:val="20"/>
          <w:szCs w:val="20"/>
          <w:color w:val="auto"/>
        </w:rPr>
      </w:pPr>
    </w:p>
    <w:p>
      <w:pPr>
        <w:jc w:val="both"/>
        <w:ind w:right="160"/>
        <w:spacing w:after="0" w:line="297" w:lineRule="auto"/>
        <w:rPr>
          <w:sz w:val="20"/>
          <w:szCs w:val="20"/>
          <w:color w:val="auto"/>
        </w:rPr>
      </w:pPr>
      <w:r>
        <w:rPr>
          <w:rFonts w:ascii="Arial" w:cs="Arial" w:eastAsia="Arial" w:hAnsi="Arial"/>
          <w:sz w:val="19"/>
          <w:szCs w:val="19"/>
          <w:color w:val="auto"/>
        </w:rPr>
        <w:t>Many of these factors are beyond IFF’s control and IFF cautions investors that any forward-looking statements made by IFF are not guarantees of future performance. IFF disclaims any obligation to update any such factors or to announce publicly the results of any revisions to any of the forward-looking statements to reflect future events or developments.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Additional Information and Where to Find It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7" w:right="45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 connection with the proposed merger, IFF has filed with the SEC a registration statement on Form S-4 (File No. 333-225728), including Amendment No.1 thereto, that constitutes a prospectus of IFF and attaches as an exhibit a proxy statement of Frutarom. The registration statement was declared effective by the SEC on July 3, 2018, and IFF commenced mailing the definitive prospectus to Frutarom shareholders of record on July 6, 2018. INVESTORS AND SECURITY HOLDERS OF FRUTAROM ARE URGED TO READ THE DEFINITIVE PROSPECTUS AND OTHER DOCUMENTS FILED WITH THE SEC CAREFULLY AND IN THEIR ENTIRETY BECAUSE THEY WILL CONTAIN IMPORTANT INFORMATION ABOUT THE PROPOSED MERGER. Investors and security holders are able to obtain free copies of the registration statement and other documents filed with the SEC by the parties through the website maintained by the SEC at http://www.sec.gov. Copies of the documents filed with the SEC by IFF will be available free of charge on IFF’s internet website at ir.iff.com.</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26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2019-12-05T07:00:36Z</dcterms:created>
  <dcterms:modified xsi:type="dcterms:W3CDTF">2019-12-05T07:00:36Z</dcterms:modified>
</cp:coreProperties>
</file>