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DeVeau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 WEST 57TH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FLAVORS &amp; FRAGRANCES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IFF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749"/>
        <w:gridCol w:w="1354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14,301.572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70.81</w:t>
            </w:r>
            <w:r>
              <w:rPr/>
              <w:t xml:space="preserve"> 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13,591.572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70.81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20,352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("RSUs")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for taxes payable upon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May 1, 2024, the reporting person was granted 4,167 RSUs, vesting in three equal installments beginning on the first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Chrystalla Potamitou,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8900" TargetMode="External"/><Relationship Id="rId5" Type="http://schemas.openxmlformats.org/officeDocument/2006/relationships/hyperlink" Target="http://www.sec.gov/cgi-bin/browse-edgar?action=getcompany&amp;CIK=0000051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3437</Characters>
  <CharactersWithSpaces>3999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