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Rule 425 under the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 International Flavors &amp; Fragrances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Companies: International Flavors &amp; Fragrances Inc.; Frutarom Industries Ltd.</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Commission File Number: 1-4858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September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-233045</wp:posOffset>
            </wp:positionH>
            <wp:positionV relativeFrom="paragraph">
              <wp:posOffset>160020</wp:posOffset>
            </wp:positionV>
            <wp:extent cx="6209030" cy="5771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09030" cy="5771515"/>
                    </a:xfrm>
                    <a:prstGeom prst="rect">
                      <a:avLst/>
                    </a:prstGeom>
                    <a:noFill/>
                  </pic:spPr>
                </pic:pic>
              </a:graphicData>
            </a:graphic>
          </wp:anchor>
        </w:drawing>
      </w:r>
    </w:p>
    <w:p>
      <w:pPr>
        <w:sectPr>
          <w:pgSz w:w="11900" w:h="16838" w:orient="portrait"/>
          <w:cols w:equalWidth="0" w:num="1">
            <w:col w:w="10020"/>
          </w:cols>
          <w:pgMar w:left="1440" w:top="233"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464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19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51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21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121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11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631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87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987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80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638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116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 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ectPr>
          <w:pgSz w:w="11900" w:h="16838" w:orient="portrait"/>
          <w:cols w:equalWidth="0" w:num="1">
            <w:col w:w="11000"/>
          </w:cols>
          <w:pgMar w:left="440" w:top="270" w:right="45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factors set forth above, other factors that may affect IFF’s plans, results or stock price are set forth in IFF’s Annual Report on Form 10-K, Quarterly Reports on Form 10-Q and Current Reports on Form 8-K.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 connection with the proposed merger, IFF has filed with the SEC a registration statement on Form S-4 (File No. 333-225728), including Amendment No.1 thereto, that constitutes a prospectus of IFF and attaches as an exhibit a proxy statement of Frutarom. The registration statement was declared effective by the SEC on July 3, 2018, and IFF commenced mailing the definitive prospectus to Frutarom shareholders of record on July 6, 2018. INVESTORS AND SECURITY HOLDERS OF FRUTAROM ARE URGED TO READ THE DEFINITIVE PROSPECTUS AND OTHER DOCUMENTS FILED WITH THE SEC CAREFULLY AND IN THEIR ENTIRETY BECAUSE THEY WILL CONTAIN IMPORTANT INFORMATION ABOUT THE PROPOSED MERGER. Investors and security holders are able to obtain free copies of the registration statement and other documents filed with the SEC by the parties through the website maintained by the SEC at http://www.sec.gov. Copies of the documents filed with the SEC by IFF will be available free of charge on IFF’s internet website at ir.iff.com.</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2019-12-05T06:44:09Z</dcterms:created>
  <dcterms:modified xsi:type="dcterms:W3CDTF">2019-12-05T06:44:09Z</dcterms:modified>
</cp:coreProperties>
</file>